
<file path=[Content_Types].xml><?xml version="1.0" encoding="utf-8"?>
<Types xmlns="http://schemas.openxmlformats.org/package/2006/content-types">
  <Default ContentType="application/xml" Extension="xml"/>
  <Default ContentType="image/png" Extension="png"/>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40"/>
                <w:szCs w:val="40"/>
                <w:rtl w:val="0"/>
              </w:rPr>
              <w:t xml:space="preserve">Reached by Recital</w:t>
            </w:r>
            <w:r w:rsidDel="00000000" w:rsidR="00000000" w:rsidRPr="00000000">
              <w:rPr>
                <w:rFonts w:ascii="Old Standard TT" w:cs="Old Standard TT" w:eastAsia="Old Standard TT" w:hAnsi="Old Standard TT"/>
                <w:b w:val="1"/>
                <w:bCs w:val="1"/>
                <w:sz w:val="40"/>
                <w:szCs w:val="40"/>
                <w:vertAlign w:val="superscript"/>
              </w:rPr>
              <w:footnoteReference w:customMarkFollows="0" w:id="0"/>
            </w:r>
            <w:r w:rsidDel="00000000" w:rsidR="00000000" w:rsidRPr="00000000">
              <w:rPr>
                <w:rtl w:val="0"/>
              </w:rPr>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p>
                  <w:pPr>
                    <w:spacing w:after="200" w:before="0" w:line="240" w:lineRule="auto"/>
                    <w:jc w:val="center"/>
                    <w:rPr>
                      <w:rFonts w:ascii="Old Standard TT" w:cs="Old Standard TT" w:eastAsia="Old Standard TT" w:hAnsi="Old Standard TT"/>
                      <w:sz w:val="22"/>
                      <w:szCs w:val="22"/>
                    </w:rPr>
                  </w:pPr>
                  <w:r>
                    <w:rPr>
                      <w:rFonts w:ascii="Old Standard TT" w:cs="Old Standard TT" w:eastAsia="Old Standard TT" w:hAnsi="Old Standard TT"/>
                      <w:i w:val="1"/>
                      <w:iCs w:val="1"/>
                      <w:sz w:val="22"/>
                      <w:szCs w:val="22"/>
                      <w:rtl w:val="0"/>
                    </w:rPr>
                    <w:t xml:space="preserve">An enforcement pack for a pre-market research model under the EU AI Act, and the three facts it turns on</w:t>
                  </w:r>
                </w:p>
                <w:p>
                  <w:pPr>
                    <w:spacing w:after="20" w:before="0" w:line="240" w:lineRule="auto"/>
                    <w:jc w:val="center"/>
                    <w:rPr>
                      <w:rFonts w:ascii="Old Standard TT" w:cs="Old Standard TT" w:eastAsia="Old Standard TT" w:hAnsi="Old Standard TT"/>
                      <w:sz w:val="22"/>
                      <w:szCs w:val="22"/>
                    </w:rPr>
                  </w:pPr>
                  <w:r>
                    <w:rPr>
                      <w:rFonts w:ascii="Old Standard TT" w:cs="Old Standard TT" w:eastAsia="Old Standard TT" w:hAnsi="Old Standard TT"/>
                      <w:b w:val="1"/>
                      <w:bCs w:val="1"/>
                      <w:sz w:val="22"/>
                      <w:szCs w:val="22"/>
                      <w:rtl w:val="0"/>
                    </w:rPr>
                    <w:t xml:space="preserve">Bradley Quinlan</w:t>
                  </w:r>
                </w:p>
                <w:p>
                  <w:pPr>
                    <w:spacing w:after="20" w:before="0" w:line="240" w:lineRule="auto"/>
                    <w:jc w:val="center"/>
                    <w:rPr>
                      <w:rFonts w:ascii="Old Standard TT" w:cs="Old Standard TT" w:eastAsia="Old Standard TT" w:hAnsi="Old Standard TT"/>
                      <w:sz w:val="22"/>
                      <w:szCs w:val="22"/>
                    </w:rPr>
                  </w:pPr>
                  <w:r>
                    <w:rPr>
                      <w:rFonts w:ascii="Old Standard TT" w:cs="Old Standard TT" w:eastAsia="Old Standard TT" w:hAnsi="Old Standard TT"/>
                      <w:sz w:val="22"/>
                      <w:szCs w:val="22"/>
                      <w:rtl w:val="0"/>
                    </w:rPr>
                    <w:t xml:space="preserve">University of Essex</w:t>
                  </w:r>
                </w:p>
                <w:p>
                  <w:pPr>
                    <w:spacing w:after="120" w:before="0" w:line="240" w:lineRule="auto"/>
                    <w:jc w:val="center"/>
                    <w:rPr>
                      <w:rFonts w:ascii="Old Standard TT" w:cs="Old Standard TT" w:eastAsia="Old Standard TT" w:hAnsi="Old Standard TT"/>
                      <w:sz w:val="18"/>
                      <w:szCs w:val="18"/>
                    </w:rPr>
                  </w:pPr>
                  <w:r>
                    <w:rPr>
                      <w:rFonts w:ascii="Old Standard TT" w:cs="Old Standard TT" w:eastAsia="Old Standard TT" w:hAnsi="Old Standard TT"/>
                      <w:color w:val="434343"/>
                      <w:sz w:val="18"/>
                      <w:szCs w:val="18"/>
                      <w:rtl w:val="0"/>
                    </w:rPr>
                    <w:t xml:space="preserve">Track 3, Regulatory Response · Apart Research / CeSIA AI Incident Response Sprint, 11–13 September 2026</w:t>
                  </w:r>
                </w:p>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200" w:line="240" w:lineRule="auto"/>
                    <w:ind w:left="540" w:right="45" w:firstLine="0"/>
                    <w:jc w:val="both"/>
                    <w:rPr>
                      <w:rFonts w:ascii="Old Standard TT" w:cs="Old Standard TT" w:eastAsia="Old Standard TT" w:hAnsi="Old Standard TT"/>
                      <w:u w:val="single"/>
                    </w:rPr>
                  </w:pPr>
                  <w:r w:rsidDel="00000000" w:rsidR="00000000" w:rsidRPr="00000000">
                    <w:rPr>
                      <w:rFonts w:ascii="Old Standard TT" w:cs="Old Standard TT" w:eastAsia="Old Standard TT" w:hAnsi="Old Standard TT"/>
                      <w:rtl w:val="0"/>
                    </w:rPr>
                    <w:t xml:space="preserve">In July 2026 a frontier developer’s models escaped an evaluation sandbox and reached a third party’s production infrastructure. Whether the episode was reported as the EU AI Act requires assumes a prior question: every account calls the model internal research, which Article 3, point (63) excludes from the definition of a general-purpose AI model. On the Commission’s reading the obligations attach, but by a route through Recital 97 and non-binding guidance rather than the enacting definition, and that route needs three facts the public record does not supply — one of which the provider’s own account denies. This report delivers the documents a regulator and a legislator would need rather than an analysis of them: a model Article 91 request that asks the three facts, an issuing note and an answer matrix that say what each answer does, the Commission’s serious-incident template rebuilt with the two fields it lacks, and three amendments to the Regulation in current-text/amended-text form. A second finding needs none of the scope reading: the template never asks when the provider became aware, though every initial-report period in the Code of Practice runs from awareness, because the template transcribes the Code’s list of contents and that list omits it. Every document is derived only from text held and verified in the accompanying repository, whose checkers and corrections log are the method, and whose verification layer runs unchanged on the next incident.</w:t>
                  </w:r>
                  <w:r w:rsidDel="00000000" w:rsidR="00000000" w:rsidRPr="00000000">
                    <w:rPr>
                      <w:rFonts w:ascii="Old Standard TT" w:cs="Old Standard TT" w:eastAsia="Old Standard TT" w:hAnsi="Old Standard TT"/>
                      <w:i w:val="1"/>
                      <w:iCs w:val="1"/>
                      <w:u w:val="single"/>
                      <w:rtl w:val="0"/>
                    </w:rPr>
                    <w:t xml:space="preserve"/>
                  </w:r>
                  <w:r w:rsidDel="00000000" w:rsidR="00000000" w:rsidRPr="00000000">
                    <w:rPr>
                      <w:rFonts w:ascii="Old Standard TT" w:cs="Old Standard TT" w:eastAsia="Old Standard TT" w:hAnsi="Old Standard TT"/>
                      <w:i w:val="1"/>
                      <w:iCs w:val="1"/>
                      <w:rtl w:val="0"/>
                    </w:rPr>
                    <w:t xml:space="preserve"/>
                  </w:r>
                  <w:r w:rsidDel="00000000" w:rsidR="00000000" w:rsidRPr="00000000">
                    <w:rPr>
                      <w:rtl w:val="0"/>
                    </w:rPr>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p>
      <w:pPr>
        <w:pStyle w:val="Heading2"/>
        <w:keepNext w:val="1"/>
        <w:spacing w:after="80" w:before="280" w:line="240" w:lineRule="auto"/>
        <w:jc w:val="left"/>
        <w:rPr>
          <w:rFonts w:ascii="Old Standard TT" w:cs="Old Standard TT" w:eastAsia="Old Standard TT" w:hAnsi="Old Standard TT"/>
          <w:sz w:val="28"/>
          <w:szCs w:val="28"/>
        </w:rPr>
      </w:pPr>
      <w:r>
        <w:rPr>
          <w:rFonts w:ascii="Old Standard TT" w:cs="Old Standard TT" w:eastAsia="Old Standard TT" w:hAnsi="Old Standard TT"/>
          <w:color w:val="434343"/>
          <w:sz w:val="28"/>
          <w:szCs w:val="28"/>
          <w:rtl w:val="0"/>
        </w:rPr>
        <w:t xml:space="preserve">1. Introduction</w:t>
      </w:r>
    </w:p>
    <w:p>
      <w:pPr>
        <w:spacing w:after="120" w:before="0" w:line="264" w:lineRule="auto"/>
        <w:jc w:val="both"/>
        <w:rPr>
          <w:rFonts w:ascii="Old Standard TT" w:cs="Old Standard TT" w:eastAsia="Old Standard TT" w:hAnsi="Old Standard TT"/>
          <w:sz w:val="21"/>
          <w:szCs w:val="21"/>
        </w:rPr>
      </w:pPr>
      <w:r>
        <w:rPr>
          <w:rFonts w:ascii="Old Standard TT" w:cs="Old Standard TT" w:eastAsia="Old Standard TT" w:hAnsi="Old Standard TT"/>
          <w:sz w:val="21"/>
          <w:szCs w:val="21"/>
          <w:rtl w:val="0"/>
        </w:rPr>
        <w:t xml:space="preserve">Two episodes sit behind this report. Models belonging to a frontier developer left an evaluation sandbox in July 2026 and reached a third party’s production infrastructure (Hugging Face, 2026); between May and June the same developer’s agents had made roughly 17,000 edits to a community wiki (Von Arx </w:t>
      </w:r>
      <w:r>
        <w:rPr>
          <w:rFonts w:ascii="Old Standard TT" w:cs="Old Standard TT" w:eastAsia="Old Standard TT" w:hAnsi="Old Standard TT"/>
          <w:i w:val="1"/>
          <w:iCs w:val="1"/>
          <w:sz w:val="21"/>
          <w:szCs w:val="21"/>
          <w:rtl w:val="0"/>
        </w:rPr>
        <w:t xml:space="preserve">et al.</w:t>
      </w:r>
      <w:r>
        <w:rPr>
          <w:rFonts w:ascii="Old Standard TT" w:cs="Old Standard TT" w:eastAsia="Old Standard TT" w:hAnsi="Old Standard TT"/>
          <w:sz w:val="21"/>
          <w:szCs w:val="21"/>
          <w:rtl w:val="0"/>
        </w:rPr>
        <w:t xml:space="preserve">, 2026). The first was handled under “a traditional security incident response playbook”; the second was treated as “an instance of misalignment” and acknowledged publicly on 5 September 2026, the day after independent researchers published (OpenAI, 2026c).</w:t>
      </w:r>
    </w:p>
    <w:p>
      <w:pPr>
        <w:spacing w:after="120" w:before="0" w:line="264" w:lineRule="auto"/>
        <w:jc w:val="both"/>
        <w:rPr>
          <w:rFonts w:ascii="Old Standard TT" w:cs="Old Standard TT" w:eastAsia="Old Standard TT" w:hAnsi="Old Standard TT"/>
          <w:sz w:val="21"/>
          <w:szCs w:val="21"/>
        </w:rPr>
      </w:pPr>
      <w:r>
        <w:rPr>
          <w:rFonts w:ascii="Old Standard TT" w:cs="Old Standard TT" w:eastAsia="Old Standard TT" w:hAnsi="Old Standard TT"/>
          <w:sz w:val="21"/>
          <w:szCs w:val="21"/>
          <w:rtl w:val="0"/>
        </w:rPr>
        <w:t xml:space="preserve">Commentary since has asked whether these episodes were reported as the AI Act requires. That question assumes an answer to a prior one. The model that drove the compromise is described by its own developer as an “internal-only research model”, “not intended for public release” (OpenAI, 2026b), and by the independent investigators as “a research model which was not intended for production” (METR and Redwood Research, 2026). Article 3, point (63) excludes from the definition of ‘general-purpose AI model’ those “used for research, development or prototyping activities before they are placed on the market”, and Article 2(8) excludes pre-market research, testing and development activity from the Regulation’s application. Whether the obligations attach at all is therefore the threshold question, and it is not the one the commentary has been asking.</w:t>
      </w:r>
    </w:p>
    <w:p>
      <w:pPr>
        <w:spacing w:after="120" w:before="0" w:line="264" w:lineRule="auto"/>
        <w:jc w:val="both"/>
        <w:rPr>
          <w:rFonts w:ascii="Old Standard TT" w:cs="Old Standard TT" w:eastAsia="Old Standard TT" w:hAnsi="Old Standard TT"/>
          <w:sz w:val="21"/>
          <w:szCs w:val="21"/>
        </w:rPr>
      </w:pPr>
      <w:r>
        <w:rPr>
          <w:rFonts w:ascii="Old Standard TT" w:cs="Old Standard TT" w:eastAsia="Old Standard TT" w:hAnsi="Old Standard TT"/>
          <w:sz w:val="21"/>
          <w:szCs w:val="21"/>
          <w:rtl w:val="0"/>
        </w:rPr>
        <w:t xml:space="preserve">It matters because the answer decides who acts. If the obligations attach, the AI Office has a compulsory information power it is already using and a designation power it has not; if they do not, no enforcement reaches the conduct and the response is legislative. The threat model is narrow and recurrent: a model never released, evaluated internally, that escapes containment and causes harm outside the developer — precisely the configuration the Regulation’s research exclusion was drafted to leave alone.</w:t>
      </w:r>
    </w:p>
    <w:p>
      <w:pPr>
        <w:spacing w:after="120" w:before="0" w:line="264" w:lineRule="auto"/>
        <w:jc w:val="both"/>
        <w:rPr>
          <w:rFonts w:ascii="Old Standard TT" w:cs="Old Standard TT" w:eastAsia="Old Standard TT" w:hAnsi="Old Standard TT"/>
          <w:sz w:val="21"/>
          <w:szCs w:val="21"/>
        </w:rPr>
      </w:pPr>
      <w:r>
        <w:rPr>
          <w:rFonts w:ascii="Old Standard TT" w:cs="Old Standard TT" w:eastAsia="Old Standard TT" w:hAnsi="Old Standard TT"/>
          <w:b w:val="1"/>
          <w:bCs w:val="1"/>
          <w:sz w:val="21"/>
          <w:szCs w:val="21"/>
          <w:rtl w:val="0"/>
        </w:rPr>
        <w:t xml:space="preserve">Our main contributions are:</w:t>
      </w:r>
    </w:p>
    <w:p>
      <w:pPr>
        <w:spacing w:after="100" w:before="0" w:line="264" w:lineRule="auto"/>
        <w:ind w:left="360" w:hanging="180"/>
        <w:jc w:val="both"/>
        <w:rPr>
          <w:rFonts w:ascii="Old Standard TT" w:cs="Old Standard TT" w:eastAsia="Old Standard TT" w:hAnsi="Old Standard TT"/>
          <w:sz w:val="21"/>
        </w:rPr>
      </w:pPr>
      <w:r>
        <w:rPr>
          <w:rFonts w:ascii="Old Standard TT" w:cs="Old Standard TT" w:eastAsia="Old Standard TT" w:hAnsi="Old Standard TT"/>
          <w:sz w:val="21"/>
          <w:szCs w:val="21"/>
          <w:rtl w:val="0"/>
        </w:rPr>
        <w:t xml:space="preserve">• </w:t>
      </w:r>
      <w:r>
        <w:rPr>
          <w:rFonts w:ascii="Old Standard TT" w:cs="Old Standard TT" w:eastAsia="Old Standard TT" w:hAnsi="Old Standard TT"/>
          <w:b w:val="1"/>
          <w:bCs w:val="1"/>
          <w:sz w:val="21"/>
          <w:szCs w:val="21"/>
          <w:rtl w:val="0"/>
        </w:rPr>
        <w:t xml:space="preserve">A scope finding, and the route as the finding.</w:t>
      </w:r>
      <w:r>
        <w:rPr>
          <w:rFonts w:ascii="Old Standard TT" w:cs="Old Standard TT" w:eastAsia="Old Standard TT" w:hAnsi="Old Standard TT"/>
          <w:sz w:val="21"/>
          <w:szCs w:val="21"/>
          <w:rtl w:val="0"/>
        </w:rPr>
        <w:t xml:space="preserve"> On the Commission’s reading the obligations attach to a pre-market research model, but through Recital 97 and guidance that disclaims its own authority rather than through the enacting definition, and the route needs three facts — a placement event, a Union nexus, and systemic risk. The public record supplies none of them and the provider’s own account denies one (§4.1).</w:t>
      </w:r>
    </w:p>
    <w:p>
      <w:pPr>
        <w:spacing w:after="100" w:before="0" w:line="264" w:lineRule="auto"/>
        <w:ind w:left="360" w:hanging="180"/>
        <w:jc w:val="both"/>
        <w:rPr>
          <w:rFonts w:ascii="Old Standard TT" w:cs="Old Standard TT" w:eastAsia="Old Standard TT" w:hAnsi="Old Standard TT"/>
          <w:sz w:val="21"/>
        </w:rPr>
      </w:pPr>
      <w:r>
        <w:rPr>
          <w:rFonts w:ascii="Old Standard TT" w:cs="Old Standard TT" w:eastAsia="Old Standard TT" w:hAnsi="Old Standard TT"/>
          <w:sz w:val="21"/>
          <w:szCs w:val="21"/>
          <w:rtl w:val="0"/>
        </w:rPr>
        <w:t xml:space="preserve">• </w:t>
      </w:r>
      <w:r>
        <w:rPr>
          <w:rFonts w:ascii="Old Standard TT" w:cs="Old Standard TT" w:eastAsia="Old Standard TT" w:hAnsi="Old Standard TT"/>
          <w:b w:val="1"/>
          <w:bCs w:val="1"/>
          <w:sz w:val="21"/>
          <w:szCs w:val="21"/>
          <w:rtl w:val="0"/>
        </w:rPr>
        <w:t xml:space="preserve">An instrumentation finding that needs none of that reading.</w:t>
      </w:r>
      <w:r>
        <w:rPr>
          <w:rFonts w:ascii="Old Standard TT" w:cs="Old Standard TT" w:eastAsia="Old Standard TT" w:hAnsi="Old Standard TT"/>
          <w:sz w:val="21"/>
          <w:szCs w:val="21"/>
          <w:rtl w:val="0"/>
        </w:rPr>
        <w:t xml:space="preserve"> The Commission’s serious-incident template for general-purpose AI models never asks when the provider became aware, though every initial-report period in the Code of Practice runs from awareness. The cause is traceable: fields 1 to 9 transcribe Measure 9.2 item for item, and Measure 9.2 has no awareness item either. The Commission has already drafted the field — for the high-risk regime (§4.2).</w:t>
      </w:r>
    </w:p>
    <w:p>
      <w:pPr>
        <w:spacing w:after="100" w:before="0" w:line="264" w:lineRule="auto"/>
        <w:ind w:left="360" w:hanging="180"/>
        <w:jc w:val="both"/>
        <w:rPr>
          <w:rFonts w:ascii="Old Standard TT" w:cs="Old Standard TT" w:eastAsia="Old Standard TT" w:hAnsi="Old Standard TT"/>
          <w:sz w:val="21"/>
        </w:rPr>
      </w:pPr>
      <w:r>
        <w:rPr>
          <w:rFonts w:ascii="Old Standard TT" w:cs="Old Standard TT" w:eastAsia="Old Standard TT" w:hAnsi="Old Standard TT"/>
          <w:sz w:val="21"/>
          <w:szCs w:val="21"/>
          <w:rtl w:val="0"/>
        </w:rPr>
        <w:t xml:space="preserve">• </w:t>
      </w:r>
      <w:r>
        <w:rPr>
          <w:rFonts w:ascii="Old Standard TT" w:cs="Old Standard TT" w:eastAsia="Old Standard TT" w:hAnsi="Old Standard TT"/>
          <w:b w:val="1"/>
          <w:bCs w:val="1"/>
          <w:sz w:val="21"/>
          <w:szCs w:val="21"/>
          <w:rtl w:val="0"/>
        </w:rPr>
        <w:t xml:space="preserve">An enforcement pack rather than an analysis of one,</w:t>
      </w:r>
      <w:r>
        <w:rPr>
          <w:rFonts w:ascii="Old Standard TT" w:cs="Old Standard TT" w:eastAsia="Old Standard TT" w:hAnsi="Old Standard TT"/>
          <w:sz w:val="21"/>
          <w:szCs w:val="21"/>
          <w:rtl w:val="0"/>
        </w:rPr>
        <w:t xml:space="preserve"> with the verification layer that produced it. Seven documents in the form their addressee would issue or adopt, including a model Article 91 request in Article 91(4)’s required form and three amendments in current-text/amended-text form; behind them a statutory register of forty-seven verified provisions, an inference register, six checkers, a corrections log of twenty-nine entries, and six scripts that stand the apparatus up on the next incident — demonstrated by doing so (§3, §4.3).</w:t>
      </w:r>
    </w:p>
    <w:p>
      <w:pPr>
        <w:pStyle w:val="Heading2"/>
        <w:keepNext w:val="1"/>
        <w:spacing w:after="80" w:before="280" w:line="240" w:lineRule="auto"/>
        <w:jc w:val="left"/>
        <w:rPr>
          <w:rFonts w:ascii="Old Standard TT" w:cs="Old Standard TT" w:eastAsia="Old Standard TT" w:hAnsi="Old Standard TT"/>
          <w:sz w:val="28"/>
          <w:szCs w:val="28"/>
        </w:rPr>
      </w:pPr>
      <w:r>
        <w:rPr>
          <w:rFonts w:ascii="Old Standard TT" w:cs="Old Standard TT" w:eastAsia="Old Standard TT" w:hAnsi="Old Standard TT"/>
          <w:color w:val="434343"/>
          <w:sz w:val="28"/>
          <w:szCs w:val="28"/>
          <w:rtl w:val="0"/>
        </w:rPr>
        <w:t xml:space="preserve">2. Related Work</w:t>
      </w:r>
    </w:p>
    <w:p>
      <w:pPr>
        <w:spacing w:after="120" w:before="0" w:line="264" w:lineRule="auto"/>
        <w:jc w:val="both"/>
        <w:rPr>
          <w:rFonts w:ascii="Old Standard TT" w:cs="Old Standard TT" w:eastAsia="Old Standard TT" w:hAnsi="Old Standard TT"/>
          <w:sz w:val="21"/>
          <w:szCs w:val="21"/>
        </w:rPr>
      </w:pPr>
      <w:r>
        <w:rPr>
          <w:rFonts w:ascii="Old Standard TT" w:cs="Old Standard TT" w:eastAsia="Old Standard TT" w:hAnsi="Old Standard TT"/>
          <w:sz w:val="21"/>
          <w:szCs w:val="21"/>
          <w:rtl w:val="0"/>
        </w:rPr>
        <w:t xml:space="preserve">The closest prior work is Pistillo (2026), a chapter for the </w:t>
      </w:r>
      <w:r>
        <w:rPr>
          <w:rFonts w:ascii="Old Standard TT" w:cs="Old Standard TT" w:eastAsia="Old Standard TT" w:hAnsi="Old Standard TT"/>
          <w:i w:val="1"/>
          <w:iCs w:val="1"/>
          <w:sz w:val="21"/>
          <w:szCs w:val="21"/>
          <w:rtl w:val="0"/>
        </w:rPr>
        <w:t xml:space="preserve">Cambridge Commentary on EU General-Purpose AI Law</w:t>
      </w:r>
      <w:r>
        <w:rPr>
          <w:rFonts w:ascii="Old Standard TT" w:cs="Old Standard TT" w:eastAsia="Old Standard TT" w:hAnsi="Old Standard TT"/>
          <w:sz w:val="21"/>
          <w:szCs w:val="21"/>
          <w:rtl w:val="0"/>
        </w:rPr>
        <w:t xml:space="preserve"> arguing that internal deployment falls within the Act. This report agrees with that conclusion for internal deployment and shares one of his two pathways — the extensive reading of ‘making available’ under Article 3, points (9) and (10). It differs in subject and therefore in result: his model is deployed internally, where this record describes a model never deployed at all, whose only recorded system is the evaluation harness. That is the difference the three facts exist to close. The Commission’s own instruments are the primary counterparty rather than the literature: the Guidelines of 19 November 2025 (C(2025) 7719 final; European Commission, 2025), the general-purpose AI Q&amp;A (European Commission, 2026a), and Opinion C(2025) 5361 final (European Commission, 2026c), each held, cited by its own paragraph numbers, and read for what it does </w:t>
      </w:r>
      <w:r>
        <w:rPr>
          <w:rFonts w:ascii="Old Standard TT" w:cs="Old Standard TT" w:eastAsia="Old Standard TT" w:hAnsi="Old Standard TT"/>
          <w:i w:val="1"/>
          <w:iCs w:val="1"/>
          <w:sz w:val="21"/>
          <w:szCs w:val="21"/>
          <w:rtl w:val="0"/>
        </w:rPr>
        <w:t xml:space="preserve">not</w:t>
      </w:r>
      <w:r>
        <w:rPr>
          <w:rFonts w:ascii="Old Standard TT" w:cs="Old Standard TT" w:eastAsia="Old Standard TT" w:hAnsi="Old Standard TT"/>
          <w:sz w:val="21"/>
          <w:szCs w:val="21"/>
          <w:rtl w:val="0"/>
        </w:rPr>
        <w:t xml:space="preserve"> say as carefully as for what it does. Incident commentary asks what was disclosed and whether it was timely — the Cloud Security Alliance’s disclosure-gap note (Cloud Security Alliance, 2026), the </w:t>
      </w:r>
      <w:r>
        <w:rPr>
          <w:rFonts w:ascii="Old Standard TT" w:cs="Old Standard TT" w:eastAsia="Old Standard TT" w:hAnsi="Old Standard TT"/>
          <w:i w:val="1"/>
          <w:iCs w:val="1"/>
          <w:sz w:val="21"/>
          <w:szCs w:val="21"/>
          <w:rtl w:val="0"/>
        </w:rPr>
        <w:t xml:space="preserve">EU AI Act Newsletter</w:t>
      </w:r>
      <w:r>
        <w:rPr>
          <w:rFonts w:ascii="Old Standard TT" w:cs="Old Standard TT" w:eastAsia="Old Standard TT" w:hAnsi="Old Standard TT"/>
          <w:sz w:val="21"/>
          <w:szCs w:val="21"/>
          <w:rtl w:val="0"/>
        </w:rPr>
        <w:t xml:space="preserve"> (Uuk, 2026) — while the independent investigation of the episode itself (METR and Redwood Research, 2026) was access-scoped by its subject. None asks whether the obligations reached the model at all.</w:t>
      </w:r>
    </w:p>
    <w:p>
      <w:pPr>
        <w:spacing w:after="120" w:before="0" w:line="264" w:lineRule="auto"/>
        <w:jc w:val="both"/>
        <w:rPr>
          <w:rFonts w:ascii="Old Standard TT" w:cs="Old Standard TT" w:eastAsia="Old Standard TT" w:hAnsi="Old Standard TT"/>
          <w:sz w:val="21"/>
          <w:szCs w:val="21"/>
        </w:rPr>
      </w:pPr>
      <w:r>
        <w:rPr>
          <w:rFonts w:ascii="Old Standard TT" w:cs="Old Standard TT" w:eastAsia="Old Standard TT" w:hAnsi="Old Standard TT"/>
          <w:sz w:val="21"/>
          <w:szCs w:val="21"/>
          <w:rtl w:val="0"/>
        </w:rPr>
        <w:t xml:space="preserve">Three things this work adds sit alongside that literature rather than inside it. It supplies the documents rather than the argument: a request in the form a regulator would issue, and amendments in the form a legislator would table. It reads the Commission’s own reporting form against the Code’s own clock — the finding at §4.2 came from filling the form in, not from reading about it. And its verification layer is packaged to be re-run rather than written once: the Article 91 request is roughly 60% boilerplate that survives any incident, and the second run described at §3 is the evidence for the rest.</w:t>
      </w:r>
    </w:p>
    <w:p>
      <w:pPr>
        <w:pStyle w:val="Heading2"/>
        <w:keepNext w:val="1"/>
        <w:spacing w:after="80" w:before="280" w:line="240" w:lineRule="auto"/>
        <w:jc w:val="left"/>
        <w:rPr>
          <w:rFonts w:ascii="Old Standard TT" w:cs="Old Standard TT" w:eastAsia="Old Standard TT" w:hAnsi="Old Standard TT"/>
          <w:sz w:val="28"/>
          <w:szCs w:val="28"/>
        </w:rPr>
      </w:pPr>
      <w:r>
        <w:rPr>
          <w:rFonts w:ascii="Old Standard TT" w:cs="Old Standard TT" w:eastAsia="Old Standard TT" w:hAnsi="Old Standard TT"/>
          <w:color w:val="434343"/>
          <w:sz w:val="28"/>
          <w:szCs w:val="28"/>
          <w:rtl w:val="0"/>
        </w:rPr>
        <w:t xml:space="preserve">3. Methods</w:t>
      </w:r>
    </w:p>
    <w:p>
      <w:pPr>
        <w:spacing w:after="120" w:before="0" w:line="264" w:lineRule="auto"/>
        <w:jc w:val="both"/>
        <w:rPr>
          <w:rFonts w:ascii="Old Standard TT" w:cs="Old Standard TT" w:eastAsia="Old Standard TT" w:hAnsi="Old Standard TT"/>
          <w:sz w:val="21"/>
          <w:szCs w:val="21"/>
        </w:rPr>
      </w:pPr>
      <w:r>
        <w:rPr>
          <w:rFonts w:ascii="Old Standard TT" w:cs="Old Standard TT" w:eastAsia="Old Standard TT" w:hAnsi="Old Standard TT"/>
          <w:b w:val="1"/>
          <w:bCs w:val="1"/>
          <w:sz w:val="21"/>
          <w:szCs w:val="21"/>
          <w:rtl w:val="0"/>
        </w:rPr>
        <w:t xml:space="preserve">The ceiling, stated in advance.</w:t>
      </w:r>
      <w:r>
        <w:rPr>
          <w:rFonts w:ascii="Old Standard TT" w:cs="Old Standard TT" w:eastAsia="Old Standard TT" w:hAnsi="Old Standard TT"/>
          <w:sz w:val="21"/>
          <w:szCs w:val="21"/>
          <w:rtl w:val="0"/>
        </w:rPr>
        <w:t xml:space="preserve"> The method answers one question — does the discloser’s own account, taken on its own terms, resolve this obligation? — and it cannot answer what happened. Every verdict takes one of three permitted forms: </w:t>
      </w:r>
      <w:r>
        <w:rPr>
          <w:rFonts w:ascii="Old Standard TT" w:cs="Old Standard TT" w:eastAsia="Old Standard TT" w:hAnsi="Old Standard TT"/>
          <w:i w:val="1"/>
          <w:iCs w:val="1"/>
          <w:sz w:val="21"/>
          <w:szCs w:val="21"/>
          <w:rtl w:val="0"/>
        </w:rPr>
        <w:t xml:space="preserve">on the provider’s own account, this appears met</w:t>
      </w:r>
      <w:r>
        <w:rPr>
          <w:rFonts w:ascii="Old Standard TT" w:cs="Old Standard TT" w:eastAsia="Old Standard TT" w:hAnsi="Old Standard TT"/>
          <w:sz w:val="21"/>
          <w:szCs w:val="21"/>
          <w:rtl w:val="0"/>
        </w:rPr>
        <w:t xml:space="preserve">; </w:t>
      </w:r>
      <w:r>
        <w:rPr>
          <w:rFonts w:ascii="Old Standard TT" w:cs="Old Standard TT" w:eastAsia="Old Standard TT" w:hAnsi="Old Standard TT"/>
          <w:i w:val="1"/>
          <w:iCs w:val="1"/>
          <w:sz w:val="21"/>
          <w:szCs w:val="21"/>
          <w:rtl w:val="0"/>
        </w:rPr>
        <w:t xml:space="preserve">appears unmet</w:t>
      </w:r>
      <w:r>
        <w:rPr>
          <w:rFonts w:ascii="Old Standard TT" w:cs="Old Standard TT" w:eastAsia="Old Standard TT" w:hAnsi="Old Standard TT"/>
          <w:sz w:val="21"/>
          <w:szCs w:val="21"/>
          <w:rtl w:val="0"/>
        </w:rPr>
        <w:t xml:space="preserve">; or </w:t>
      </w:r>
      <w:r>
        <w:rPr>
          <w:rFonts w:ascii="Old Standard TT" w:cs="Old Standard TT" w:eastAsia="Old Standard TT" w:hAnsi="Old Standard TT"/>
          <w:i w:val="1"/>
          <w:iCs w:val="1"/>
          <w:sz w:val="21"/>
          <w:szCs w:val="21"/>
          <w:rtl w:val="0"/>
        </w:rPr>
        <w:t xml:space="preserve">the disclosed record does not resolve this</w:t>
      </w:r>
      <w:r>
        <w:rPr>
          <w:rFonts w:ascii="Old Standard TT" w:cs="Old Standard TT" w:eastAsia="Old Standard TT" w:hAnsi="Old Standard TT"/>
          <w:sz w:val="21"/>
          <w:szCs w:val="21"/>
          <w:rtl w:val="0"/>
        </w:rPr>
        <w:t xml:space="preserve">. </w:t>
      </w:r>
      <w:r>
        <w:rPr>
          <w:rFonts w:ascii="Consolas" w:cs="Consolas" w:eastAsia="Consolas" w:hAnsi="Consolas"/>
          <w:sz w:val="20"/>
          <w:szCs w:val="20"/>
          <w:rtl w:val="0"/>
        </w:rPr>
        <w:t xml:space="preserve">tools/validate.py</w:t>
      </w:r>
      <w:r>
        <w:rPr>
          <w:rFonts w:ascii="Old Standard TT" w:cs="Old Standard TT" w:eastAsia="Old Standard TT" w:hAnsi="Old Standard TT"/>
          <w:sz w:val="21"/>
          <w:szCs w:val="21"/>
          <w:rtl w:val="0"/>
        </w:rPr>
        <w:t xml:space="preserve"> rejects any cell that drifts out of that register or states a conclusion of law inside it. An analysis that cannot overclaim is one a regulator can read without auditing it first, and everything else follows from that restriction.</w:t>
      </w:r>
    </w:p>
    <w:p>
      <w:pPr>
        <w:spacing w:after="120" w:before="0" w:line="264" w:lineRule="auto"/>
        <w:jc w:val="both"/>
        <w:rPr>
          <w:rFonts w:ascii="Old Standard TT" w:cs="Old Standard TT" w:eastAsia="Old Standard TT" w:hAnsi="Old Standard TT"/>
          <w:sz w:val="21"/>
          <w:szCs w:val="21"/>
        </w:rPr>
      </w:pPr>
      <w:r>
        <w:rPr>
          <w:rFonts w:ascii="Old Standard TT" w:cs="Old Standard TT" w:eastAsia="Old Standard TT" w:hAnsi="Old Standard TT"/>
          <w:b w:val="1"/>
          <w:bCs w:val="1"/>
          <w:sz w:val="21"/>
          <w:szCs w:val="21"/>
          <w:rtl w:val="0"/>
        </w:rPr>
        <w:t xml:space="preserve">Four rules make the reasoning inspectable</w:t>
      </w:r>
      <w:r>
        <w:rPr>
          <w:rFonts w:ascii="Old Standard TT" w:cs="Old Standard TT" w:eastAsia="Old Standard TT" w:hAnsi="Old Standard TT"/>
          <w:sz w:val="21"/>
          <w:szCs w:val="21"/>
          <w:rtl w:val="0"/>
        </w:rPr>
        <w:t xml:space="preserve">, each stated fully at Appendix D. </w:t>
      </w:r>
      <w:r>
        <w:rPr>
          <w:rFonts w:ascii="Old Standard TT" w:cs="Old Standard TT" w:eastAsia="Old Standard TT" w:hAnsi="Old Standard TT"/>
          <w:i w:val="1"/>
          <w:iCs w:val="1"/>
          <w:sz w:val="21"/>
          <w:szCs w:val="21"/>
          <w:rtl w:val="0"/>
        </w:rPr>
        <w:t xml:space="preserve">Sources are held before they are characterised</w:t>
      </w:r>
      <w:r>
        <w:rPr>
          <w:rFonts w:ascii="Old Standard TT" w:cs="Old Standard TT" w:eastAsia="Old Standard TT" w:hAnsi="Old Standard TT"/>
          <w:sz w:val="21"/>
          <w:szCs w:val="21"/>
          <w:rtl w:val="0"/>
        </w:rPr>
        <w:t xml:space="preserve">: every source a fact rests on is archived to </w:t>
      </w:r>
      <w:r>
        <w:rPr>
          <w:rFonts w:ascii="Consolas" w:cs="Consolas" w:eastAsia="Consolas" w:hAnsi="Consolas"/>
          <w:sz w:val="20"/>
          <w:szCs w:val="20"/>
          <w:rtl w:val="0"/>
        </w:rPr>
        <w:t xml:space="preserve">_sources/</w:t>
      </w:r>
      <w:r>
        <w:rPr>
          <w:rFonts w:ascii="Old Standard TT" w:cs="Old Standard TT" w:eastAsia="Old Standard TT" w:hAnsi="Old Standard TT"/>
          <w:sz w:val="21"/>
          <w:szCs w:val="21"/>
          <w:rtl w:val="0"/>
        </w:rPr>
        <w:t xml:space="preserve"> with its SHA-256; forty-seven provisions, seven imported provisions of the CER Directive (Directive (EU) 2022/2557) and four recitals are verified line by line against the consolidated Regulation and the authentic Official Journal text, and five CJEU judgments on EUR-Lex, each carrying the date of its check. </w:t>
      </w:r>
      <w:r>
        <w:rPr>
          <w:rFonts w:ascii="Old Standard TT" w:cs="Old Standard TT" w:eastAsia="Old Standard TT" w:hAnsi="Old Standard TT"/>
          <w:i w:val="1"/>
          <w:iCs w:val="1"/>
          <w:sz w:val="21"/>
          <w:szCs w:val="21"/>
          <w:rtl w:val="0"/>
        </w:rPr>
        <w:t xml:space="preserve">Evidence is tiered by relationship to the claim, not prestige.</w:t>
      </w:r>
      <w:r>
        <w:rPr>
          <w:rFonts w:ascii="Old Standard TT" w:cs="Old Standard TT" w:eastAsia="Old Standard TT" w:hAnsi="Old Standard TT"/>
          <w:sz w:val="21"/>
          <w:szCs w:val="21"/>
          <w:rtl w:val="0"/>
        </w:rPr>
        <w:t xml:space="preserve"> </w:t>
      </w:r>
      <w:r>
        <w:rPr>
          <w:rFonts w:ascii="Old Standard TT" w:cs="Old Standard TT" w:eastAsia="Old Standard TT" w:hAnsi="Old Standard TT"/>
          <w:i w:val="1"/>
          <w:iCs w:val="1"/>
          <w:sz w:val="21"/>
          <w:szCs w:val="21"/>
          <w:rtl w:val="0"/>
        </w:rPr>
        <w:t xml:space="preserve">Absences are bounded</w:t>
      </w:r>
      <w:r>
        <w:rPr>
          <w:rFonts w:ascii="Old Standard TT" w:cs="Old Standard TT" w:eastAsia="Old Standard TT" w:hAnsi="Old Standard TT"/>
          <w:sz w:val="21"/>
          <w:szCs w:val="21"/>
          <w:rtl w:val="0"/>
        </w:rPr>
        <w:t xml:space="preserve">: each negative-search note carries a date and the corpus searched. </w:t>
      </w:r>
      <w:r>
        <w:rPr>
          <w:rFonts w:ascii="Old Standard TT" w:cs="Old Standard TT" w:eastAsia="Old Standard TT" w:hAnsi="Old Standard TT"/>
          <w:i w:val="1"/>
          <w:iCs w:val="1"/>
          <w:sz w:val="21"/>
          <w:szCs w:val="21"/>
          <w:rtl w:val="0"/>
        </w:rPr>
        <w:t xml:space="preserve">Inferences are enumerated</w:t>
      </w:r>
      <w:r>
        <w:rPr>
          <w:rFonts w:ascii="Old Standard TT" w:cs="Old Standard TT" w:eastAsia="Old Standard TT" w:hAnsi="Old Standard TT"/>
          <w:sz w:val="21"/>
          <w:szCs w:val="21"/>
          <w:rtl w:val="0"/>
        </w:rPr>
        <w:t xml:space="preserve">: </w:t>
      </w:r>
      <w:r>
        <w:rPr>
          <w:rFonts w:ascii="Consolas" w:cs="Consolas" w:eastAsia="Consolas" w:hAnsi="Consolas"/>
          <w:sz w:val="20"/>
          <w:szCs w:val="20"/>
          <w:rtl w:val="0"/>
        </w:rPr>
        <w:t xml:space="preserve">data/inferences.yaml</w:t>
      </w:r>
      <w:r>
        <w:rPr>
          <w:rFonts w:ascii="Old Standard TT" w:cs="Old Standard TT" w:eastAsia="Old Standard TT" w:hAnsi="Old Standard TT"/>
          <w:sz w:val="21"/>
          <w:szCs w:val="21"/>
          <w:rtl w:val="0"/>
        </w:rPr>
        <w:t xml:space="preserve"> states each argumentative step as a premise set, names what would defeat it, and ranks it.</w:t>
      </w:r>
    </w:p>
    <w:p>
      <w:pPr>
        <w:spacing w:after="120" w:before="0" w:line="264" w:lineRule="auto"/>
        <w:jc w:val="both"/>
        <w:rPr>
          <w:rFonts w:ascii="Old Standard TT" w:cs="Old Standard TT" w:eastAsia="Old Standard TT" w:hAnsi="Old Standard TT"/>
          <w:sz w:val="21"/>
          <w:szCs w:val="21"/>
        </w:rPr>
      </w:pPr>
      <w:r>
        <w:rPr>
          <w:rFonts w:ascii="Old Standard TT" w:cs="Old Standard TT" w:eastAsia="Old Standard TT" w:hAnsi="Old Standard TT"/>
          <w:b w:val="1"/>
          <w:bCs w:val="1"/>
          <w:sz w:val="21"/>
          <w:szCs w:val="21"/>
          <w:rtl w:val="0"/>
        </w:rPr>
        <w:t xml:space="preserve">Six checkers run from one entry point.</w:t>
      </w:r>
      <w:r>
        <w:rPr>
          <w:rFonts w:ascii="Old Standard TT" w:cs="Old Standard TT" w:eastAsia="Old Standard TT" w:hAnsi="Old Standard TT"/>
          <w:sz w:val="21"/>
          <w:szCs w:val="21"/>
          <w:rtl w:val="0"/>
        </w:rPr>
        <w:t xml:space="preserve"> </w:t>
      </w:r>
      <w:r>
        <w:rPr>
          <w:rFonts w:ascii="Consolas" w:cs="Consolas" w:eastAsia="Consolas" w:hAnsi="Consolas"/>
          <w:sz w:val="20"/>
          <w:szCs w:val="20"/>
          <w:rtl w:val="0"/>
        </w:rPr>
        <w:t xml:space="preserve">tools/check.py</w:t>
      </w:r>
      <w:r>
        <w:rPr>
          <w:rFonts w:ascii="Old Standard TT" w:cs="Old Standard TT" w:eastAsia="Old Standard TT" w:hAnsi="Old Standard TT"/>
          <w:sz w:val="21"/>
          <w:szCs w:val="21"/>
          <w:rtl w:val="0"/>
        </w:rPr>
        <w:t xml:space="preserve"> runs </w:t>
      </w:r>
      <w:r>
        <w:rPr>
          <w:rFonts w:ascii="Consolas" w:cs="Consolas" w:eastAsia="Consolas" w:hAnsi="Consolas"/>
          <w:sz w:val="20"/>
          <w:szCs w:val="20"/>
          <w:rtl w:val="0"/>
        </w:rPr>
        <w:t xml:space="preserve">hold-source.py</w:t>
      </w:r>
      <w:r>
        <w:rPr>
          <w:rFonts w:ascii="Old Standard TT" w:cs="Old Standard TT" w:eastAsia="Old Standard TT" w:hAnsi="Old Standard TT"/>
          <w:sz w:val="21"/>
          <w:szCs w:val="21"/>
          <w:rtl w:val="0"/>
        </w:rPr>
        <w:t xml:space="preserve"> (no fact may rest on a source nobody holds), </w:t>
      </w:r>
      <w:r>
        <w:rPr>
          <w:rFonts w:ascii="Consolas" w:cs="Consolas" w:eastAsia="Consolas" w:hAnsi="Consolas"/>
          <w:sz w:val="20"/>
          <w:szCs w:val="20"/>
          <w:rtl w:val="0"/>
        </w:rPr>
        <w:t xml:space="preserve">validate.py</w:t>
      </w:r>
      <w:r>
        <w:rPr>
          <w:rFonts w:ascii="Old Standard TT" w:cs="Old Standard TT" w:eastAsia="Old Standard TT" w:hAnsi="Old Standard TT"/>
          <w:sz w:val="21"/>
          <w:szCs w:val="21"/>
          <w:rtl w:val="0"/>
        </w:rPr>
        <w:t xml:space="preserve"> (verdict discipline), </w:t>
      </w:r>
      <w:r>
        <w:rPr>
          <w:rFonts w:ascii="Consolas" w:cs="Consolas" w:eastAsia="Consolas" w:hAnsi="Consolas"/>
          <w:sz w:val="20"/>
          <w:szCs w:val="20"/>
          <w:rtl w:val="0"/>
        </w:rPr>
        <w:t xml:space="preserve">citecheck.py</w:t>
      </w:r>
      <w:r>
        <w:rPr>
          <w:rFonts w:ascii="Old Standard TT" w:cs="Old Standard TT" w:eastAsia="Old Standard TT" w:hAnsi="Old Standard TT"/>
          <w:sz w:val="21"/>
          <w:szCs w:val="21"/>
          <w:rtl w:val="0"/>
        </w:rPr>
        <w:t xml:space="preserve"> (citations resolve to verified text), </w:t>
      </w:r>
      <w:r>
        <w:rPr>
          <w:rFonts w:ascii="Consolas" w:cs="Consolas" w:eastAsia="Consolas" w:hAnsi="Consolas"/>
          <w:sz w:val="20"/>
          <w:szCs w:val="20"/>
          <w:rtl w:val="0"/>
        </w:rPr>
        <w:t xml:space="preserve">quotecheck.py</w:t>
      </w:r>
      <w:r>
        <w:rPr>
          <w:rFonts w:ascii="Old Standard TT" w:cs="Old Standard TT" w:eastAsia="Old Standard TT" w:hAnsi="Old Standard TT"/>
          <w:sz w:val="21"/>
          <w:szCs w:val="21"/>
          <w:rtl w:val="0"/>
        </w:rPr>
        <w:t xml:space="preserve"> (quotations are found in the held document), </w:t>
      </w:r>
      <w:r>
        <w:rPr>
          <w:rFonts w:ascii="Consolas" w:cs="Consolas" w:eastAsia="Consolas" w:hAnsi="Consolas"/>
          <w:sz w:val="20"/>
          <w:szCs w:val="20"/>
          <w:rtl w:val="0"/>
        </w:rPr>
        <w:t xml:space="preserve">infercheck.py</w:t>
      </w:r>
      <w:r>
        <w:rPr>
          <w:rFonts w:ascii="Old Standard TT" w:cs="Old Standard TT" w:eastAsia="Old Standard TT" w:hAnsi="Old Standard TT"/>
          <w:sz w:val="21"/>
          <w:szCs w:val="21"/>
          <w:rtl w:val="0"/>
        </w:rPr>
        <w:t xml:space="preserve"> (premises, defeaters, acyclicity) and </w:t>
      </w:r>
      <w:r>
        <w:rPr>
          <w:rFonts w:ascii="Consolas" w:cs="Consolas" w:eastAsia="Consolas" w:hAnsi="Consolas"/>
          <w:sz w:val="20"/>
          <w:szCs w:val="20"/>
          <w:rtl w:val="0"/>
        </w:rPr>
        <w:t xml:space="preserve">housestyle.py</w:t>
      </w:r>
      <w:r>
        <w:rPr>
          <w:rFonts w:ascii="Old Standard TT" w:cs="Old Standard TT" w:eastAsia="Old Standard TT" w:hAnsi="Old Standard TT"/>
          <w:sz w:val="21"/>
          <w:szCs w:val="21"/>
          <w:rtl w:val="0"/>
        </w:rPr>
        <w:t xml:space="preserve"> (conventions, repeated paragraphs, drifted counts, dangling paths). What is automated is checking, not judgement: they will say a citation does not resolve or a count has drifted; they will never say an inference is wrong. Four adversarial passes were run besides — two over a finished draft by a model with no sight of the reasoning that produced it, one over the instrument, one over the whole repository with the held sources open. Every reviewer was a language model, and §5 says what follows. A second run tests transfer: </w:t>
      </w:r>
      <w:r>
        <w:rPr>
          <w:rFonts w:ascii="Consolas" w:cs="Consolas" w:eastAsia="Consolas" w:hAnsi="Consolas"/>
          <w:sz w:val="20"/>
          <w:szCs w:val="20"/>
          <w:rtl w:val="0"/>
        </w:rPr>
        <w:t xml:space="preserve">runs/anthropic-cyber-evals-2026/</w:t>
      </w:r>
      <w:r>
        <w:rPr>
          <w:rFonts w:ascii="Old Standard TT" w:cs="Old Standard TT" w:eastAsia="Old Standard TT" w:hAnsi="Old Standard TT"/>
          <w:sz w:val="21"/>
          <w:szCs w:val="21"/>
          <w:rtl w:val="0"/>
        </w:rPr>
        <w:t xml:space="preserve"> applies the same apparatus, in about three hours and on ten held documents, to a different provider’s incidents of 30 July and 9 September 2026 (Anthropic, 2026) — and records what did not work, since that run broke its own first rule twice in its first hour, which is what produced </w:t>
      </w:r>
      <w:r>
        <w:rPr>
          <w:rFonts w:ascii="Consolas" w:cs="Consolas" w:eastAsia="Consolas" w:hAnsi="Consolas"/>
          <w:sz w:val="20"/>
          <w:szCs w:val="20"/>
          <w:rtl w:val="0"/>
        </w:rPr>
        <w:t xml:space="preserve">hold-source.py</w:t>
      </w:r>
      <w:r>
        <w:rPr>
          <w:rFonts w:ascii="Old Standard TT" w:cs="Old Standard TT" w:eastAsia="Old Standard TT" w:hAnsi="Old Standard TT"/>
          <w:sz w:val="21"/>
          <w:szCs w:val="21"/>
          <w:rtl w:val="0"/>
        </w:rPr>
        <w:t xml:space="preserve">.</w:t>
      </w:r>
    </w:p>
    <w:p>
      <w:pPr>
        <w:pStyle w:val="Heading2"/>
        <w:keepNext w:val="1"/>
        <w:spacing w:after="80" w:before="280" w:line="240" w:lineRule="auto"/>
        <w:jc w:val="left"/>
        <w:rPr>
          <w:rFonts w:ascii="Old Standard TT" w:cs="Old Standard TT" w:eastAsia="Old Standard TT" w:hAnsi="Old Standard TT"/>
          <w:sz w:val="28"/>
          <w:szCs w:val="28"/>
        </w:rPr>
      </w:pPr>
      <w:r>
        <w:rPr>
          <w:rFonts w:ascii="Old Standard TT" w:cs="Old Standard TT" w:eastAsia="Old Standard TT" w:hAnsi="Old Standard TT"/>
          <w:color w:val="434343"/>
          <w:sz w:val="28"/>
          <w:szCs w:val="28"/>
          <w:rtl w:val="0"/>
        </w:rPr>
        <w:t xml:space="preserve">4. Results</w:t>
      </w:r>
    </w:p>
    <w:p>
      <w:pPr>
        <w:pStyle w:val="Heading3"/>
        <w:keepNext w:val="1"/>
        <w:spacing w:after="60" w:before="200" w:line="240" w:lineRule="auto"/>
        <w:jc w:val="left"/>
        <w:rPr>
          <w:rFonts w:ascii="Old Standard TT" w:cs="Old Standard TT" w:eastAsia="Old Standard TT" w:hAnsi="Old Standard TT"/>
          <w:sz w:val="24"/>
          <w:szCs w:val="24"/>
        </w:rPr>
      </w:pPr>
      <w:r>
        <w:rPr>
          <w:rFonts w:ascii="Old Standard TT" w:cs="Old Standard TT" w:eastAsia="Old Standard TT" w:hAnsi="Old Standard TT"/>
          <w:i w:val="1"/>
          <w:iCs w:val="1"/>
          <w:color w:val="434343"/>
          <w:sz w:val="24"/>
          <w:szCs w:val="24"/>
          <w:rtl w:val="0"/>
        </w:rPr>
        <w:t xml:space="preserve">4.1 The route attaches, and needs three facts</w:t>
      </w:r>
    </w:p>
    <w:p>
      <w:pPr>
        <w:spacing w:after="120" w:before="0" w:line="264" w:lineRule="auto"/>
        <w:jc w:val="both"/>
        <w:rPr>
          <w:rFonts w:ascii="Old Standard TT" w:cs="Old Standard TT" w:eastAsia="Old Standard TT" w:hAnsi="Old Standard TT"/>
          <w:sz w:val="21"/>
          <w:szCs w:val="21"/>
        </w:rPr>
      </w:pPr>
      <w:r>
        <w:rPr>
          <w:rFonts w:ascii="Old Standard TT" w:cs="Old Standard TT" w:eastAsia="Old Standard TT" w:hAnsi="Old Standard TT"/>
          <w:b w:val="1"/>
          <w:bCs w:val="1"/>
          <w:sz w:val="21"/>
          <w:szCs w:val="21"/>
          <w:rtl w:val="0"/>
        </w:rPr>
        <w:t xml:space="preserve">The enacting text points away from scope.</w:t>
      </w:r>
      <w:r>
        <w:rPr>
          <w:rFonts w:ascii="Old Standard TT" w:cs="Old Standard TT" w:eastAsia="Old Standard TT" w:hAnsi="Old Standard TT"/>
          <w:sz w:val="21"/>
          <w:szCs w:val="21"/>
          <w:rtl w:val="0"/>
        </w:rPr>
        <w:t xml:space="preserve"> Article 2(1), point (a) applies the Regulation to providers “placing on the market </w:t>
      </w:r>
      <w:r>
        <w:rPr>
          <w:rFonts w:ascii="Old Standard TT" w:cs="Old Standard TT" w:eastAsia="Old Standard TT" w:hAnsi="Old Standard TT"/>
          <w:b w:val="1"/>
          <w:bCs w:val="1"/>
          <w:sz w:val="21"/>
          <w:szCs w:val="21"/>
          <w:rtl w:val="0"/>
        </w:rPr>
        <w:t xml:space="preserve">or putting into service</w:t>
      </w:r>
      <w:r>
        <w:rPr>
          <w:rFonts w:ascii="Old Standard TT" w:cs="Old Standard TT" w:eastAsia="Old Standard TT" w:hAnsi="Old Standard TT"/>
          <w:sz w:val="21"/>
          <w:szCs w:val="21"/>
          <w:rtl w:val="0"/>
        </w:rPr>
        <w:t xml:space="preserve"> AI systems </w:t>
      </w:r>
      <w:r>
        <w:rPr>
          <w:rFonts w:ascii="Old Standard TT" w:cs="Old Standard TT" w:eastAsia="Old Standard TT" w:hAnsi="Old Standard TT"/>
          <w:b w:val="1"/>
          <w:bCs w:val="1"/>
          <w:sz w:val="21"/>
          <w:szCs w:val="21"/>
          <w:rtl w:val="0"/>
        </w:rPr>
        <w:t xml:space="preserve">or placing on the market</w:t>
      </w:r>
      <w:r>
        <w:rPr>
          <w:rFonts w:ascii="Old Standard TT" w:cs="Old Standard TT" w:eastAsia="Old Standard TT" w:hAnsi="Old Standard TT"/>
          <w:sz w:val="21"/>
          <w:szCs w:val="21"/>
          <w:rtl w:val="0"/>
        </w:rPr>
        <w:t xml:space="preserve"> general-purpose AI models”. The halves differ: ‘putting into service’ at Article 3, point (11) expressly includes supply “for </w:t>
      </w:r>
      <w:r>
        <w:rPr>
          <w:rFonts w:ascii="Old Standard TT" w:cs="Old Standard TT" w:eastAsia="Old Standard TT" w:hAnsi="Old Standard TT"/>
          <w:b w:val="1"/>
          <w:bCs w:val="1"/>
          <w:sz w:val="21"/>
          <w:szCs w:val="21"/>
          <w:rtl w:val="0"/>
        </w:rPr>
        <w:t xml:space="preserve">own use</w:t>
      </w:r>
      <w:r>
        <w:rPr>
          <w:rFonts w:ascii="Old Standard TT" w:cs="Old Standard TT" w:eastAsia="Old Standard TT" w:hAnsi="Old Standard TT"/>
          <w:sz w:val="21"/>
          <w:szCs w:val="21"/>
          <w:rtl w:val="0"/>
        </w:rPr>
        <w:t xml:space="preserve"> in the Union for its intended purpose”, and models have no equivalent limb. Article 3, point (63) then carries no “sole purpose” qualifier and no conditions, though Article 2(6) shows the formula was available. On the enacting text alone, an internal unreleased research model sits outside Chapter V.</w:t>
      </w:r>
    </w:p>
    <w:p>
      <w:pPr>
        <w:spacing w:after="120" w:before="0" w:line="264" w:lineRule="auto"/>
        <w:jc w:val="both"/>
        <w:rPr>
          <w:rFonts w:ascii="Old Standard TT" w:cs="Old Standard TT" w:eastAsia="Old Standard TT" w:hAnsi="Old Standard TT"/>
          <w:sz w:val="21"/>
          <w:szCs w:val="21"/>
        </w:rPr>
      </w:pPr>
      <w:r>
        <w:rPr>
          <w:rFonts w:ascii="Old Standard TT" w:cs="Old Standard TT" w:eastAsia="Old Standard TT" w:hAnsi="Old Standard TT"/>
          <w:b w:val="1"/>
          <w:bCs w:val="1"/>
          <w:sz w:val="21"/>
          <w:szCs w:val="21"/>
          <w:rtl w:val="0"/>
        </w:rPr>
        <w:t xml:space="preserve">Recital 97 moves the moment of placement.</w:t>
      </w:r>
      <w:r>
        <w:rPr>
          <w:rFonts w:ascii="Old Standard TT" w:cs="Old Standard TT" w:eastAsia="Old Standard TT" w:hAnsi="Old Standard TT"/>
          <w:sz w:val="21"/>
          <w:szCs w:val="21"/>
          <w:rtl w:val="0"/>
        </w:rPr>
        <w:t xml:space="preserve"> A model integrated into its provider’s own system put into service “should be </w:t>
      </w:r>
      <w:r>
        <w:rPr>
          <w:rFonts w:ascii="Old Standard TT" w:cs="Old Standard TT" w:eastAsia="Old Standard TT" w:hAnsi="Old Standard TT"/>
          <w:b w:val="1"/>
          <w:bCs w:val="1"/>
          <w:sz w:val="21"/>
          <w:szCs w:val="21"/>
          <w:rtl w:val="0"/>
        </w:rPr>
        <w:t xml:space="preserve">considered to be placed on the market</w:t>
      </w:r>
      <w:r>
        <w:rPr>
          <w:rFonts w:ascii="Old Standard TT" w:cs="Old Standard TT" w:eastAsia="Old Standard TT" w:hAnsi="Old Standard TT"/>
          <w:sz w:val="21"/>
          <w:szCs w:val="21"/>
          <w:rtl w:val="0"/>
        </w:rPr>
        <w:t xml:space="preserve">” — so the development was never activity “prior to” placement, and Article 2(8) never engages. The Commission reproduces the rule at paragraph 54 of its Guidelines, and its Q&amp;A consolidates it into three cumulative conditions, the third decisive: the exception is unavailable where “the model is not a general-purpose AI model with systemic risk”. Paragraph 22 treats a model’s lifecycle as beginning “at the start of the large pre-training run”, so the exclusion protects a model never placed on the market, not the development phase of one that is.</w:t>
      </w:r>
    </w:p>
    <w:p>
      <w:pPr>
        <w:spacing w:after="120" w:before="0" w:line="264" w:lineRule="auto"/>
        <w:jc w:val="both"/>
        <w:rPr>
          <w:rFonts w:ascii="Old Standard TT" w:cs="Old Standard TT" w:eastAsia="Old Standard TT" w:hAnsi="Old Standard TT"/>
          <w:sz w:val="21"/>
          <w:szCs w:val="21"/>
        </w:rPr>
      </w:pPr>
      <w:r>
        <w:rPr>
          <w:rFonts w:ascii="Old Standard TT" w:cs="Old Standard TT" w:eastAsia="Old Standard TT" w:hAnsi="Old Standard TT"/>
          <w:b w:val="1"/>
          <w:bCs w:val="1"/>
          <w:sz w:val="21"/>
          <w:szCs w:val="21"/>
          <w:rtl w:val="0"/>
        </w:rPr>
        <w:t xml:space="preserve">That route needs three facts, and the record supplies none of them</w:t>
      </w:r>
      <w:r>
        <w:rPr>
          <w:rFonts w:ascii="Old Standard TT" w:cs="Old Standard TT" w:eastAsia="Old Standard TT" w:hAnsi="Old Standard TT"/>
          <w:sz w:val="21"/>
          <w:szCs w:val="21"/>
          <w:rtl w:val="0"/>
        </w:rPr>
        <w:t xml:space="preserve"> (Figure 1). A </w:t>
      </w:r>
      <w:r>
        <w:rPr>
          <w:rFonts w:ascii="Old Standard TT" w:cs="Old Standard TT" w:eastAsia="Old Standard TT" w:hAnsi="Old Standard TT"/>
          <w:i w:val="1"/>
          <w:iCs w:val="1"/>
          <w:sz w:val="21"/>
          <w:szCs w:val="21"/>
          <w:rtl w:val="0"/>
        </w:rPr>
        <w:t xml:space="preserve">placement event</w:t>
      </w:r>
      <w:r>
        <w:rPr>
          <w:rFonts w:ascii="Old Standard TT" w:cs="Old Standard TT" w:eastAsia="Old Standard TT" w:hAnsi="Old Standard TT"/>
          <w:sz w:val="21"/>
          <w:szCs w:val="21"/>
          <w:rtl w:val="0"/>
        </w:rPr>
        <w:t xml:space="preserve">: every version of the Commission’s reading runs from one, and the provider’s account says the model was among “research models that were not intended for public release”, with its weights quarantined after the incident. A </w:t>
      </w:r>
      <w:r>
        <w:rPr>
          <w:rFonts w:ascii="Old Standard TT" w:cs="Old Standard TT" w:eastAsia="Old Standard TT" w:hAnsi="Old Standard TT"/>
          <w:i w:val="1"/>
          <w:iCs w:val="1"/>
          <w:sz w:val="21"/>
          <w:szCs w:val="21"/>
          <w:rtl w:val="0"/>
        </w:rPr>
        <w:t xml:space="preserve">Union nexus</w:t>
      </w:r>
      <w:r>
        <w:rPr>
          <w:rFonts w:ascii="Old Standard TT" w:cs="Old Standard TT" w:eastAsia="Old Standard TT" w:hAnsi="Old Standard TT"/>
          <w:sz w:val="21"/>
          <w:szCs w:val="21"/>
          <w:rtl w:val="0"/>
        </w:rPr>
        <w:t xml:space="preserve">: Article 2(1), point (a) reaches placing on the market “in the Union”, and no account places any own system incorporating this model in the Union. </w:t>
      </w:r>
      <w:r>
        <w:rPr>
          <w:rFonts w:ascii="Old Standard TT" w:cs="Old Standard TT" w:eastAsia="Old Standard TT" w:hAnsi="Old Standard TT"/>
          <w:i w:val="1"/>
          <w:iCs w:val="1"/>
          <w:sz w:val="21"/>
          <w:szCs w:val="21"/>
          <w:rtl w:val="0"/>
        </w:rPr>
        <w:t xml:space="preserve">Systemic risk</w:t>
      </w:r>
      <w:r>
        <w:rPr>
          <w:rFonts w:ascii="Old Standard TT" w:cs="Old Standard TT" w:eastAsia="Old Standard TT" w:hAnsi="Old Standard TT"/>
          <w:sz w:val="21"/>
          <w:szCs w:val="21"/>
          <w:rtl w:val="0"/>
        </w:rPr>
        <w:t xml:space="preserve">: Article 51(2) presumes it above 10²⁵ FLOP, and no public source gives the figure. Each absence is bounded: the placement and Union questions as of 13 September 2026, across the six incident-record documents held here, searched for “deploy”, “internal”, “Union” and “Europe”; the compute figure as of 12 September 2026, across those documents and English-language web search on the provider, “Article 52”, “notification” and “AI Office” (Appendix C).</w:t>
      </w:r>
    </w:p>
    <w:p>
      <w:pPr>
        <w:keepNext w:val="1"/>
        <w:spacing w:after="60" w:before="160" w:line="240" w:lineRule="auto"/>
        <w:jc w:val="center"/>
      </w:pPr>
      <w:r>
        <w:rPr>
          <w:rtl w:val="0"/>
        </w:rPr>
        <w:drawing>
          <wp:inline distT="0" distB="0" distL="0" distR="0">
            <wp:extent cx="5943600" cy="4953000"/>
            <wp:effectExtent l="0" t="0" r="0" b="0"/>
            <wp:docPr id="1" name="Figure 1" descr="The route and the three facts it needs"/>
            <a:graphic xmlns:a="http://schemas.openxmlformats.org/drawingml/2006/main">
              <a:graphicData uri="http://schemas.openxmlformats.org/drawingml/2006/picture">
                <pic:pic xmlns:pic="http://schemas.openxmlformats.org/drawingml/2006/picture">
                  <pic:nvPicPr>
                    <pic:cNvPr id="0" name="Figure 1"/>
                    <pic:cNvPicPr/>
                  </pic:nvPicPr>
                  <pic:blipFill>
                    <a:blip r:embed="rId8"/>
                    <a:stretch>
                      <a:fillRect/>
                    </a:stretch>
                  </pic:blipFill>
                  <pic:spPr>
                    <a:xfrm>
                      <a:off x="0" y="0"/>
                      <a:ext cx="5943600" cy="4953000"/>
                    </a:xfrm>
                    <a:prstGeom prst="rect">
                      <a:avLst/>
                    </a:prstGeom>
                  </pic:spPr>
                </pic:pic>
              </a:graphicData>
            </a:graphic>
          </wp:inline>
        </w:drawing>
      </w:r>
    </w:p>
    <w:p>
      <w:pPr>
        <w:spacing w:after="200" w:before="60" w:line="240" w:lineRule="auto"/>
        <w:ind w:left="360" w:right="360"/>
        <w:jc w:val="both"/>
        <w:rPr>
          <w:rFonts w:ascii="Old Standard TT" w:cs="Old Standard TT" w:eastAsia="Old Standard TT" w:hAnsi="Old Standard TT"/>
          <w:sz w:val="18"/>
          <w:szCs w:val="18"/>
        </w:rPr>
      </w:pPr>
      <w:r>
        <w:rPr>
          <w:rFonts w:ascii="Old Standard TT" w:cs="Old Standard TT" w:eastAsia="Old Standard TT" w:hAnsi="Old Standard TT"/>
          <w:b w:val="1"/>
          <w:bCs w:val="1"/>
          <w:sz w:val="18"/>
          <w:szCs w:val="18"/>
          <w:rtl w:val="0"/>
        </w:rPr>
        <w:t xml:space="preserve">Figure 1. The route, and the three facts it needs.</w:t>
      </w:r>
      <w:r>
        <w:rPr>
          <w:rFonts w:ascii="Old Standard TT" w:cs="Old Standard TT" w:eastAsia="Old Standard TT" w:hAnsi="Old Standard TT"/>
          <w:sz w:val="18"/>
          <w:szCs w:val="18"/>
          <w:rtl w:val="0"/>
        </w:rPr>
        <w:t xml:space="preserve"> The enacting text puts a pre-market research model outside Chapter V. The Commission’s reading brings it back in, through a recital and non-binding guidance, but only if three facts hold. Each gate names the request in the accompanying instrument that asks it. The order is the Act’s: without a placement event the definition is not met, without a Union nexus Article 2(1), point (a) is not engaged, and only then does systemic risk matter.</w:t>
      </w:r>
    </w:p>
    <w:p>
      <w:pPr>
        <w:spacing w:after="120" w:before="0" w:line="264" w:lineRule="auto"/>
        <w:jc w:val="both"/>
        <w:rPr>
          <w:rFonts w:ascii="Old Standard TT" w:cs="Old Standard TT" w:eastAsia="Old Standard TT" w:hAnsi="Old Standard TT"/>
          <w:sz w:val="21"/>
          <w:szCs w:val="21"/>
        </w:rPr>
      </w:pPr>
      <w:r>
        <w:rPr>
          <w:rFonts w:ascii="Old Standard TT" w:cs="Old Standard TT" w:eastAsia="Old Standard TT" w:hAnsi="Old Standard TT"/>
          <w:b w:val="1"/>
          <w:bCs w:val="1"/>
          <w:sz w:val="21"/>
          <w:szCs w:val="21"/>
          <w:rtl w:val="0"/>
        </w:rPr>
        <w:t xml:space="preserve">The fragility, stated.</w:t>
      </w:r>
      <w:r>
        <w:rPr>
          <w:rFonts w:ascii="Old Standard TT" w:cs="Old Standard TT" w:eastAsia="Old Standard TT" w:hAnsi="Old Standard TT"/>
          <w:sz w:val="21"/>
          <w:szCs w:val="21"/>
          <w:rtl w:val="0"/>
        </w:rPr>
        <w:t xml:space="preserve"> The weight-bearing step is a recital and non-binding guidance. A preamble “has no binding legal force and cannot be relied on as a ground for derogating from the actual provisions of the act in question” (</w:t>
      </w:r>
      <w:r>
        <w:rPr>
          <w:rFonts w:ascii="Old Standard TT" w:cs="Old Standard TT" w:eastAsia="Old Standard TT" w:hAnsi="Old Standard TT"/>
          <w:i w:val="1"/>
          <w:iCs w:val="1"/>
          <w:sz w:val="21"/>
          <w:szCs w:val="21"/>
          <w:rtl w:val="0"/>
        </w:rPr>
        <w:t xml:space="preserve">Nilsson</w:t>
      </w:r>
      <w:r>
        <w:rPr>
          <w:rFonts w:ascii="Old Standard TT" w:cs="Old Standard TT" w:eastAsia="Old Standard TT" w:hAnsi="Old Standard TT"/>
          <w:sz w:val="21"/>
          <w:szCs w:val="21"/>
          <w:rtl w:val="0"/>
        </w:rPr>
        <w:t xml:space="preserve">, C-162/97, ¶54), nor for interpreting them contrary to their wording (</w:t>
      </w:r>
      <w:r>
        <w:rPr>
          <w:rFonts w:ascii="Old Standard TT" w:cs="Old Standard TT" w:eastAsia="Old Standard TT" w:hAnsi="Old Standard TT"/>
          <w:i w:val="1"/>
          <w:iCs w:val="1"/>
          <w:sz w:val="21"/>
          <w:szCs w:val="21"/>
          <w:rtl w:val="0"/>
        </w:rPr>
        <w:t xml:space="preserve">Deutsches Milch-Kontor</w:t>
      </w:r>
      <w:r>
        <w:rPr>
          <w:rFonts w:ascii="Old Standard TT" w:cs="Old Standard TT" w:eastAsia="Old Standard TT" w:hAnsi="Old Standard TT"/>
          <w:sz w:val="21"/>
          <w:szCs w:val="21"/>
          <w:rtl w:val="0"/>
        </w:rPr>
        <w:t xml:space="preserve">, C-136/04, ¶32). Recital 97 has two limbs and they fare differently. Where the own system is </w:t>
      </w:r>
      <w:r>
        <w:rPr>
          <w:rFonts w:ascii="Old Standard TT" w:cs="Old Standard TT" w:eastAsia="Old Standard TT" w:hAnsi="Old Standard TT"/>
          <w:i w:val="1"/>
          <w:iCs w:val="1"/>
          <w:sz w:val="21"/>
          <w:szCs w:val="21"/>
          <w:rtl w:val="0"/>
        </w:rPr>
        <w:t xml:space="preserve">made available on the market</w:t>
      </w:r>
      <w:r>
        <w:rPr>
          <w:rFonts w:ascii="Old Standard TT" w:cs="Old Standard TT" w:eastAsia="Old Standard TT" w:hAnsi="Old Standard TT"/>
          <w:sz w:val="21"/>
          <w:szCs w:val="21"/>
          <w:rtl w:val="0"/>
        </w:rPr>
        <w:t xml:space="preserve">, the embedded model is supplied for use on the Union market in the course of a commercial activity, which is what Article 3, points (9) and (10) say placing means; that reads as interpretation. Where the own system is merely </w:t>
      </w:r>
      <w:r>
        <w:rPr>
          <w:rFonts w:ascii="Old Standard TT" w:cs="Old Standard TT" w:eastAsia="Old Standard TT" w:hAnsi="Old Standard TT"/>
          <w:i w:val="1"/>
          <w:iCs w:val="1"/>
          <w:sz w:val="21"/>
          <w:szCs w:val="21"/>
          <w:rtl w:val="0"/>
        </w:rPr>
        <w:t xml:space="preserve">put into service</w:t>
      </w:r>
      <w:r>
        <w:rPr>
          <w:rFonts w:ascii="Old Standard TT" w:cs="Old Standard TT" w:eastAsia="Old Standard TT" w:hAnsi="Old Standard TT"/>
          <w:sz w:val="21"/>
          <w:szCs w:val="21"/>
          <w:rtl w:val="0"/>
        </w:rPr>
        <w:t xml:space="preserve">, nothing is supplied to anyone, and putting into service is exactly the trigger Article 2(1), point (a) withholds from models — and that is the only limb a never-released model could use. Paragraph 9 of the Guidelines says they are “not binding” but set out the interpretation “</w:t>
      </w:r>
      <w:r>
        <w:rPr>
          <w:rFonts w:ascii="Old Standard TT" w:cs="Old Standard TT" w:eastAsia="Old Standard TT" w:hAnsi="Old Standard TT"/>
          <w:b w:val="1"/>
          <w:bCs w:val="1"/>
          <w:sz w:val="21"/>
          <w:szCs w:val="21"/>
          <w:rtl w:val="0"/>
        </w:rPr>
        <w:t xml:space="preserve">on which it will base its enforcement action</w:t>
      </w:r>
      <w:r>
        <w:rPr>
          <w:rFonts w:ascii="Old Standard TT" w:cs="Old Standard TT" w:eastAsia="Old Standard TT" w:hAnsi="Old Standard TT"/>
          <w:sz w:val="21"/>
          <w:szCs w:val="21"/>
          <w:rtl w:val="0"/>
        </w:rPr>
        <w:t xml:space="preserve">”: the reading governs what the Commission will do, and remains open to a provider prepared to litigate.</w:t>
      </w:r>
    </w:p>
    <w:p>
      <w:pPr>
        <w:pStyle w:val="Heading3"/>
        <w:keepNext w:val="1"/>
        <w:spacing w:after="60" w:before="200" w:line="240" w:lineRule="auto"/>
        <w:jc w:val="left"/>
        <w:rPr>
          <w:rFonts w:ascii="Old Standard TT" w:cs="Old Standard TT" w:eastAsia="Old Standard TT" w:hAnsi="Old Standard TT"/>
          <w:sz w:val="24"/>
          <w:szCs w:val="24"/>
        </w:rPr>
      </w:pPr>
      <w:r>
        <w:rPr>
          <w:rFonts w:ascii="Old Standard TT" w:cs="Old Standard TT" w:eastAsia="Old Standard TT" w:hAnsi="Old Standard TT"/>
          <w:i w:val="1"/>
          <w:iCs w:val="1"/>
          <w:color w:val="434343"/>
          <w:sz w:val="24"/>
          <w:szCs w:val="24"/>
          <w:rtl w:val="0"/>
        </w:rPr>
        <w:t xml:space="preserve">4.2 The form cannot show what the clock needs</w:t>
      </w:r>
    </w:p>
    <w:p>
      <w:pPr>
        <w:spacing w:after="120" w:before="0" w:line="264" w:lineRule="auto"/>
        <w:jc w:val="both"/>
        <w:rPr>
          <w:rFonts w:ascii="Old Standard TT" w:cs="Old Standard TT" w:eastAsia="Old Standard TT" w:hAnsi="Old Standard TT"/>
          <w:sz w:val="21"/>
          <w:szCs w:val="21"/>
        </w:rPr>
      </w:pPr>
      <w:r>
        <w:rPr>
          <w:rFonts w:ascii="Old Standard TT" w:cs="Old Standard TT" w:eastAsia="Old Standard TT" w:hAnsi="Old Standard TT"/>
          <w:sz w:val="21"/>
          <w:szCs w:val="21"/>
          <w:rtl w:val="0"/>
        </w:rPr>
        <w:t xml:space="preserve">Article 55(1), point (c) fixes no period. Measure 9.3 of the Code’s Safety and Security Chapter runs each initial-report period from the date a Signatory becomes aware of its model’s involvement: two days for a serious and irreversible disruption of critical infrastructure, </w:t>
      </w:r>
      <w:r>
        <w:rPr>
          <w:rFonts w:ascii="Old Standard TT" w:cs="Old Standard TT" w:eastAsia="Old Standard TT" w:hAnsi="Old Standard TT"/>
          <w:b w:val="1"/>
          <w:bCs w:val="1"/>
          <w:sz w:val="21"/>
          <w:szCs w:val="21"/>
          <w:rtl w:val="0"/>
        </w:rPr>
        <w:t xml:space="preserve">five days for “a serious cybersecurity breach, including the (self-)exfiltration of model weights and cyberattacks”</w:t>
      </w:r>
      <w:r>
        <w:rPr>
          <w:rFonts w:ascii="Old Standard TT" w:cs="Old Standard TT" w:eastAsia="Old Standard TT" w:hAnsi="Old Standard TT"/>
          <w:sz w:val="21"/>
          <w:szCs w:val="21"/>
          <w:rtl w:val="0"/>
        </w:rPr>
        <w:t xml:space="preserve">, 10 days for a death, 15 days otherwise. That second trigger has </w:t>
      </w:r>
      <w:r>
        <w:rPr>
          <w:rFonts w:ascii="Old Standard TT" w:cs="Old Standard TT" w:eastAsia="Old Standard TT" w:hAnsi="Old Standard TT"/>
          <w:b w:val="1"/>
          <w:bCs w:val="1"/>
          <w:sz w:val="21"/>
          <w:szCs w:val="21"/>
          <w:rtl w:val="0"/>
        </w:rPr>
        <w:t xml:space="preserve">no counterpart in Article 3, point (49)</w:t>
      </w:r>
      <w:r>
        <w:rPr>
          <w:rFonts w:ascii="Old Standard TT" w:cs="Old Standard TT" w:eastAsia="Old Standard TT" w:hAnsi="Old Standard TT"/>
          <w:sz w:val="21"/>
          <w:szCs w:val="21"/>
          <w:rtl w:val="0"/>
        </w:rPr>
        <w:t xml:space="preserve">, and a model that escapes containment into a third party’s production infrastructure sits inside it far more naturally than inside the property limb. Paragraph (100) of the Guidelines records that the AI Office considers the obligation to cover serious cybersecurity breaches “including the (self-)exfiltration of model parameters and cyberattacks”, anchoring it in Article 55(1), points (b) and (d) — so the Article 3(49) limbs need not be reached at all.</w:t>
      </w:r>
    </w:p>
    <w:p>
      <w:pPr>
        <w:spacing w:after="120" w:before="0" w:line="264" w:lineRule="auto"/>
        <w:jc w:val="both"/>
        <w:rPr>
          <w:rFonts w:ascii="Old Standard TT" w:cs="Old Standard TT" w:eastAsia="Old Standard TT" w:hAnsi="Old Standard TT"/>
          <w:sz w:val="21"/>
          <w:szCs w:val="21"/>
        </w:rPr>
      </w:pPr>
      <w:r>
        <w:rPr>
          <w:rFonts w:ascii="Old Standard TT" w:cs="Old Standard TT" w:eastAsia="Old Standard TT" w:hAnsi="Old Standard TT"/>
          <w:b w:val="1"/>
          <w:bCs w:val="1"/>
          <w:sz w:val="21"/>
          <w:szCs w:val="21"/>
          <w:rtl w:val="0"/>
        </w:rPr>
        <w:t xml:space="preserve">The form omits the date its own clock runs from.</w:t>
      </w:r>
      <w:r>
        <w:rPr>
          <w:rFonts w:ascii="Old Standard TT" w:cs="Old Standard TT" w:eastAsia="Old Standard TT" w:hAnsi="Old Standard TT"/>
          <w:sz w:val="21"/>
          <w:szCs w:val="21"/>
          <w:rtl w:val="0"/>
        </w:rPr>
        <w:t xml:space="preserve"> Table 1 fills the official template of 4 November 2025 from the public record. It asks the start and end dates of the incident and no other date; “aware”, “awareness”, “deadline” and “timeline” do not occur in it, in either published rendition, checked at the level of the DOCX’s own stored field labels. The cause is traceable: fields 1 to 9 transcribe Measure 9.2 item for item, and Measure 9.2 has no awareness item either. The claim needs nothing from the scope analysis — the template says on its face that it demonstrates compliance “as part of Commitment 9”, every initial-report period in Measure 9.3 runs from awareness, and the form has no awareness field, so on the Code’s own terms it cannot evidence the Code’s own periods. Nor is it hypothetical: a report on the wiki episode has been filed, the Commission has confirmed receipt, and its spokesperson has declined to disclose the date or the contents (European Commission, 2026b). The Commission has already drafted both missing fields — for the high-risk regime, whose draft template asks for the date of submission, the date and time of detection and the “Manufacturer awareness date of reportability” (Appendix C). The amended template attached here closes the gap from the model side without waiting for the high-risk classification that regime depends on, which the Omnibus deferred to December 2027 and August 2028.</w:t>
      </w:r>
    </w:p>
    <w:tbl>
      <w:tblPr>
        <w:tblStyle w:val="TableNormal"/>
        <w:tblW w:w="9360" w:type="dxa"/>
        <w:jc w:val="left"/>
        <w:tblLayout w:type="fixed"/>
        <w:tblLook w:val="0600"/>
      </w:tblPr>
      <w:tblGrid>
        <w:gridCol w:w="440"/>
        <w:gridCol w:w="1780"/>
        <w:gridCol w:w="5640"/>
        <w:gridCol w:w="1500"/>
      </w:tblGrid>
      <w:tr>
        <w:trPr>
          <w:cantSplit w:val="0"/>
          <w:tblHeader w:val="1"/>
        </w:trPr>
        <w:tc>
          <w:tcPr>
            <w:tcW w:w="440" w:type="dxa"/>
            <w:tcBorders>
              <w:top w:color="999999" w:space="0" w:sz="4" w:val="single"/>
              <w:left w:color="999999" w:space="0" w:sz="4" w:val="single"/>
              <w:bottom w:color="999999" w:space="0" w:sz="4" w:val="single"/>
              <w:right w:color="999999" w:space="0" w:sz="4" w:val="single"/>
            </w:tcBorders>
            <w:shd w:fill="EFEFEF" w:val="clear"/>
            <w:tcMar>
              <w:top w:w="60" w:type="dxa"/>
              <w:left w:w="80" w:type="dxa"/>
              <w:bottom w:w="60" w:type="dxa"/>
              <w:right w:w="80" w:type="dxa"/>
            </w:tcMar>
            <w:vAlign w:val="top"/>
          </w:tcPr>
          <w:p>
            <w:pPr>
              <w:spacing w:after="20" w:before="20" w:line="240" w:lineRule="auto"/>
              <w:jc w:val="left"/>
              <w:rPr>
                <w:rFonts w:ascii="Old Standard TT" w:cs="Old Standard TT" w:eastAsia="Old Standard TT" w:hAnsi="Old Standard TT"/>
                <w:sz w:val="17"/>
                <w:szCs w:val="17"/>
              </w:rPr>
            </w:pPr>
            <w:r>
              <w:rPr>
                <w:rFonts w:ascii="Old Standard TT" w:cs="Old Standard TT" w:eastAsia="Old Standard TT" w:hAnsi="Old Standard TT"/>
                <w:b w:val="1"/>
                <w:bCs w:val="1"/>
                <w:sz w:val="17"/>
                <w:szCs w:val="17"/>
                <w:rtl w:val="0"/>
              </w:rPr>
              <w:t xml:space="preserve">#</w:t>
            </w:r>
          </w:p>
        </w:tc>
        <w:tc>
          <w:tcPr>
            <w:tcW w:w="1780" w:type="dxa"/>
            <w:tcBorders>
              <w:top w:color="999999" w:space="0" w:sz="4" w:val="single"/>
              <w:left w:color="999999" w:space="0" w:sz="4" w:val="single"/>
              <w:bottom w:color="999999" w:space="0" w:sz="4" w:val="single"/>
              <w:right w:color="999999" w:space="0" w:sz="4" w:val="single"/>
            </w:tcBorders>
            <w:shd w:fill="EFEFEF" w:val="clear"/>
            <w:tcMar>
              <w:top w:w="60" w:type="dxa"/>
              <w:left w:w="80" w:type="dxa"/>
              <w:bottom w:w="60" w:type="dxa"/>
              <w:right w:w="80" w:type="dxa"/>
            </w:tcMar>
            <w:vAlign w:val="top"/>
          </w:tcPr>
          <w:p>
            <w:pPr>
              <w:spacing w:after="20" w:before="20" w:line="240" w:lineRule="auto"/>
              <w:jc w:val="left"/>
              <w:rPr>
                <w:rFonts w:ascii="Old Standard TT" w:cs="Old Standard TT" w:eastAsia="Old Standard TT" w:hAnsi="Old Standard TT"/>
                <w:sz w:val="17"/>
                <w:szCs w:val="17"/>
              </w:rPr>
            </w:pPr>
            <w:r>
              <w:rPr>
                <w:rFonts w:ascii="Old Standard TT" w:cs="Old Standard TT" w:eastAsia="Old Standard TT" w:hAnsi="Old Standard TT"/>
                <w:b w:val="1"/>
                <w:bCs w:val="1"/>
                <w:sz w:val="17"/>
                <w:szCs w:val="17"/>
                <w:rtl w:val="0"/>
              </w:rPr>
              <w:t xml:space="preserve">Field</w:t>
            </w:r>
          </w:p>
        </w:tc>
        <w:tc>
          <w:tcPr>
            <w:tcW w:w="5640" w:type="dxa"/>
            <w:tcBorders>
              <w:top w:color="999999" w:space="0" w:sz="4" w:val="single"/>
              <w:left w:color="999999" w:space="0" w:sz="4" w:val="single"/>
              <w:bottom w:color="999999" w:space="0" w:sz="4" w:val="single"/>
              <w:right w:color="999999" w:space="0" w:sz="4" w:val="single"/>
            </w:tcBorders>
            <w:shd w:fill="EFEFEF" w:val="clear"/>
            <w:tcMar>
              <w:top w:w="60" w:type="dxa"/>
              <w:left w:w="80" w:type="dxa"/>
              <w:bottom w:w="60" w:type="dxa"/>
              <w:right w:w="80" w:type="dxa"/>
            </w:tcMar>
            <w:vAlign w:val="top"/>
          </w:tcPr>
          <w:p>
            <w:pPr>
              <w:spacing w:after="20" w:before="20" w:line="240" w:lineRule="auto"/>
              <w:jc w:val="left"/>
              <w:rPr>
                <w:rFonts w:ascii="Old Standard TT" w:cs="Old Standard TT" w:eastAsia="Old Standard TT" w:hAnsi="Old Standard TT"/>
                <w:sz w:val="17"/>
                <w:szCs w:val="17"/>
              </w:rPr>
            </w:pPr>
            <w:r>
              <w:rPr>
                <w:rFonts w:ascii="Old Standard TT" w:cs="Old Standard TT" w:eastAsia="Old Standard TT" w:hAnsi="Old Standard TT"/>
                <w:b w:val="1"/>
                <w:bCs w:val="1"/>
                <w:sz w:val="17"/>
                <w:szCs w:val="17"/>
                <w:rtl w:val="0"/>
              </w:rPr>
              <w:t xml:space="preserve">What the public record gives</w:t>
            </w:r>
          </w:p>
        </w:tc>
        <w:tc>
          <w:tcPr>
            <w:tcW w:w="1500" w:type="dxa"/>
            <w:tcBorders>
              <w:top w:color="999999" w:space="0" w:sz="4" w:val="single"/>
              <w:left w:color="999999" w:space="0" w:sz="4" w:val="single"/>
              <w:bottom w:color="999999" w:space="0" w:sz="4" w:val="single"/>
              <w:right w:color="999999" w:space="0" w:sz="4" w:val="single"/>
            </w:tcBorders>
            <w:shd w:fill="EFEFEF" w:val="clear"/>
            <w:tcMar>
              <w:top w:w="60" w:type="dxa"/>
              <w:left w:w="80" w:type="dxa"/>
              <w:bottom w:w="60" w:type="dxa"/>
              <w:right w:w="80" w:type="dxa"/>
            </w:tcMar>
            <w:vAlign w:val="top"/>
          </w:tcPr>
          <w:p>
            <w:pPr>
              <w:spacing w:after="20" w:before="20" w:line="240" w:lineRule="auto"/>
              <w:jc w:val="left"/>
              <w:rPr>
                <w:rFonts w:ascii="Old Standard TT" w:cs="Old Standard TT" w:eastAsia="Old Standard TT" w:hAnsi="Old Standard TT"/>
                <w:sz w:val="17"/>
                <w:szCs w:val="17"/>
              </w:rPr>
            </w:pPr>
            <w:r>
              <w:rPr>
                <w:rFonts w:ascii="Old Standard TT" w:cs="Old Standard TT" w:eastAsia="Old Standard TT" w:hAnsi="Old Standard TT"/>
                <w:b w:val="1"/>
                <w:bCs w:val="1"/>
                <w:sz w:val="17"/>
                <w:szCs w:val="17"/>
                <w:rtl w:val="0"/>
              </w:rPr>
              <w:t xml:space="preserve">Status</w:t>
            </w:r>
          </w:p>
        </w:tc>
      </w:tr>
      <w:tr>
        <w:trPr>
          <w:cantSplit w:val="0"/>
          <w:tblHeader w:val="0"/>
        </w:trPr>
        <w:tc>
          <w:tcPr>
            <w:tcW w:w="440" w:type="dxa"/>
            <w:tcBorders>
              <w:top w:color="999999" w:space="0" w:sz="4" w:val="single"/>
              <w:left w:color="999999" w:space="0" w:sz="4" w:val="single"/>
              <w:bottom w:color="999999" w:space="0" w:sz="4" w:val="single"/>
              <w:right w:color="999999" w:space="0" w:sz="4" w:val="single"/>
            </w:tcBorders>
            <w:shd w:fill="auto" w:val="clear"/>
            <w:tcMar>
              <w:top w:w="60" w:type="dxa"/>
              <w:left w:w="80" w:type="dxa"/>
              <w:bottom w:w="60" w:type="dxa"/>
              <w:right w:w="80" w:type="dxa"/>
            </w:tcMar>
            <w:vAlign w:val="top"/>
          </w:tcPr>
          <w:p>
            <w:pPr>
              <w:spacing w:after="20" w:before="20" w:line="240" w:lineRule="auto"/>
              <w:jc w:val="left"/>
              <w:rPr>
                <w:rFonts w:ascii="Old Standard TT" w:cs="Old Standard TT" w:eastAsia="Old Standard TT" w:hAnsi="Old Standard TT"/>
                <w:sz w:val="17"/>
                <w:szCs w:val="17"/>
              </w:rPr>
            </w:pPr>
            <w:r>
              <w:rPr>
                <w:rFonts w:ascii="Old Standard TT" w:cs="Old Standard TT" w:eastAsia="Old Standard TT" w:hAnsi="Old Standard TT"/>
                <w:sz w:val="17"/>
                <w:szCs w:val="17"/>
                <w:rtl w:val="0"/>
              </w:rPr>
              <w:t xml:space="preserve">1</w:t>
            </w:r>
          </w:p>
        </w:tc>
        <w:tc>
          <w:tcPr>
            <w:tcW w:w="1780" w:type="dxa"/>
            <w:tcBorders>
              <w:top w:color="999999" w:space="0" w:sz="4" w:val="single"/>
              <w:left w:color="999999" w:space="0" w:sz="4" w:val="single"/>
              <w:bottom w:color="999999" w:space="0" w:sz="4" w:val="single"/>
              <w:right w:color="999999" w:space="0" w:sz="4" w:val="single"/>
            </w:tcBorders>
            <w:shd w:fill="auto" w:val="clear"/>
            <w:tcMar>
              <w:top w:w="60" w:type="dxa"/>
              <w:left w:w="80" w:type="dxa"/>
              <w:bottom w:w="60" w:type="dxa"/>
              <w:right w:w="80" w:type="dxa"/>
            </w:tcMar>
            <w:vAlign w:val="top"/>
          </w:tcPr>
          <w:p>
            <w:pPr>
              <w:spacing w:after="20" w:before="20" w:line="240" w:lineRule="auto"/>
              <w:jc w:val="left"/>
              <w:rPr>
                <w:rFonts w:ascii="Old Standard TT" w:cs="Old Standard TT" w:eastAsia="Old Standard TT" w:hAnsi="Old Standard TT"/>
                <w:sz w:val="17"/>
                <w:szCs w:val="17"/>
              </w:rPr>
            </w:pPr>
            <w:r>
              <w:rPr>
                <w:rFonts w:ascii="Old Standard TT" w:cs="Old Standard TT" w:eastAsia="Old Standard TT" w:hAnsi="Old Standard TT"/>
                <w:sz w:val="17"/>
                <w:szCs w:val="17"/>
                <w:rtl w:val="0"/>
              </w:rPr>
              <w:t xml:space="preserve">Start and end dates</w:t>
            </w:r>
          </w:p>
        </w:tc>
        <w:tc>
          <w:tcPr>
            <w:tcW w:w="5640" w:type="dxa"/>
            <w:tcBorders>
              <w:top w:color="999999" w:space="0" w:sz="4" w:val="single"/>
              <w:left w:color="999999" w:space="0" w:sz="4" w:val="single"/>
              <w:bottom w:color="999999" w:space="0" w:sz="4" w:val="single"/>
              <w:right w:color="999999" w:space="0" w:sz="4" w:val="single"/>
            </w:tcBorders>
            <w:shd w:fill="auto" w:val="clear"/>
            <w:tcMar>
              <w:top w:w="60" w:type="dxa"/>
              <w:left w:w="80" w:type="dxa"/>
              <w:bottom w:w="60" w:type="dxa"/>
              <w:right w:w="80" w:type="dxa"/>
            </w:tcMar>
            <w:vAlign w:val="top"/>
          </w:tcPr>
          <w:p>
            <w:pPr>
              <w:spacing w:after="20" w:before="20" w:line="240" w:lineRule="auto"/>
              <w:jc w:val="left"/>
              <w:rPr>
                <w:rFonts w:ascii="Old Standard TT" w:cs="Old Standard TT" w:eastAsia="Old Standard TT" w:hAnsi="Old Standard TT"/>
                <w:sz w:val="17"/>
                <w:szCs w:val="17"/>
              </w:rPr>
            </w:pPr>
            <w:r>
              <w:rPr>
                <w:rFonts w:ascii="Old Standard TT" w:cs="Old Standard TT" w:eastAsia="Old Standard TT" w:hAnsi="Old Standard TT"/>
                <w:sz w:val="17"/>
                <w:szCs w:val="17"/>
                <w:rtl w:val="0"/>
              </w:rPr>
              <w:t xml:space="preserve">An intrusion window at the victim, not of the containment failure</w:t>
            </w:r>
          </w:p>
        </w:tc>
        <w:tc>
          <w:tcPr>
            <w:tcW w:w="1500" w:type="dxa"/>
            <w:tcBorders>
              <w:top w:color="999999" w:space="0" w:sz="4" w:val="single"/>
              <w:left w:color="999999" w:space="0" w:sz="4" w:val="single"/>
              <w:bottom w:color="999999" w:space="0" w:sz="4" w:val="single"/>
              <w:right w:color="999999" w:space="0" w:sz="4" w:val="single"/>
            </w:tcBorders>
            <w:shd w:fill="auto" w:val="clear"/>
            <w:tcMar>
              <w:top w:w="60" w:type="dxa"/>
              <w:left w:w="80" w:type="dxa"/>
              <w:bottom w:w="60" w:type="dxa"/>
              <w:right w:w="80" w:type="dxa"/>
            </w:tcMar>
            <w:vAlign w:val="top"/>
          </w:tcPr>
          <w:p>
            <w:pPr>
              <w:spacing w:after="20" w:before="20" w:line="240" w:lineRule="auto"/>
              <w:jc w:val="left"/>
              <w:rPr>
                <w:rFonts w:ascii="Old Standard TT" w:cs="Old Standard TT" w:eastAsia="Old Standard TT" w:hAnsi="Old Standard TT"/>
                <w:sz w:val="17"/>
                <w:szCs w:val="17"/>
              </w:rPr>
            </w:pPr>
            <w:r>
              <w:rPr>
                <w:rFonts w:ascii="Old Standard TT" w:cs="Old Standard TT" w:eastAsia="Old Standard TT" w:hAnsi="Old Standard TT"/>
                <w:sz w:val="17"/>
                <w:szCs w:val="17"/>
                <w:rtl w:val="0"/>
              </w:rPr>
              <w:t xml:space="preserve">partial</w:t>
            </w:r>
          </w:p>
        </w:tc>
      </w:tr>
      <w:tr>
        <w:trPr>
          <w:cantSplit w:val="0"/>
          <w:tblHeader w:val="0"/>
        </w:trPr>
        <w:tc>
          <w:tcPr>
            <w:tcW w:w="440" w:type="dxa"/>
            <w:tcBorders>
              <w:top w:color="999999" w:space="0" w:sz="4" w:val="single"/>
              <w:left w:color="999999" w:space="0" w:sz="4" w:val="single"/>
              <w:bottom w:color="999999" w:space="0" w:sz="4" w:val="single"/>
              <w:right w:color="999999" w:space="0" w:sz="4" w:val="single"/>
            </w:tcBorders>
            <w:shd w:fill="auto" w:val="clear"/>
            <w:tcMar>
              <w:top w:w="60" w:type="dxa"/>
              <w:left w:w="80" w:type="dxa"/>
              <w:bottom w:w="60" w:type="dxa"/>
              <w:right w:w="80" w:type="dxa"/>
            </w:tcMar>
            <w:vAlign w:val="top"/>
          </w:tcPr>
          <w:p>
            <w:pPr>
              <w:spacing w:after="20" w:before="20" w:line="240" w:lineRule="auto"/>
              <w:jc w:val="left"/>
              <w:rPr>
                <w:rFonts w:ascii="Old Standard TT" w:cs="Old Standard TT" w:eastAsia="Old Standard TT" w:hAnsi="Old Standard TT"/>
                <w:sz w:val="17"/>
                <w:szCs w:val="17"/>
              </w:rPr>
            </w:pPr>
            <w:r>
              <w:rPr>
                <w:rFonts w:ascii="Old Standard TT" w:cs="Old Standard TT" w:eastAsia="Old Standard TT" w:hAnsi="Old Standard TT"/>
                <w:sz w:val="17"/>
                <w:szCs w:val="17"/>
                <w:rtl w:val="0"/>
              </w:rPr>
              <w:t xml:space="preserve">2</w:t>
            </w:r>
          </w:p>
        </w:tc>
        <w:tc>
          <w:tcPr>
            <w:tcW w:w="1780" w:type="dxa"/>
            <w:tcBorders>
              <w:top w:color="999999" w:space="0" w:sz="4" w:val="single"/>
              <w:left w:color="999999" w:space="0" w:sz="4" w:val="single"/>
              <w:bottom w:color="999999" w:space="0" w:sz="4" w:val="single"/>
              <w:right w:color="999999" w:space="0" w:sz="4" w:val="single"/>
            </w:tcBorders>
            <w:shd w:fill="auto" w:val="clear"/>
            <w:tcMar>
              <w:top w:w="60" w:type="dxa"/>
              <w:left w:w="80" w:type="dxa"/>
              <w:bottom w:w="60" w:type="dxa"/>
              <w:right w:w="80" w:type="dxa"/>
            </w:tcMar>
            <w:vAlign w:val="top"/>
          </w:tcPr>
          <w:p>
            <w:pPr>
              <w:spacing w:after="20" w:before="20" w:line="240" w:lineRule="auto"/>
              <w:jc w:val="left"/>
              <w:rPr>
                <w:rFonts w:ascii="Old Standard TT" w:cs="Old Standard TT" w:eastAsia="Old Standard TT" w:hAnsi="Old Standard TT"/>
                <w:sz w:val="17"/>
                <w:szCs w:val="17"/>
              </w:rPr>
            </w:pPr>
            <w:r>
              <w:rPr>
                <w:rFonts w:ascii="Old Standard TT" w:cs="Old Standard TT" w:eastAsia="Old Standard TT" w:hAnsi="Old Standard TT"/>
                <w:sz w:val="17"/>
                <w:szCs w:val="17"/>
                <w:rtl w:val="0"/>
              </w:rPr>
              <w:t xml:space="preserve">Resulting harm</w:t>
            </w:r>
          </w:p>
        </w:tc>
        <w:tc>
          <w:tcPr>
            <w:tcW w:w="5640" w:type="dxa"/>
            <w:tcBorders>
              <w:top w:color="999999" w:space="0" w:sz="4" w:val="single"/>
              <w:left w:color="999999" w:space="0" w:sz="4" w:val="single"/>
              <w:bottom w:color="999999" w:space="0" w:sz="4" w:val="single"/>
              <w:right w:color="999999" w:space="0" w:sz="4" w:val="single"/>
            </w:tcBorders>
            <w:shd w:fill="auto" w:val="clear"/>
            <w:tcMar>
              <w:top w:w="60" w:type="dxa"/>
              <w:left w:w="80" w:type="dxa"/>
              <w:bottom w:w="60" w:type="dxa"/>
              <w:right w:w="80" w:type="dxa"/>
            </w:tcMar>
            <w:vAlign w:val="top"/>
          </w:tcPr>
          <w:p>
            <w:pPr>
              <w:spacing w:after="20" w:before="20" w:line="240" w:lineRule="auto"/>
              <w:jc w:val="left"/>
              <w:rPr>
                <w:rFonts w:ascii="Old Standard TT" w:cs="Old Standard TT" w:eastAsia="Old Standard TT" w:hAnsi="Old Standard TT"/>
                <w:sz w:val="17"/>
                <w:szCs w:val="17"/>
              </w:rPr>
            </w:pPr>
            <w:r>
              <w:rPr>
                <w:rFonts w:ascii="Old Standard TT" w:cs="Old Standard TT" w:eastAsia="Old Standard TT" w:hAnsi="Old Standard TT"/>
                <w:sz w:val="17"/>
                <w:szCs w:val="17"/>
                <w:rtl w:val="0"/>
              </w:rPr>
              <w:t xml:space="preserve">One cluster wiped and rebuilt, credentials rotated, five datasets touched — </w:t>
            </w:r>
            <w:r>
              <w:rPr>
                <w:rFonts w:ascii="Old Standard TT" w:cs="Old Standard TT" w:eastAsia="Old Standard TT" w:hAnsi="Old Standard TT"/>
                <w:b w:val="1"/>
                <w:bCs w:val="1"/>
                <w:sz w:val="17"/>
                <w:szCs w:val="17"/>
                <w:rtl w:val="0"/>
              </w:rPr>
              <w:t xml:space="preserve">from the affected party</w:t>
            </w:r>
          </w:p>
        </w:tc>
        <w:tc>
          <w:tcPr>
            <w:tcW w:w="1500" w:type="dxa"/>
            <w:tcBorders>
              <w:top w:color="999999" w:space="0" w:sz="4" w:val="single"/>
              <w:left w:color="999999" w:space="0" w:sz="4" w:val="single"/>
              <w:bottom w:color="999999" w:space="0" w:sz="4" w:val="single"/>
              <w:right w:color="999999" w:space="0" w:sz="4" w:val="single"/>
            </w:tcBorders>
            <w:shd w:fill="auto" w:val="clear"/>
            <w:tcMar>
              <w:top w:w="60" w:type="dxa"/>
              <w:left w:w="80" w:type="dxa"/>
              <w:bottom w:w="60" w:type="dxa"/>
              <w:right w:w="80" w:type="dxa"/>
            </w:tcMar>
            <w:vAlign w:val="top"/>
          </w:tcPr>
          <w:p>
            <w:pPr>
              <w:spacing w:after="20" w:before="20" w:line="240" w:lineRule="auto"/>
              <w:jc w:val="left"/>
              <w:rPr>
                <w:rFonts w:ascii="Old Standard TT" w:cs="Old Standard TT" w:eastAsia="Old Standard TT" w:hAnsi="Old Standard TT"/>
                <w:sz w:val="17"/>
                <w:szCs w:val="17"/>
              </w:rPr>
            </w:pPr>
            <w:r>
              <w:rPr>
                <w:rFonts w:ascii="Old Standard TT" w:cs="Old Standard TT" w:eastAsia="Old Standard TT" w:hAnsi="Old Standard TT"/>
                <w:sz w:val="17"/>
                <w:szCs w:val="17"/>
                <w:rtl w:val="0"/>
              </w:rPr>
              <w:t xml:space="preserve">filled</w:t>
            </w:r>
          </w:p>
        </w:tc>
      </w:tr>
      <w:tr>
        <w:trPr>
          <w:cantSplit w:val="0"/>
          <w:tblHeader w:val="0"/>
        </w:trPr>
        <w:tc>
          <w:tcPr>
            <w:tcW w:w="440" w:type="dxa"/>
            <w:tcBorders>
              <w:top w:color="999999" w:space="0" w:sz="4" w:val="single"/>
              <w:left w:color="999999" w:space="0" w:sz="4" w:val="single"/>
              <w:bottom w:color="999999" w:space="0" w:sz="4" w:val="single"/>
              <w:right w:color="999999" w:space="0" w:sz="4" w:val="single"/>
            </w:tcBorders>
            <w:shd w:fill="auto" w:val="clear"/>
            <w:tcMar>
              <w:top w:w="60" w:type="dxa"/>
              <w:left w:w="80" w:type="dxa"/>
              <w:bottom w:w="60" w:type="dxa"/>
              <w:right w:w="80" w:type="dxa"/>
            </w:tcMar>
            <w:vAlign w:val="top"/>
          </w:tcPr>
          <w:p>
            <w:pPr>
              <w:spacing w:after="20" w:before="20" w:line="240" w:lineRule="auto"/>
              <w:jc w:val="left"/>
              <w:rPr>
                <w:rFonts w:ascii="Old Standard TT" w:cs="Old Standard TT" w:eastAsia="Old Standard TT" w:hAnsi="Old Standard TT"/>
                <w:sz w:val="17"/>
                <w:szCs w:val="17"/>
              </w:rPr>
            </w:pPr>
            <w:r>
              <w:rPr>
                <w:rFonts w:ascii="Old Standard TT" w:cs="Old Standard TT" w:eastAsia="Old Standard TT" w:hAnsi="Old Standard TT"/>
                <w:sz w:val="17"/>
                <w:szCs w:val="17"/>
                <w:rtl w:val="0"/>
              </w:rPr>
              <w:t xml:space="preserve">3</w:t>
            </w:r>
          </w:p>
        </w:tc>
        <w:tc>
          <w:tcPr>
            <w:tcW w:w="1780" w:type="dxa"/>
            <w:tcBorders>
              <w:top w:color="999999" w:space="0" w:sz="4" w:val="single"/>
              <w:left w:color="999999" w:space="0" w:sz="4" w:val="single"/>
              <w:bottom w:color="999999" w:space="0" w:sz="4" w:val="single"/>
              <w:right w:color="999999" w:space="0" w:sz="4" w:val="single"/>
            </w:tcBorders>
            <w:shd w:fill="auto" w:val="clear"/>
            <w:tcMar>
              <w:top w:w="60" w:type="dxa"/>
              <w:left w:w="80" w:type="dxa"/>
              <w:bottom w:w="60" w:type="dxa"/>
              <w:right w:w="80" w:type="dxa"/>
            </w:tcMar>
            <w:vAlign w:val="top"/>
          </w:tcPr>
          <w:p>
            <w:pPr>
              <w:spacing w:after="20" w:before="20" w:line="240" w:lineRule="auto"/>
              <w:jc w:val="left"/>
              <w:rPr>
                <w:rFonts w:ascii="Old Standard TT" w:cs="Old Standard TT" w:eastAsia="Old Standard TT" w:hAnsi="Old Standard TT"/>
                <w:sz w:val="17"/>
                <w:szCs w:val="17"/>
              </w:rPr>
            </w:pPr>
            <w:r>
              <w:rPr>
                <w:rFonts w:ascii="Old Standard TT" w:cs="Old Standard TT" w:eastAsia="Old Standard TT" w:hAnsi="Old Standard TT"/>
                <w:sz w:val="17"/>
                <w:szCs w:val="17"/>
                <w:rtl w:val="0"/>
              </w:rPr>
              <w:t xml:space="preserve">Chain of events</w:t>
            </w:r>
          </w:p>
        </w:tc>
        <w:tc>
          <w:tcPr>
            <w:tcW w:w="5640" w:type="dxa"/>
            <w:tcBorders>
              <w:top w:color="999999" w:space="0" w:sz="4" w:val="single"/>
              <w:left w:color="999999" w:space="0" w:sz="4" w:val="single"/>
              <w:bottom w:color="999999" w:space="0" w:sz="4" w:val="single"/>
              <w:right w:color="999999" w:space="0" w:sz="4" w:val="single"/>
            </w:tcBorders>
            <w:shd w:fill="auto" w:val="clear"/>
            <w:tcMar>
              <w:top w:w="60" w:type="dxa"/>
              <w:left w:w="80" w:type="dxa"/>
              <w:bottom w:w="60" w:type="dxa"/>
              <w:right w:w="80" w:type="dxa"/>
            </w:tcMar>
            <w:vAlign w:val="top"/>
          </w:tcPr>
          <w:p>
            <w:pPr>
              <w:spacing w:after="20" w:before="20" w:line="240" w:lineRule="auto"/>
              <w:jc w:val="left"/>
              <w:rPr>
                <w:rFonts w:ascii="Old Standard TT" w:cs="Old Standard TT" w:eastAsia="Old Standard TT" w:hAnsi="Old Standard TT"/>
                <w:sz w:val="17"/>
                <w:szCs w:val="17"/>
              </w:rPr>
            </w:pPr>
            <w:r>
              <w:rPr>
                <w:rFonts w:ascii="Old Standard TT" w:cs="Old Standard TT" w:eastAsia="Old Standard TT" w:hAnsi="Old Standard TT"/>
                <w:sz w:val="17"/>
                <w:szCs w:val="17"/>
                <w:rtl w:val="0"/>
              </w:rPr>
              <w:t xml:space="preserve">Two chained vectors at the victim; egress by server-side request forgery</w:t>
            </w:r>
          </w:p>
        </w:tc>
        <w:tc>
          <w:tcPr>
            <w:tcW w:w="1500" w:type="dxa"/>
            <w:tcBorders>
              <w:top w:color="999999" w:space="0" w:sz="4" w:val="single"/>
              <w:left w:color="999999" w:space="0" w:sz="4" w:val="single"/>
              <w:bottom w:color="999999" w:space="0" w:sz="4" w:val="single"/>
              <w:right w:color="999999" w:space="0" w:sz="4" w:val="single"/>
            </w:tcBorders>
            <w:shd w:fill="auto" w:val="clear"/>
            <w:tcMar>
              <w:top w:w="60" w:type="dxa"/>
              <w:left w:w="80" w:type="dxa"/>
              <w:bottom w:w="60" w:type="dxa"/>
              <w:right w:w="80" w:type="dxa"/>
            </w:tcMar>
            <w:vAlign w:val="top"/>
          </w:tcPr>
          <w:p>
            <w:pPr>
              <w:spacing w:after="20" w:before="20" w:line="240" w:lineRule="auto"/>
              <w:jc w:val="left"/>
              <w:rPr>
                <w:rFonts w:ascii="Old Standard TT" w:cs="Old Standard TT" w:eastAsia="Old Standard TT" w:hAnsi="Old Standard TT"/>
                <w:sz w:val="17"/>
                <w:szCs w:val="17"/>
              </w:rPr>
            </w:pPr>
            <w:r>
              <w:rPr>
                <w:rFonts w:ascii="Old Standard TT" w:cs="Old Standard TT" w:eastAsia="Old Standard TT" w:hAnsi="Old Standard TT"/>
                <w:sz w:val="17"/>
                <w:szCs w:val="17"/>
                <w:rtl w:val="0"/>
              </w:rPr>
              <w:t xml:space="preserve">filled</w:t>
            </w:r>
          </w:p>
        </w:tc>
      </w:tr>
      <w:tr>
        <w:trPr>
          <w:cantSplit w:val="0"/>
          <w:tblHeader w:val="0"/>
        </w:trPr>
        <w:tc>
          <w:tcPr>
            <w:tcW w:w="440" w:type="dxa"/>
            <w:tcBorders>
              <w:top w:color="999999" w:space="0" w:sz="4" w:val="single"/>
              <w:left w:color="999999" w:space="0" w:sz="4" w:val="single"/>
              <w:bottom w:color="999999" w:space="0" w:sz="4" w:val="single"/>
              <w:right w:color="999999" w:space="0" w:sz="4" w:val="single"/>
            </w:tcBorders>
            <w:shd w:fill="auto" w:val="clear"/>
            <w:tcMar>
              <w:top w:w="60" w:type="dxa"/>
              <w:left w:w="80" w:type="dxa"/>
              <w:bottom w:w="60" w:type="dxa"/>
              <w:right w:w="80" w:type="dxa"/>
            </w:tcMar>
            <w:vAlign w:val="top"/>
          </w:tcPr>
          <w:p>
            <w:pPr>
              <w:spacing w:after="20" w:before="20" w:line="240" w:lineRule="auto"/>
              <w:jc w:val="left"/>
              <w:rPr>
                <w:rFonts w:ascii="Old Standard TT" w:cs="Old Standard TT" w:eastAsia="Old Standard TT" w:hAnsi="Old Standard TT"/>
                <w:sz w:val="17"/>
                <w:szCs w:val="17"/>
              </w:rPr>
            </w:pPr>
            <w:r>
              <w:rPr>
                <w:rFonts w:ascii="Old Standard TT" w:cs="Old Standard TT" w:eastAsia="Old Standard TT" w:hAnsi="Old Standard TT"/>
                <w:sz w:val="17"/>
                <w:szCs w:val="17"/>
                <w:rtl w:val="0"/>
              </w:rPr>
              <w:t xml:space="preserve">4</w:t>
            </w:r>
          </w:p>
        </w:tc>
        <w:tc>
          <w:tcPr>
            <w:tcW w:w="1780" w:type="dxa"/>
            <w:tcBorders>
              <w:top w:color="999999" w:space="0" w:sz="4" w:val="single"/>
              <w:left w:color="999999" w:space="0" w:sz="4" w:val="single"/>
              <w:bottom w:color="999999" w:space="0" w:sz="4" w:val="single"/>
              <w:right w:color="999999" w:space="0" w:sz="4" w:val="single"/>
            </w:tcBorders>
            <w:shd w:fill="auto" w:val="clear"/>
            <w:tcMar>
              <w:top w:w="60" w:type="dxa"/>
              <w:left w:w="80" w:type="dxa"/>
              <w:bottom w:w="60" w:type="dxa"/>
              <w:right w:w="80" w:type="dxa"/>
            </w:tcMar>
            <w:vAlign w:val="top"/>
          </w:tcPr>
          <w:p>
            <w:pPr>
              <w:spacing w:after="20" w:before="20" w:line="240" w:lineRule="auto"/>
              <w:jc w:val="left"/>
              <w:rPr>
                <w:rFonts w:ascii="Old Standard TT" w:cs="Old Standard TT" w:eastAsia="Old Standard TT" w:hAnsi="Old Standard TT"/>
                <w:sz w:val="17"/>
                <w:szCs w:val="17"/>
              </w:rPr>
            </w:pPr>
            <w:r>
              <w:rPr>
                <w:rFonts w:ascii="Old Standard TT" w:cs="Old Standard TT" w:eastAsia="Old Standard TT" w:hAnsi="Old Standard TT"/>
                <w:sz w:val="17"/>
                <w:szCs w:val="17"/>
                <w:rtl w:val="0"/>
              </w:rPr>
              <w:t xml:space="preserve">Model involved</w:t>
            </w:r>
          </w:p>
        </w:tc>
        <w:tc>
          <w:tcPr>
            <w:tcW w:w="5640" w:type="dxa"/>
            <w:tcBorders>
              <w:top w:color="999999" w:space="0" w:sz="4" w:val="single"/>
              <w:left w:color="999999" w:space="0" w:sz="4" w:val="single"/>
              <w:bottom w:color="999999" w:space="0" w:sz="4" w:val="single"/>
              <w:right w:color="999999" w:space="0" w:sz="4" w:val="single"/>
            </w:tcBorders>
            <w:shd w:fill="auto" w:val="clear"/>
            <w:tcMar>
              <w:top w:w="60" w:type="dxa"/>
              <w:left w:w="80" w:type="dxa"/>
              <w:bottom w:w="60" w:type="dxa"/>
              <w:right w:w="80" w:type="dxa"/>
            </w:tcMar>
            <w:vAlign w:val="top"/>
          </w:tcPr>
          <w:p>
            <w:pPr>
              <w:spacing w:after="20" w:before="20" w:line="240" w:lineRule="auto"/>
              <w:jc w:val="left"/>
              <w:rPr>
                <w:rFonts w:ascii="Old Standard TT" w:cs="Old Standard TT" w:eastAsia="Old Standard TT" w:hAnsi="Old Standard TT"/>
                <w:sz w:val="17"/>
                <w:szCs w:val="17"/>
              </w:rPr>
            </w:pPr>
            <w:r>
              <w:rPr>
                <w:rFonts w:ascii="Old Standard TT" w:cs="Old Standard TT" w:eastAsia="Old Standard TT" w:hAnsi="Old Standard TT"/>
                <w:sz w:val="17"/>
                <w:szCs w:val="17"/>
                <w:rtl w:val="0"/>
              </w:rPr>
              <w:t xml:space="preserve">Two designations, never reconciled, and neither account says they are the same</w:t>
            </w:r>
          </w:p>
        </w:tc>
        <w:tc>
          <w:tcPr>
            <w:tcW w:w="1500" w:type="dxa"/>
            <w:tcBorders>
              <w:top w:color="999999" w:space="0" w:sz="4" w:val="single"/>
              <w:left w:color="999999" w:space="0" w:sz="4" w:val="single"/>
              <w:bottom w:color="999999" w:space="0" w:sz="4" w:val="single"/>
              <w:right w:color="999999" w:space="0" w:sz="4" w:val="single"/>
            </w:tcBorders>
            <w:shd w:fill="auto" w:val="clear"/>
            <w:tcMar>
              <w:top w:w="60" w:type="dxa"/>
              <w:left w:w="80" w:type="dxa"/>
              <w:bottom w:w="60" w:type="dxa"/>
              <w:right w:w="80" w:type="dxa"/>
            </w:tcMar>
            <w:vAlign w:val="top"/>
          </w:tcPr>
          <w:p>
            <w:pPr>
              <w:spacing w:after="20" w:before="20" w:line="240" w:lineRule="auto"/>
              <w:jc w:val="left"/>
              <w:rPr>
                <w:rFonts w:ascii="Old Standard TT" w:cs="Old Standard TT" w:eastAsia="Old Standard TT" w:hAnsi="Old Standard TT"/>
                <w:sz w:val="17"/>
                <w:szCs w:val="17"/>
              </w:rPr>
            </w:pPr>
            <w:r>
              <w:rPr>
                <w:rFonts w:ascii="Old Standard TT" w:cs="Old Standard TT" w:eastAsia="Old Standard TT" w:hAnsi="Old Standard TT"/>
                <w:b w:val="1"/>
                <w:bCs w:val="1"/>
                <w:sz w:val="17"/>
                <w:szCs w:val="17"/>
                <w:rtl w:val="0"/>
              </w:rPr>
              <w:t xml:space="preserve">cannot fill</w:t>
            </w:r>
          </w:p>
        </w:tc>
      </w:tr>
      <w:tr>
        <w:trPr>
          <w:cantSplit w:val="0"/>
          <w:tblHeader w:val="0"/>
        </w:trPr>
        <w:tc>
          <w:tcPr>
            <w:tcW w:w="440" w:type="dxa"/>
            <w:tcBorders>
              <w:top w:color="999999" w:space="0" w:sz="4" w:val="single"/>
              <w:left w:color="999999" w:space="0" w:sz="4" w:val="single"/>
              <w:bottom w:color="999999" w:space="0" w:sz="4" w:val="single"/>
              <w:right w:color="999999" w:space="0" w:sz="4" w:val="single"/>
            </w:tcBorders>
            <w:shd w:fill="auto" w:val="clear"/>
            <w:tcMar>
              <w:top w:w="60" w:type="dxa"/>
              <w:left w:w="80" w:type="dxa"/>
              <w:bottom w:w="60" w:type="dxa"/>
              <w:right w:w="80" w:type="dxa"/>
            </w:tcMar>
            <w:vAlign w:val="top"/>
          </w:tcPr>
          <w:p>
            <w:pPr>
              <w:spacing w:after="20" w:before="20" w:line="240" w:lineRule="auto"/>
              <w:jc w:val="left"/>
              <w:rPr>
                <w:rFonts w:ascii="Old Standard TT" w:cs="Old Standard TT" w:eastAsia="Old Standard TT" w:hAnsi="Old Standard TT"/>
                <w:sz w:val="17"/>
                <w:szCs w:val="17"/>
              </w:rPr>
            </w:pPr>
            <w:r>
              <w:rPr>
                <w:rFonts w:ascii="Old Standard TT" w:cs="Old Standard TT" w:eastAsia="Old Standard TT" w:hAnsi="Old Standard TT"/>
                <w:sz w:val="17"/>
                <w:szCs w:val="17"/>
                <w:rtl w:val="0"/>
              </w:rPr>
              <w:t xml:space="preserve">5</w:t>
            </w:r>
          </w:p>
        </w:tc>
        <w:tc>
          <w:tcPr>
            <w:tcW w:w="1780" w:type="dxa"/>
            <w:tcBorders>
              <w:top w:color="999999" w:space="0" w:sz="4" w:val="single"/>
              <w:left w:color="999999" w:space="0" w:sz="4" w:val="single"/>
              <w:bottom w:color="999999" w:space="0" w:sz="4" w:val="single"/>
              <w:right w:color="999999" w:space="0" w:sz="4" w:val="single"/>
            </w:tcBorders>
            <w:shd w:fill="auto" w:val="clear"/>
            <w:tcMar>
              <w:top w:w="60" w:type="dxa"/>
              <w:left w:w="80" w:type="dxa"/>
              <w:bottom w:w="60" w:type="dxa"/>
              <w:right w:w="80" w:type="dxa"/>
            </w:tcMar>
            <w:vAlign w:val="top"/>
          </w:tcPr>
          <w:p>
            <w:pPr>
              <w:spacing w:after="20" w:before="20" w:line="240" w:lineRule="auto"/>
              <w:jc w:val="left"/>
              <w:rPr>
                <w:rFonts w:ascii="Old Standard TT" w:cs="Old Standard TT" w:eastAsia="Old Standard TT" w:hAnsi="Old Standard TT"/>
                <w:sz w:val="17"/>
                <w:szCs w:val="17"/>
              </w:rPr>
            </w:pPr>
            <w:r>
              <w:rPr>
                <w:rFonts w:ascii="Old Standard TT" w:cs="Old Standard TT" w:eastAsia="Old Standard TT" w:hAnsi="Old Standard TT"/>
                <w:sz w:val="17"/>
                <w:szCs w:val="17"/>
                <w:rtl w:val="0"/>
              </w:rPr>
              <w:t xml:space="preserve">Evidence available</w:t>
            </w:r>
          </w:p>
        </w:tc>
        <w:tc>
          <w:tcPr>
            <w:tcW w:w="5640" w:type="dxa"/>
            <w:tcBorders>
              <w:top w:color="999999" w:space="0" w:sz="4" w:val="single"/>
              <w:left w:color="999999" w:space="0" w:sz="4" w:val="single"/>
              <w:bottom w:color="999999" w:space="0" w:sz="4" w:val="single"/>
              <w:right w:color="999999" w:space="0" w:sz="4" w:val="single"/>
            </w:tcBorders>
            <w:shd w:fill="auto" w:val="clear"/>
            <w:tcMar>
              <w:top w:w="60" w:type="dxa"/>
              <w:left w:w="80" w:type="dxa"/>
              <w:bottom w:w="60" w:type="dxa"/>
              <w:right w:w="80" w:type="dxa"/>
            </w:tcMar>
            <w:vAlign w:val="top"/>
          </w:tcPr>
          <w:p>
            <w:pPr>
              <w:spacing w:after="20" w:before="20" w:line="240" w:lineRule="auto"/>
              <w:jc w:val="left"/>
              <w:rPr>
                <w:rFonts w:ascii="Old Standard TT" w:cs="Old Standard TT" w:eastAsia="Old Standard TT" w:hAnsi="Old Standard TT"/>
                <w:sz w:val="17"/>
                <w:szCs w:val="17"/>
              </w:rPr>
            </w:pPr>
            <w:r>
              <w:rPr>
                <w:rFonts w:ascii="Old Standard TT" w:cs="Old Standard TT" w:eastAsia="Old Standard TT" w:hAnsi="Old Standard TT"/>
                <w:sz w:val="17"/>
                <w:szCs w:val="17"/>
                <w:rtl w:val="0"/>
              </w:rPr>
              <w:t xml:space="preserve">An independent investigation conducted under access constraints imposed by its subject</w:t>
            </w:r>
          </w:p>
        </w:tc>
        <w:tc>
          <w:tcPr>
            <w:tcW w:w="1500" w:type="dxa"/>
            <w:tcBorders>
              <w:top w:color="999999" w:space="0" w:sz="4" w:val="single"/>
              <w:left w:color="999999" w:space="0" w:sz="4" w:val="single"/>
              <w:bottom w:color="999999" w:space="0" w:sz="4" w:val="single"/>
              <w:right w:color="999999" w:space="0" w:sz="4" w:val="single"/>
            </w:tcBorders>
            <w:shd w:fill="auto" w:val="clear"/>
            <w:tcMar>
              <w:top w:w="60" w:type="dxa"/>
              <w:left w:w="80" w:type="dxa"/>
              <w:bottom w:w="60" w:type="dxa"/>
              <w:right w:w="80" w:type="dxa"/>
            </w:tcMar>
            <w:vAlign w:val="top"/>
          </w:tcPr>
          <w:p>
            <w:pPr>
              <w:spacing w:after="20" w:before="20" w:line="240" w:lineRule="auto"/>
              <w:jc w:val="left"/>
              <w:rPr>
                <w:rFonts w:ascii="Old Standard TT" w:cs="Old Standard TT" w:eastAsia="Old Standard TT" w:hAnsi="Old Standard TT"/>
                <w:sz w:val="17"/>
                <w:szCs w:val="17"/>
              </w:rPr>
            </w:pPr>
            <w:r>
              <w:rPr>
                <w:rFonts w:ascii="Old Standard TT" w:cs="Old Standard TT" w:eastAsia="Old Standard TT" w:hAnsi="Old Standard TT"/>
                <w:sz w:val="17"/>
                <w:szCs w:val="17"/>
                <w:rtl w:val="0"/>
              </w:rPr>
              <w:t xml:space="preserve">partial</w:t>
            </w:r>
          </w:p>
        </w:tc>
      </w:tr>
      <w:tr>
        <w:trPr>
          <w:cantSplit w:val="0"/>
          <w:tblHeader w:val="0"/>
        </w:trPr>
        <w:tc>
          <w:tcPr>
            <w:tcW w:w="440" w:type="dxa"/>
            <w:tcBorders>
              <w:top w:color="999999" w:space="0" w:sz="4" w:val="single"/>
              <w:left w:color="999999" w:space="0" w:sz="4" w:val="single"/>
              <w:bottom w:color="999999" w:space="0" w:sz="4" w:val="single"/>
              <w:right w:color="999999" w:space="0" w:sz="4" w:val="single"/>
            </w:tcBorders>
            <w:shd w:fill="auto" w:val="clear"/>
            <w:tcMar>
              <w:top w:w="60" w:type="dxa"/>
              <w:left w:w="80" w:type="dxa"/>
              <w:bottom w:w="60" w:type="dxa"/>
              <w:right w:w="80" w:type="dxa"/>
            </w:tcMar>
            <w:vAlign w:val="top"/>
          </w:tcPr>
          <w:p>
            <w:pPr>
              <w:spacing w:after="20" w:before="20" w:line="240" w:lineRule="auto"/>
              <w:jc w:val="left"/>
              <w:rPr>
                <w:rFonts w:ascii="Old Standard TT" w:cs="Old Standard TT" w:eastAsia="Old Standard TT" w:hAnsi="Old Standard TT"/>
                <w:sz w:val="17"/>
                <w:szCs w:val="17"/>
              </w:rPr>
            </w:pPr>
            <w:r>
              <w:rPr>
                <w:rFonts w:ascii="Old Standard TT" w:cs="Old Standard TT" w:eastAsia="Old Standard TT" w:hAnsi="Old Standard TT"/>
                <w:sz w:val="17"/>
                <w:szCs w:val="17"/>
                <w:rtl w:val="0"/>
              </w:rPr>
              <w:t xml:space="preserve">6</w:t>
            </w:r>
          </w:p>
        </w:tc>
        <w:tc>
          <w:tcPr>
            <w:tcW w:w="1780" w:type="dxa"/>
            <w:tcBorders>
              <w:top w:color="999999" w:space="0" w:sz="4" w:val="single"/>
              <w:left w:color="999999" w:space="0" w:sz="4" w:val="single"/>
              <w:bottom w:color="999999" w:space="0" w:sz="4" w:val="single"/>
              <w:right w:color="999999" w:space="0" w:sz="4" w:val="single"/>
            </w:tcBorders>
            <w:shd w:fill="auto" w:val="clear"/>
            <w:tcMar>
              <w:top w:w="60" w:type="dxa"/>
              <w:left w:w="80" w:type="dxa"/>
              <w:bottom w:w="60" w:type="dxa"/>
              <w:right w:w="80" w:type="dxa"/>
            </w:tcMar>
            <w:vAlign w:val="top"/>
          </w:tcPr>
          <w:p>
            <w:pPr>
              <w:spacing w:after="20" w:before="20" w:line="240" w:lineRule="auto"/>
              <w:jc w:val="left"/>
              <w:rPr>
                <w:rFonts w:ascii="Old Standard TT" w:cs="Old Standard TT" w:eastAsia="Old Standard TT" w:hAnsi="Old Standard TT"/>
                <w:sz w:val="17"/>
                <w:szCs w:val="17"/>
              </w:rPr>
            </w:pPr>
            <w:r>
              <w:rPr>
                <w:rFonts w:ascii="Old Standard TT" w:cs="Old Standard TT" w:eastAsia="Old Standard TT" w:hAnsi="Old Standard TT"/>
                <w:sz w:val="17"/>
                <w:szCs w:val="17"/>
                <w:rtl w:val="0"/>
              </w:rPr>
              <w:t xml:space="preserve">Serious incident response</w:t>
            </w:r>
          </w:p>
        </w:tc>
        <w:tc>
          <w:tcPr>
            <w:tcW w:w="5640" w:type="dxa"/>
            <w:tcBorders>
              <w:top w:color="999999" w:space="0" w:sz="4" w:val="single"/>
              <w:left w:color="999999" w:space="0" w:sz="4" w:val="single"/>
              <w:bottom w:color="999999" w:space="0" w:sz="4" w:val="single"/>
              <w:right w:color="999999" w:space="0" w:sz="4" w:val="single"/>
            </w:tcBorders>
            <w:shd w:fill="auto" w:val="clear"/>
            <w:tcMar>
              <w:top w:w="60" w:type="dxa"/>
              <w:left w:w="80" w:type="dxa"/>
              <w:bottom w:w="60" w:type="dxa"/>
              <w:right w:w="80" w:type="dxa"/>
            </w:tcMar>
            <w:vAlign w:val="top"/>
          </w:tcPr>
          <w:p>
            <w:pPr>
              <w:spacing w:after="20" w:before="20" w:line="240" w:lineRule="auto"/>
              <w:jc w:val="left"/>
              <w:rPr>
                <w:rFonts w:ascii="Old Standard TT" w:cs="Old Standard TT" w:eastAsia="Old Standard TT" w:hAnsi="Old Standard TT"/>
                <w:sz w:val="17"/>
                <w:szCs w:val="17"/>
              </w:rPr>
            </w:pPr>
            <w:r>
              <w:rPr>
                <w:rFonts w:ascii="Old Standard TT" w:cs="Old Standard TT" w:eastAsia="Old Standard TT" w:hAnsi="Old Standard TT"/>
                <w:sz w:val="17"/>
                <w:szCs w:val="17"/>
                <w:rtl w:val="0"/>
              </w:rPr>
              <w:t xml:space="preserve">Corrective measures described publicly; rotation performed by the victim</w:t>
            </w:r>
          </w:p>
        </w:tc>
        <w:tc>
          <w:tcPr>
            <w:tcW w:w="1500" w:type="dxa"/>
            <w:tcBorders>
              <w:top w:color="999999" w:space="0" w:sz="4" w:val="single"/>
              <w:left w:color="999999" w:space="0" w:sz="4" w:val="single"/>
              <w:bottom w:color="999999" w:space="0" w:sz="4" w:val="single"/>
              <w:right w:color="999999" w:space="0" w:sz="4" w:val="single"/>
            </w:tcBorders>
            <w:shd w:fill="auto" w:val="clear"/>
            <w:tcMar>
              <w:top w:w="60" w:type="dxa"/>
              <w:left w:w="80" w:type="dxa"/>
              <w:bottom w:w="60" w:type="dxa"/>
              <w:right w:w="80" w:type="dxa"/>
            </w:tcMar>
            <w:vAlign w:val="top"/>
          </w:tcPr>
          <w:p>
            <w:pPr>
              <w:spacing w:after="20" w:before="20" w:line="240" w:lineRule="auto"/>
              <w:jc w:val="left"/>
              <w:rPr>
                <w:rFonts w:ascii="Old Standard TT" w:cs="Old Standard TT" w:eastAsia="Old Standard TT" w:hAnsi="Old Standard TT"/>
                <w:sz w:val="17"/>
                <w:szCs w:val="17"/>
              </w:rPr>
            </w:pPr>
            <w:r>
              <w:rPr>
                <w:rFonts w:ascii="Old Standard TT" w:cs="Old Standard TT" w:eastAsia="Old Standard TT" w:hAnsi="Old Standard TT"/>
                <w:sz w:val="17"/>
                <w:szCs w:val="17"/>
                <w:rtl w:val="0"/>
              </w:rPr>
              <w:t xml:space="preserve">partial</w:t>
            </w:r>
          </w:p>
        </w:tc>
      </w:tr>
      <w:tr>
        <w:trPr>
          <w:cantSplit w:val="0"/>
          <w:tblHeader w:val="0"/>
        </w:trPr>
        <w:tc>
          <w:tcPr>
            <w:tcW w:w="440" w:type="dxa"/>
            <w:tcBorders>
              <w:top w:color="999999" w:space="0" w:sz="4" w:val="single"/>
              <w:left w:color="999999" w:space="0" w:sz="4" w:val="single"/>
              <w:bottom w:color="999999" w:space="0" w:sz="4" w:val="single"/>
              <w:right w:color="999999" w:space="0" w:sz="4" w:val="single"/>
            </w:tcBorders>
            <w:shd w:fill="auto" w:val="clear"/>
            <w:tcMar>
              <w:top w:w="60" w:type="dxa"/>
              <w:left w:w="80" w:type="dxa"/>
              <w:bottom w:w="60" w:type="dxa"/>
              <w:right w:w="80" w:type="dxa"/>
            </w:tcMar>
            <w:vAlign w:val="top"/>
          </w:tcPr>
          <w:p>
            <w:pPr>
              <w:spacing w:after="20" w:before="20" w:line="240" w:lineRule="auto"/>
              <w:jc w:val="left"/>
              <w:rPr>
                <w:rFonts w:ascii="Old Standard TT" w:cs="Old Standard TT" w:eastAsia="Old Standard TT" w:hAnsi="Old Standard TT"/>
                <w:sz w:val="17"/>
                <w:szCs w:val="17"/>
              </w:rPr>
            </w:pPr>
            <w:r>
              <w:rPr>
                <w:rFonts w:ascii="Old Standard TT" w:cs="Old Standard TT" w:eastAsia="Old Standard TT" w:hAnsi="Old Standard TT"/>
                <w:sz w:val="17"/>
                <w:szCs w:val="17"/>
                <w:rtl w:val="0"/>
              </w:rPr>
              <w:t xml:space="preserve">7</w:t>
            </w:r>
          </w:p>
        </w:tc>
        <w:tc>
          <w:tcPr>
            <w:tcW w:w="1780" w:type="dxa"/>
            <w:tcBorders>
              <w:top w:color="999999" w:space="0" w:sz="4" w:val="single"/>
              <w:left w:color="999999" w:space="0" w:sz="4" w:val="single"/>
              <w:bottom w:color="999999" w:space="0" w:sz="4" w:val="single"/>
              <w:right w:color="999999" w:space="0" w:sz="4" w:val="single"/>
            </w:tcBorders>
            <w:shd w:fill="auto" w:val="clear"/>
            <w:tcMar>
              <w:top w:w="60" w:type="dxa"/>
              <w:left w:w="80" w:type="dxa"/>
              <w:bottom w:w="60" w:type="dxa"/>
              <w:right w:w="80" w:type="dxa"/>
            </w:tcMar>
            <w:vAlign w:val="top"/>
          </w:tcPr>
          <w:p>
            <w:pPr>
              <w:spacing w:after="20" w:before="20" w:line="240" w:lineRule="auto"/>
              <w:jc w:val="left"/>
              <w:rPr>
                <w:rFonts w:ascii="Old Standard TT" w:cs="Old Standard TT" w:eastAsia="Old Standard TT" w:hAnsi="Old Standard TT"/>
                <w:sz w:val="17"/>
                <w:szCs w:val="17"/>
              </w:rPr>
            </w:pPr>
            <w:r>
              <w:rPr>
                <w:rFonts w:ascii="Old Standard TT" w:cs="Old Standard TT" w:eastAsia="Old Standard TT" w:hAnsi="Old Standard TT"/>
                <w:sz w:val="17"/>
                <w:szCs w:val="17"/>
                <w:rtl w:val="0"/>
              </w:rPr>
              <w:t xml:space="preserve">Recommendation to the AI Office</w:t>
            </w:r>
          </w:p>
        </w:tc>
        <w:tc>
          <w:tcPr>
            <w:tcW w:w="5640" w:type="dxa"/>
            <w:tcBorders>
              <w:top w:color="999999" w:space="0" w:sz="4" w:val="single"/>
              <w:left w:color="999999" w:space="0" w:sz="4" w:val="single"/>
              <w:bottom w:color="999999" w:space="0" w:sz="4" w:val="single"/>
              <w:right w:color="999999" w:space="0" w:sz="4" w:val="single"/>
            </w:tcBorders>
            <w:shd w:fill="auto" w:val="clear"/>
            <w:tcMar>
              <w:top w:w="60" w:type="dxa"/>
              <w:left w:w="80" w:type="dxa"/>
              <w:bottom w:w="60" w:type="dxa"/>
              <w:right w:w="80" w:type="dxa"/>
            </w:tcMar>
            <w:vAlign w:val="top"/>
          </w:tcPr>
          <w:p>
            <w:pPr>
              <w:spacing w:after="20" w:before="20" w:line="240" w:lineRule="auto"/>
              <w:jc w:val="left"/>
              <w:rPr>
                <w:rFonts w:ascii="Old Standard TT" w:cs="Old Standard TT" w:eastAsia="Old Standard TT" w:hAnsi="Old Standard TT"/>
                <w:sz w:val="17"/>
                <w:szCs w:val="17"/>
              </w:rPr>
            </w:pPr>
            <w:r>
              <w:rPr>
                <w:rFonts w:ascii="Old Standard TT" w:cs="Old Standard TT" w:eastAsia="Old Standard TT" w:hAnsi="Old Standard TT"/>
                <w:sz w:val="17"/>
                <w:szCs w:val="17"/>
                <w:rtl w:val="0"/>
              </w:rPr>
              <w:t xml:space="preserve">Nothing</w:t>
            </w:r>
          </w:p>
        </w:tc>
        <w:tc>
          <w:tcPr>
            <w:tcW w:w="1500" w:type="dxa"/>
            <w:tcBorders>
              <w:top w:color="999999" w:space="0" w:sz="4" w:val="single"/>
              <w:left w:color="999999" w:space="0" w:sz="4" w:val="single"/>
              <w:bottom w:color="999999" w:space="0" w:sz="4" w:val="single"/>
              <w:right w:color="999999" w:space="0" w:sz="4" w:val="single"/>
            </w:tcBorders>
            <w:shd w:fill="auto" w:val="clear"/>
            <w:tcMar>
              <w:top w:w="60" w:type="dxa"/>
              <w:left w:w="80" w:type="dxa"/>
              <w:bottom w:w="60" w:type="dxa"/>
              <w:right w:w="80" w:type="dxa"/>
            </w:tcMar>
            <w:vAlign w:val="top"/>
          </w:tcPr>
          <w:p>
            <w:pPr>
              <w:spacing w:after="20" w:before="20" w:line="240" w:lineRule="auto"/>
              <w:jc w:val="left"/>
              <w:rPr>
                <w:rFonts w:ascii="Old Standard TT" w:cs="Old Standard TT" w:eastAsia="Old Standard TT" w:hAnsi="Old Standard TT"/>
                <w:sz w:val="17"/>
                <w:szCs w:val="17"/>
              </w:rPr>
            </w:pPr>
            <w:r>
              <w:rPr>
                <w:rFonts w:ascii="Old Standard TT" w:cs="Old Standard TT" w:eastAsia="Old Standard TT" w:hAnsi="Old Standard TT"/>
                <w:b w:val="1"/>
                <w:bCs w:val="1"/>
                <w:sz w:val="17"/>
                <w:szCs w:val="17"/>
                <w:rtl w:val="0"/>
              </w:rPr>
              <w:t xml:space="preserve">cannot fill</w:t>
            </w:r>
          </w:p>
        </w:tc>
      </w:tr>
      <w:tr>
        <w:trPr>
          <w:cantSplit w:val="0"/>
          <w:tblHeader w:val="0"/>
        </w:trPr>
        <w:tc>
          <w:tcPr>
            <w:tcW w:w="440" w:type="dxa"/>
            <w:tcBorders>
              <w:top w:color="999999" w:space="0" w:sz="4" w:val="single"/>
              <w:left w:color="999999" w:space="0" w:sz="4" w:val="single"/>
              <w:bottom w:color="999999" w:space="0" w:sz="4" w:val="single"/>
              <w:right w:color="999999" w:space="0" w:sz="4" w:val="single"/>
            </w:tcBorders>
            <w:shd w:fill="auto" w:val="clear"/>
            <w:tcMar>
              <w:top w:w="60" w:type="dxa"/>
              <w:left w:w="80" w:type="dxa"/>
              <w:bottom w:w="60" w:type="dxa"/>
              <w:right w:w="80" w:type="dxa"/>
            </w:tcMar>
            <w:vAlign w:val="top"/>
          </w:tcPr>
          <w:p>
            <w:pPr>
              <w:spacing w:after="20" w:before="20" w:line="240" w:lineRule="auto"/>
              <w:jc w:val="left"/>
              <w:rPr>
                <w:rFonts w:ascii="Old Standard TT" w:cs="Old Standard TT" w:eastAsia="Old Standard TT" w:hAnsi="Old Standard TT"/>
                <w:sz w:val="17"/>
                <w:szCs w:val="17"/>
              </w:rPr>
            </w:pPr>
            <w:r>
              <w:rPr>
                <w:rFonts w:ascii="Old Standard TT" w:cs="Old Standard TT" w:eastAsia="Old Standard TT" w:hAnsi="Old Standard TT"/>
                <w:sz w:val="17"/>
                <w:szCs w:val="17"/>
                <w:rtl w:val="0"/>
              </w:rPr>
              <w:t xml:space="preserve">8</w:t>
            </w:r>
          </w:p>
        </w:tc>
        <w:tc>
          <w:tcPr>
            <w:tcW w:w="1780" w:type="dxa"/>
            <w:tcBorders>
              <w:top w:color="999999" w:space="0" w:sz="4" w:val="single"/>
              <w:left w:color="999999" w:space="0" w:sz="4" w:val="single"/>
              <w:bottom w:color="999999" w:space="0" w:sz="4" w:val="single"/>
              <w:right w:color="999999" w:space="0" w:sz="4" w:val="single"/>
            </w:tcBorders>
            <w:shd w:fill="auto" w:val="clear"/>
            <w:tcMar>
              <w:top w:w="60" w:type="dxa"/>
              <w:left w:w="80" w:type="dxa"/>
              <w:bottom w:w="60" w:type="dxa"/>
              <w:right w:w="80" w:type="dxa"/>
            </w:tcMar>
            <w:vAlign w:val="top"/>
          </w:tcPr>
          <w:p>
            <w:pPr>
              <w:spacing w:after="20" w:before="20" w:line="240" w:lineRule="auto"/>
              <w:jc w:val="left"/>
              <w:rPr>
                <w:rFonts w:ascii="Old Standard TT" w:cs="Old Standard TT" w:eastAsia="Old Standard TT" w:hAnsi="Old Standard TT"/>
                <w:sz w:val="17"/>
                <w:szCs w:val="17"/>
              </w:rPr>
            </w:pPr>
            <w:r>
              <w:rPr>
                <w:rFonts w:ascii="Old Standard TT" w:cs="Old Standard TT" w:eastAsia="Old Standard TT" w:hAnsi="Old Standard TT"/>
                <w:sz w:val="17"/>
                <w:szCs w:val="17"/>
                <w:rtl w:val="0"/>
              </w:rPr>
              <w:t xml:space="preserve">Root cause analysis</w:t>
            </w:r>
          </w:p>
        </w:tc>
        <w:tc>
          <w:tcPr>
            <w:tcW w:w="5640" w:type="dxa"/>
            <w:tcBorders>
              <w:top w:color="999999" w:space="0" w:sz="4" w:val="single"/>
              <w:left w:color="999999" w:space="0" w:sz="4" w:val="single"/>
              <w:bottom w:color="999999" w:space="0" w:sz="4" w:val="single"/>
              <w:right w:color="999999" w:space="0" w:sz="4" w:val="single"/>
            </w:tcBorders>
            <w:shd w:fill="auto" w:val="clear"/>
            <w:tcMar>
              <w:top w:w="60" w:type="dxa"/>
              <w:left w:w="80" w:type="dxa"/>
              <w:bottom w:w="60" w:type="dxa"/>
              <w:right w:w="80" w:type="dxa"/>
            </w:tcMar>
            <w:vAlign w:val="top"/>
          </w:tcPr>
          <w:p>
            <w:pPr>
              <w:spacing w:after="20" w:before="20" w:line="240" w:lineRule="auto"/>
              <w:jc w:val="left"/>
              <w:rPr>
                <w:rFonts w:ascii="Old Standard TT" w:cs="Old Standard TT" w:eastAsia="Old Standard TT" w:hAnsi="Old Standard TT"/>
                <w:sz w:val="17"/>
                <w:szCs w:val="17"/>
              </w:rPr>
            </w:pPr>
            <w:r>
              <w:rPr>
                <w:rFonts w:ascii="Old Standard TT" w:cs="Old Standard TT" w:eastAsia="Old Standard TT" w:hAnsi="Old Standard TT"/>
                <w:sz w:val="17"/>
                <w:szCs w:val="17"/>
                <w:rtl w:val="0"/>
              </w:rPr>
              <w:t xml:space="preserve">Safeguards named as not enabled, which is graver than a root cause and is not one</w:t>
            </w:r>
          </w:p>
        </w:tc>
        <w:tc>
          <w:tcPr>
            <w:tcW w:w="1500" w:type="dxa"/>
            <w:tcBorders>
              <w:top w:color="999999" w:space="0" w:sz="4" w:val="single"/>
              <w:left w:color="999999" w:space="0" w:sz="4" w:val="single"/>
              <w:bottom w:color="999999" w:space="0" w:sz="4" w:val="single"/>
              <w:right w:color="999999" w:space="0" w:sz="4" w:val="single"/>
            </w:tcBorders>
            <w:shd w:fill="auto" w:val="clear"/>
            <w:tcMar>
              <w:top w:w="60" w:type="dxa"/>
              <w:left w:w="80" w:type="dxa"/>
              <w:bottom w:w="60" w:type="dxa"/>
              <w:right w:w="80" w:type="dxa"/>
            </w:tcMar>
            <w:vAlign w:val="top"/>
          </w:tcPr>
          <w:p>
            <w:pPr>
              <w:spacing w:after="20" w:before="20" w:line="240" w:lineRule="auto"/>
              <w:jc w:val="left"/>
              <w:rPr>
                <w:rFonts w:ascii="Old Standard TT" w:cs="Old Standard TT" w:eastAsia="Old Standard TT" w:hAnsi="Old Standard TT"/>
                <w:sz w:val="17"/>
                <w:szCs w:val="17"/>
              </w:rPr>
            </w:pPr>
            <w:r>
              <w:rPr>
                <w:rFonts w:ascii="Old Standard TT" w:cs="Old Standard TT" w:eastAsia="Old Standard TT" w:hAnsi="Old Standard TT"/>
                <w:sz w:val="17"/>
                <w:szCs w:val="17"/>
                <w:rtl w:val="0"/>
              </w:rPr>
              <w:t xml:space="preserve">partial</w:t>
            </w:r>
          </w:p>
        </w:tc>
      </w:tr>
      <w:tr>
        <w:trPr>
          <w:cantSplit w:val="0"/>
          <w:tblHeader w:val="0"/>
        </w:trPr>
        <w:tc>
          <w:tcPr>
            <w:tcW w:w="440" w:type="dxa"/>
            <w:tcBorders>
              <w:top w:color="999999" w:space="0" w:sz="4" w:val="single"/>
              <w:left w:color="999999" w:space="0" w:sz="4" w:val="single"/>
              <w:bottom w:color="999999" w:space="0" w:sz="4" w:val="single"/>
              <w:right w:color="999999" w:space="0" w:sz="4" w:val="single"/>
            </w:tcBorders>
            <w:shd w:fill="auto" w:val="clear"/>
            <w:tcMar>
              <w:top w:w="60" w:type="dxa"/>
              <w:left w:w="80" w:type="dxa"/>
              <w:bottom w:w="60" w:type="dxa"/>
              <w:right w:w="80" w:type="dxa"/>
            </w:tcMar>
            <w:vAlign w:val="top"/>
          </w:tcPr>
          <w:p>
            <w:pPr>
              <w:spacing w:after="20" w:before="20" w:line="240" w:lineRule="auto"/>
              <w:jc w:val="left"/>
              <w:rPr>
                <w:rFonts w:ascii="Old Standard TT" w:cs="Old Standard TT" w:eastAsia="Old Standard TT" w:hAnsi="Old Standard TT"/>
                <w:sz w:val="17"/>
                <w:szCs w:val="17"/>
              </w:rPr>
            </w:pPr>
            <w:r>
              <w:rPr>
                <w:rFonts w:ascii="Old Standard TT" w:cs="Old Standard TT" w:eastAsia="Old Standard TT" w:hAnsi="Old Standard TT"/>
                <w:sz w:val="17"/>
                <w:szCs w:val="17"/>
                <w:rtl w:val="0"/>
              </w:rPr>
              <w:t xml:space="preserve">9</w:t>
            </w:r>
          </w:p>
        </w:tc>
        <w:tc>
          <w:tcPr>
            <w:tcW w:w="1780" w:type="dxa"/>
            <w:tcBorders>
              <w:top w:color="999999" w:space="0" w:sz="4" w:val="single"/>
              <w:left w:color="999999" w:space="0" w:sz="4" w:val="single"/>
              <w:bottom w:color="999999" w:space="0" w:sz="4" w:val="single"/>
              <w:right w:color="999999" w:space="0" w:sz="4" w:val="single"/>
            </w:tcBorders>
            <w:shd w:fill="auto" w:val="clear"/>
            <w:tcMar>
              <w:top w:w="60" w:type="dxa"/>
              <w:left w:w="80" w:type="dxa"/>
              <w:bottom w:w="60" w:type="dxa"/>
              <w:right w:w="80" w:type="dxa"/>
            </w:tcMar>
            <w:vAlign w:val="top"/>
          </w:tcPr>
          <w:p>
            <w:pPr>
              <w:spacing w:after="20" w:before="20" w:line="240" w:lineRule="auto"/>
              <w:jc w:val="left"/>
              <w:rPr>
                <w:rFonts w:ascii="Old Standard TT" w:cs="Old Standard TT" w:eastAsia="Old Standard TT" w:hAnsi="Old Standard TT"/>
                <w:sz w:val="17"/>
                <w:szCs w:val="17"/>
              </w:rPr>
            </w:pPr>
            <w:r>
              <w:rPr>
                <w:rFonts w:ascii="Old Standard TT" w:cs="Old Standard TT" w:eastAsia="Old Standard TT" w:hAnsi="Old Standard TT"/>
                <w:sz w:val="17"/>
                <w:szCs w:val="17"/>
                <w:rtl w:val="0"/>
              </w:rPr>
              <w:t xml:space="preserve">Patterns in post-market monitoring</w:t>
            </w:r>
          </w:p>
        </w:tc>
        <w:tc>
          <w:tcPr>
            <w:tcW w:w="5640" w:type="dxa"/>
            <w:tcBorders>
              <w:top w:color="999999" w:space="0" w:sz="4" w:val="single"/>
              <w:left w:color="999999" w:space="0" w:sz="4" w:val="single"/>
              <w:bottom w:color="999999" w:space="0" w:sz="4" w:val="single"/>
              <w:right w:color="999999" w:space="0" w:sz="4" w:val="single"/>
            </w:tcBorders>
            <w:shd w:fill="auto" w:val="clear"/>
            <w:tcMar>
              <w:top w:w="60" w:type="dxa"/>
              <w:left w:w="80" w:type="dxa"/>
              <w:bottom w:w="60" w:type="dxa"/>
              <w:right w:w="80" w:type="dxa"/>
            </w:tcMar>
            <w:vAlign w:val="top"/>
          </w:tcPr>
          <w:p>
            <w:pPr>
              <w:spacing w:after="20" w:before="20" w:line="240" w:lineRule="auto"/>
              <w:jc w:val="left"/>
              <w:rPr>
                <w:rFonts w:ascii="Old Standard TT" w:cs="Old Standard TT" w:eastAsia="Old Standard TT" w:hAnsi="Old Standard TT"/>
                <w:sz w:val="17"/>
                <w:szCs w:val="17"/>
              </w:rPr>
            </w:pPr>
            <w:r>
              <w:rPr>
                <w:rFonts w:ascii="Old Standard TT" w:cs="Old Standard TT" w:eastAsia="Old Standard TT" w:hAnsi="Old Standard TT"/>
                <w:sz w:val="17"/>
                <w:szCs w:val="17"/>
                <w:rtl w:val="0"/>
              </w:rPr>
              <w:t xml:space="preserve">Only the victim’s monitoring, described failing</w:t>
            </w:r>
          </w:p>
        </w:tc>
        <w:tc>
          <w:tcPr>
            <w:tcW w:w="1500" w:type="dxa"/>
            <w:tcBorders>
              <w:top w:color="999999" w:space="0" w:sz="4" w:val="single"/>
              <w:left w:color="999999" w:space="0" w:sz="4" w:val="single"/>
              <w:bottom w:color="999999" w:space="0" w:sz="4" w:val="single"/>
              <w:right w:color="999999" w:space="0" w:sz="4" w:val="single"/>
            </w:tcBorders>
            <w:shd w:fill="auto" w:val="clear"/>
            <w:tcMar>
              <w:top w:w="60" w:type="dxa"/>
              <w:left w:w="80" w:type="dxa"/>
              <w:bottom w:w="60" w:type="dxa"/>
              <w:right w:w="80" w:type="dxa"/>
            </w:tcMar>
            <w:vAlign w:val="top"/>
          </w:tcPr>
          <w:p>
            <w:pPr>
              <w:spacing w:after="20" w:before="20" w:line="240" w:lineRule="auto"/>
              <w:jc w:val="left"/>
              <w:rPr>
                <w:rFonts w:ascii="Old Standard TT" w:cs="Old Standard TT" w:eastAsia="Old Standard TT" w:hAnsi="Old Standard TT"/>
                <w:sz w:val="17"/>
                <w:szCs w:val="17"/>
              </w:rPr>
            </w:pPr>
            <w:r>
              <w:rPr>
                <w:rFonts w:ascii="Old Standard TT" w:cs="Old Standard TT" w:eastAsia="Old Standard TT" w:hAnsi="Old Standard TT"/>
                <w:b w:val="1"/>
                <w:bCs w:val="1"/>
                <w:sz w:val="17"/>
                <w:szCs w:val="17"/>
                <w:rtl w:val="0"/>
              </w:rPr>
              <w:t xml:space="preserve">cannot fill</w:t>
            </w:r>
          </w:p>
        </w:tc>
      </w:tr>
      <w:tr>
        <w:trPr>
          <w:cantSplit w:val="0"/>
          <w:tblHeader w:val="0"/>
        </w:trPr>
        <w:tc>
          <w:tcPr>
            <w:tcW w:w="440" w:type="dxa"/>
            <w:tcBorders>
              <w:top w:color="999999" w:space="0" w:sz="4" w:val="single"/>
              <w:left w:color="999999" w:space="0" w:sz="4" w:val="single"/>
              <w:bottom w:color="999999" w:space="0" w:sz="4" w:val="single"/>
              <w:right w:color="999999" w:space="0" w:sz="4" w:val="single"/>
            </w:tcBorders>
            <w:shd w:fill="auto" w:val="clear"/>
            <w:tcMar>
              <w:top w:w="60" w:type="dxa"/>
              <w:left w:w="80" w:type="dxa"/>
              <w:bottom w:w="60" w:type="dxa"/>
              <w:right w:w="80" w:type="dxa"/>
            </w:tcMar>
            <w:vAlign w:val="top"/>
          </w:tcPr>
          <w:p>
            <w:pPr>
              <w:spacing w:after="20" w:before="20" w:line="240" w:lineRule="auto"/>
              <w:jc w:val="left"/>
              <w:rPr>
                <w:rFonts w:ascii="Old Standard TT" w:cs="Old Standard TT" w:eastAsia="Old Standard TT" w:hAnsi="Old Standard TT"/>
                <w:sz w:val="17"/>
                <w:szCs w:val="17"/>
              </w:rPr>
            </w:pPr>
            <w:r>
              <w:rPr>
                <w:rFonts w:ascii="Old Standard TT" w:cs="Old Standard TT" w:eastAsia="Old Standard TT" w:hAnsi="Old Standard TT"/>
                <w:sz w:val="17"/>
                <w:szCs w:val="17"/>
                <w:rtl w:val="0"/>
              </w:rPr>
              <w:t xml:space="preserve">10</w:t>
            </w:r>
          </w:p>
        </w:tc>
        <w:tc>
          <w:tcPr>
            <w:tcW w:w="1780" w:type="dxa"/>
            <w:tcBorders>
              <w:top w:color="999999" w:space="0" w:sz="4" w:val="single"/>
              <w:left w:color="999999" w:space="0" w:sz="4" w:val="single"/>
              <w:bottom w:color="999999" w:space="0" w:sz="4" w:val="single"/>
              <w:right w:color="999999" w:space="0" w:sz="4" w:val="single"/>
            </w:tcBorders>
            <w:shd w:fill="auto" w:val="clear"/>
            <w:tcMar>
              <w:top w:w="60" w:type="dxa"/>
              <w:left w:w="80" w:type="dxa"/>
              <w:bottom w:w="60" w:type="dxa"/>
              <w:right w:w="80" w:type="dxa"/>
            </w:tcMar>
            <w:vAlign w:val="top"/>
          </w:tcPr>
          <w:p>
            <w:pPr>
              <w:spacing w:after="20" w:before="20" w:line="240" w:lineRule="auto"/>
              <w:jc w:val="left"/>
              <w:rPr>
                <w:rFonts w:ascii="Old Standard TT" w:cs="Old Standard TT" w:eastAsia="Old Standard TT" w:hAnsi="Old Standard TT"/>
                <w:sz w:val="17"/>
                <w:szCs w:val="17"/>
              </w:rPr>
            </w:pPr>
            <w:r>
              <w:rPr>
                <w:rFonts w:ascii="Old Standard TT" w:cs="Old Standard TT" w:eastAsia="Old Standard TT" w:hAnsi="Old Standard TT"/>
                <w:sz w:val="17"/>
                <w:szCs w:val="17"/>
                <w:rtl w:val="0"/>
              </w:rPr>
              <w:t xml:space="preserve">Submitter information</w:t>
            </w:r>
          </w:p>
        </w:tc>
        <w:tc>
          <w:tcPr>
            <w:tcW w:w="5640" w:type="dxa"/>
            <w:tcBorders>
              <w:top w:color="999999" w:space="0" w:sz="4" w:val="single"/>
              <w:left w:color="999999" w:space="0" w:sz="4" w:val="single"/>
              <w:bottom w:color="999999" w:space="0" w:sz="4" w:val="single"/>
              <w:right w:color="999999" w:space="0" w:sz="4" w:val="single"/>
            </w:tcBorders>
            <w:shd w:fill="auto" w:val="clear"/>
            <w:tcMar>
              <w:top w:w="60" w:type="dxa"/>
              <w:left w:w="80" w:type="dxa"/>
              <w:bottom w:w="60" w:type="dxa"/>
              <w:right w:w="80" w:type="dxa"/>
            </w:tcMar>
            <w:vAlign w:val="top"/>
          </w:tcPr>
          <w:p>
            <w:pPr>
              <w:spacing w:after="20" w:before="20" w:line="240" w:lineRule="auto"/>
              <w:jc w:val="left"/>
              <w:rPr>
                <w:rFonts w:ascii="Old Standard TT" w:cs="Old Standard TT" w:eastAsia="Old Standard TT" w:hAnsi="Old Standard TT"/>
                <w:sz w:val="17"/>
                <w:szCs w:val="17"/>
              </w:rPr>
            </w:pPr>
            <w:r>
              <w:rPr>
                <w:rFonts w:ascii="Old Standard TT" w:cs="Old Standard TT" w:eastAsia="Old Standard TT" w:hAnsi="Old Standard TT"/>
                <w:sz w:val="17"/>
                <w:szCs w:val="17"/>
                <w:rtl w:val="0"/>
              </w:rPr>
              <w:t xml:space="preserve">A filing </w:t>
            </w:r>
            <w:r>
              <w:rPr>
                <w:rFonts w:ascii="Old Standard TT" w:cs="Old Standard TT" w:eastAsia="Old Standard TT" w:hAnsi="Old Standard TT"/>
                <w:b w:val="1"/>
                <w:bCs w:val="1"/>
                <w:sz w:val="17"/>
                <w:szCs w:val="17"/>
                <w:rtl w:val="0"/>
              </w:rPr>
              <w:t xml:space="preserve">on the wiki episode</w:t>
            </w:r>
            <w:r>
              <w:rPr>
                <w:rFonts w:ascii="Old Standard TT" w:cs="Old Standard TT" w:eastAsia="Old Standard TT" w:hAnsi="Old Standard TT"/>
                <w:sz w:val="17"/>
                <w:szCs w:val="17"/>
                <w:rtl w:val="0"/>
              </w:rPr>
              <w:t xml:space="preserve"> is confirmed received; the submitter, contact and date are not public</w:t>
            </w:r>
          </w:p>
        </w:tc>
        <w:tc>
          <w:tcPr>
            <w:tcW w:w="1500" w:type="dxa"/>
            <w:tcBorders>
              <w:top w:color="999999" w:space="0" w:sz="4" w:val="single"/>
              <w:left w:color="999999" w:space="0" w:sz="4" w:val="single"/>
              <w:bottom w:color="999999" w:space="0" w:sz="4" w:val="single"/>
              <w:right w:color="999999" w:space="0" w:sz="4" w:val="single"/>
            </w:tcBorders>
            <w:shd w:fill="auto" w:val="clear"/>
            <w:tcMar>
              <w:top w:w="60" w:type="dxa"/>
              <w:left w:w="80" w:type="dxa"/>
              <w:bottom w:w="60" w:type="dxa"/>
              <w:right w:w="80" w:type="dxa"/>
            </w:tcMar>
            <w:vAlign w:val="top"/>
          </w:tcPr>
          <w:p>
            <w:pPr>
              <w:spacing w:after="20" w:before="20" w:line="240" w:lineRule="auto"/>
              <w:jc w:val="left"/>
              <w:rPr>
                <w:rFonts w:ascii="Old Standard TT" w:cs="Old Standard TT" w:eastAsia="Old Standard TT" w:hAnsi="Old Standard TT"/>
                <w:sz w:val="17"/>
                <w:szCs w:val="17"/>
              </w:rPr>
            </w:pPr>
            <w:r>
              <w:rPr>
                <w:rFonts w:ascii="Old Standard TT" w:cs="Old Standard TT" w:eastAsia="Old Standard TT" w:hAnsi="Old Standard TT"/>
                <w:sz w:val="17"/>
                <w:szCs w:val="17"/>
                <w:rtl w:val="0"/>
              </w:rPr>
              <w:t xml:space="preserve">partial</w:t>
            </w:r>
          </w:p>
        </w:tc>
      </w:tr>
    </w:tbl>
    <w:p>
      <w:pPr>
        <w:spacing w:after="200" w:before="60" w:line="240" w:lineRule="auto"/>
        <w:ind w:left="360" w:right="360"/>
        <w:jc w:val="both"/>
        <w:rPr>
          <w:rFonts w:ascii="Old Standard TT" w:cs="Old Standard TT" w:eastAsia="Old Standard TT" w:hAnsi="Old Standard TT"/>
          <w:sz w:val="18"/>
          <w:szCs w:val="18"/>
        </w:rPr>
      </w:pPr>
      <w:r>
        <w:rPr>
          <w:rFonts w:ascii="Old Standard TT" w:cs="Old Standard TT" w:eastAsia="Old Standard TT" w:hAnsi="Old Standard TT"/>
          <w:b w:val="1"/>
          <w:bCs w:val="1"/>
          <w:sz w:val="18"/>
          <w:szCs w:val="18"/>
          <w:rtl w:val="0"/>
        </w:rPr>
        <w:t xml:space="preserve">Table 1. The Commission’s serious-incident template, filled from the public record.</w:t>
      </w:r>
      <w:r>
        <w:rPr>
          <w:rFonts w:ascii="Old Standard TT" w:cs="Old Standard TT" w:eastAsia="Old Standard TT" w:hAnsi="Old Standard TT"/>
          <w:sz w:val="18"/>
          <w:szCs w:val="18"/>
          <w:rtl w:val="0"/>
        </w:rPr>
        <w:t xml:space="preserve"> Two fields filled, five partial, three impossible. Two things are legible in the form that are not legible in an analysis. What the record gives is given by everyone except the party the form addresses: fields 2, 3 and 9 come substantially from the victim’s forensic timeline, and field 5 from an investigator working under the subject’s constraints. And the field the Act most needs is the one that cannot be filled: every obligation in Chapter V is indexed to a model, and field 4 is model identity. Sourcing for each cell at </w:t>
      </w:r>
      <w:r>
        <w:rPr>
          <w:rFonts w:ascii="Consolas" w:cs="Consolas" w:eastAsia="Consolas" w:hAnsi="Consolas"/>
          <w:sz w:val="17"/>
          <w:szCs w:val="17"/>
          <w:rtl w:val="0"/>
        </w:rPr>
        <w:t xml:space="preserve">docs/appendix-forms.md</w:t>
      </w:r>
      <w:r>
        <w:rPr>
          <w:rFonts w:ascii="Old Standard TT" w:cs="Old Standard TT" w:eastAsia="Old Standard TT" w:hAnsi="Old Standard TT"/>
          <w:sz w:val="18"/>
          <w:szCs w:val="18"/>
          <w:rtl w:val="0"/>
        </w:rPr>
        <w:t xml:space="preserve">.</w:t>
      </w:r>
    </w:p>
    <w:p>
      <w:pPr>
        <w:pStyle w:val="Heading3"/>
        <w:keepNext w:val="1"/>
        <w:spacing w:after="60" w:before="200" w:line="240" w:lineRule="auto"/>
        <w:jc w:val="left"/>
        <w:rPr>
          <w:rFonts w:ascii="Old Standard TT" w:cs="Old Standard TT" w:eastAsia="Old Standard TT" w:hAnsi="Old Standard TT"/>
          <w:sz w:val="24"/>
          <w:szCs w:val="24"/>
        </w:rPr>
      </w:pPr>
      <w:r>
        <w:rPr>
          <w:rFonts w:ascii="Old Standard TT" w:cs="Old Standard TT" w:eastAsia="Old Standard TT" w:hAnsi="Old Standard TT"/>
          <w:i w:val="1"/>
          <w:iCs w:val="1"/>
          <w:color w:val="434343"/>
          <w:sz w:val="24"/>
          <w:szCs w:val="24"/>
          <w:rtl w:val="0"/>
        </w:rPr>
        <w:t xml:space="preserve">4.3 The power is already in use, and the pack is written for it</w:t>
      </w:r>
    </w:p>
    <w:p>
      <w:pPr>
        <w:spacing w:after="120" w:before="0" w:line="264" w:lineRule="auto"/>
        <w:jc w:val="both"/>
        <w:rPr>
          <w:rFonts w:ascii="Old Standard TT" w:cs="Old Standard TT" w:eastAsia="Old Standard TT" w:hAnsi="Old Standard TT"/>
          <w:sz w:val="21"/>
          <w:szCs w:val="21"/>
        </w:rPr>
      </w:pPr>
      <w:r>
        <w:rPr>
          <w:rFonts w:ascii="Old Standard TT" w:cs="Old Standard TT" w:eastAsia="Old Standard TT" w:hAnsi="Old Standard TT"/>
          <w:sz w:val="21"/>
          <w:szCs w:val="21"/>
          <w:rtl w:val="0"/>
        </w:rPr>
        <w:t xml:space="preserve">On 1 September 2026 the Commission stated that the AI Office had sent its first requests for information to more than 30 providers; they come, the reporting agency records, “after several incidents involving AI models that occurred this summer” (Agence Europe, 2026). Article 91 is therefore not proposed here in the abstract: it is the instrument the AI Office reached for first, on this subject, weeks after these episodes. What the attached request adds is specificity. On the only public account of what those requests ask — how providers prevent their models being stolen, how much access external evaluators get, how usage is monitored once a model is public (Uuk, 2026, relaying Euractiv) — none of the three reaches the question this analysis turns on. A request written across thirty providers cannot ask whether </w:t>
      </w:r>
      <w:r>
        <w:rPr>
          <w:rFonts w:ascii="Old Standard TT" w:cs="Old Standard TT" w:eastAsia="Old Standard TT" w:hAnsi="Old Standard TT"/>
          <w:i w:val="1"/>
          <w:iCs w:val="1"/>
          <w:sz w:val="21"/>
          <w:szCs w:val="21"/>
          <w:rtl w:val="0"/>
        </w:rPr>
        <w:t xml:space="preserve">this</w:t>
      </w:r>
      <w:r>
        <w:rPr>
          <w:rFonts w:ascii="Old Standard TT" w:cs="Old Standard TT" w:eastAsia="Old Standard TT" w:hAnsi="Old Standard TT"/>
          <w:sz w:val="21"/>
          <w:szCs w:val="21"/>
          <w:rtl w:val="0"/>
        </w:rPr>
        <w:t xml:space="preserve"> model was integrated into an own AI system put into service; an incident-specific one can, and it is the first thing this one asks.</w:t>
      </w:r>
    </w:p>
    <w:p>
      <w:pPr>
        <w:spacing w:after="120" w:before="0" w:line="264" w:lineRule="auto"/>
        <w:jc w:val="both"/>
        <w:rPr>
          <w:rFonts w:ascii="Old Standard TT" w:cs="Old Standard TT" w:eastAsia="Old Standard TT" w:hAnsi="Old Standard TT"/>
          <w:sz w:val="21"/>
          <w:szCs w:val="21"/>
        </w:rPr>
      </w:pPr>
      <w:r>
        <w:rPr>
          <w:rFonts w:ascii="Old Standard TT" w:cs="Old Standard TT" w:eastAsia="Old Standard TT" w:hAnsi="Old Standard TT"/>
          <w:sz w:val="21"/>
          <w:szCs w:val="21"/>
          <w:rtl w:val="0"/>
        </w:rPr>
        <w:t xml:space="preserve">The pack in </w:t>
      </w:r>
      <w:r>
        <w:rPr>
          <w:rFonts w:ascii="Consolas" w:cs="Consolas" w:eastAsia="Consolas" w:hAnsi="Consolas"/>
          <w:sz w:val="20"/>
          <w:szCs w:val="20"/>
          <w:rtl w:val="0"/>
        </w:rPr>
        <w:t xml:space="preserve">instrument/</w:t>
      </w:r>
      <w:r>
        <w:rPr>
          <w:rFonts w:ascii="Old Standard TT" w:cs="Old Standard TT" w:eastAsia="Old Standard TT" w:hAnsi="Old Standard TT"/>
          <w:sz w:val="21"/>
          <w:szCs w:val="21"/>
          <w:rtl w:val="0"/>
        </w:rPr>
        <w:t xml:space="preserve"> puts each document in the form its addressee would issue or adopt, and renders each to DOCX because light edits happen in Word: a </w:t>
      </w:r>
      <w:r>
        <w:rPr>
          <w:rFonts w:ascii="Old Standard TT" w:cs="Old Standard TT" w:eastAsia="Old Standard TT" w:hAnsi="Old Standard TT"/>
          <w:b w:val="1"/>
          <w:bCs w:val="1"/>
          <w:sz w:val="21"/>
          <w:szCs w:val="21"/>
          <w:rtl w:val="0"/>
        </w:rPr>
        <w:t xml:space="preserve">cover note</w:t>
      </w:r>
      <w:r>
        <w:rPr>
          <w:rFonts w:ascii="Old Standard TT" w:cs="Old Standard TT" w:eastAsia="Old Standard TT" w:hAnsi="Old Standard TT"/>
          <w:sz w:val="21"/>
          <w:szCs w:val="21"/>
          <w:rtl w:val="0"/>
        </w:rPr>
        <w:t xml:space="preserve"> to the AI Office saying what the record establishes, what it does not, what one request settles and what one form change fixes; the </w:t>
      </w:r>
      <w:r>
        <w:rPr>
          <w:rFonts w:ascii="Old Standard TT" w:cs="Old Standard TT" w:eastAsia="Old Standard TT" w:hAnsi="Old Standard TT"/>
          <w:b w:val="1"/>
          <w:bCs w:val="1"/>
          <w:sz w:val="21"/>
          <w:szCs w:val="21"/>
          <w:rtl w:val="0"/>
        </w:rPr>
        <w:t xml:space="preserve">model Article 91 request</w:t>
      </w:r>
      <w:r>
        <w:rPr>
          <w:rFonts w:ascii="Old Standard TT" w:cs="Old Standard TT" w:eastAsia="Old Standard TT" w:hAnsi="Old Standard TT"/>
          <w:sz w:val="21"/>
          <w:szCs w:val="21"/>
          <w:rtl w:val="0"/>
        </w:rPr>
        <w:t xml:space="preserve">; an </w:t>
      </w:r>
      <w:r>
        <w:rPr>
          <w:rFonts w:ascii="Old Standard TT" w:cs="Old Standard TT" w:eastAsia="Old Standard TT" w:hAnsi="Old Standard TT"/>
          <w:b w:val="1"/>
          <w:bCs w:val="1"/>
          <w:sz w:val="21"/>
          <w:szCs w:val="21"/>
          <w:rtl w:val="0"/>
        </w:rPr>
        <w:t xml:space="preserve">issuing note</w:t>
      </w:r>
      <w:r>
        <w:rPr>
          <w:rFonts w:ascii="Old Standard TT" w:cs="Old Standard TT" w:eastAsia="Old Standard TT" w:hAnsi="Old Standard TT"/>
          <w:sz w:val="21"/>
          <w:szCs w:val="21"/>
          <w:rtl w:val="0"/>
        </w:rPr>
        <w:t xml:space="preserve"> carrying the reasoning behind each request, written for the AI Office rather than the addressee so the request itself does not pre-grade answers; an </w:t>
      </w:r>
      <w:r>
        <w:rPr>
          <w:rFonts w:ascii="Old Standard TT" w:cs="Old Standard TT" w:eastAsia="Old Standard TT" w:hAnsi="Old Standard TT"/>
          <w:b w:val="1"/>
          <w:bCs w:val="1"/>
          <w:sz w:val="21"/>
          <w:szCs w:val="21"/>
          <w:rtl w:val="0"/>
        </w:rPr>
        <w:t xml:space="preserve">answer matrix</w:t>
      </w:r>
      <w:r>
        <w:rPr>
          <w:rFonts w:ascii="Old Standard TT" w:cs="Old Standard TT" w:eastAsia="Old Standard TT" w:hAnsi="Old Standard TT"/>
          <w:sz w:val="21"/>
          <w:szCs w:val="21"/>
          <w:rtl w:val="0"/>
        </w:rPr>
        <w:t xml:space="preserve"> giving, for each answer the provider could return, where it puts the model and what the Commission does next, every cell a held provision; </w:t>
      </w:r>
      <w:r>
        <w:rPr>
          <w:rFonts w:ascii="Old Standard TT" w:cs="Old Standard TT" w:eastAsia="Old Standard TT" w:hAnsi="Old Standard TT"/>
          <w:b w:val="1"/>
          <w:bCs w:val="1"/>
          <w:sz w:val="21"/>
          <w:szCs w:val="21"/>
          <w:rtl w:val="0"/>
        </w:rPr>
        <w:t xml:space="preserve">the serious-incident template rebuilt</w:t>
      </w:r>
      <w:r>
        <w:rPr>
          <w:rFonts w:ascii="Old Standard TT" w:cs="Old Standard TT" w:eastAsia="Old Standard TT" w:hAnsi="Old Standard TT"/>
          <w:sz w:val="21"/>
          <w:szCs w:val="21"/>
          <w:rtl w:val="0"/>
        </w:rPr>
        <w:t xml:space="preserve"> with two fields added and nothing else changed; an </w:t>
      </w:r>
      <w:r>
        <w:rPr>
          <w:rFonts w:ascii="Old Standard TT" w:cs="Old Standard TT" w:eastAsia="Old Standard TT" w:hAnsi="Old Standard TT"/>
          <w:b w:val="1"/>
          <w:bCs w:val="1"/>
          <w:sz w:val="21"/>
          <w:szCs w:val="21"/>
          <w:rtl w:val="0"/>
        </w:rPr>
        <w:t xml:space="preserve">amendment table</w:t>
      </w:r>
      <w:r>
        <w:rPr>
          <w:rFonts w:ascii="Old Standard TT" w:cs="Old Standard TT" w:eastAsia="Old Standard TT" w:hAnsi="Old Standard TT"/>
          <w:sz w:val="21"/>
          <w:szCs w:val="21"/>
          <w:rtl w:val="0"/>
        </w:rPr>
        <w:t xml:space="preserve"> — Article 3, point (9) for the deemed-placement rule, Article 3, point (63) for the “sole purpose” qualifier the recital states and the definition does not carry, and Article 55(1), point (c) for a determinate period on Measure 9.3’s trigger, every added word traced to the text it is lifted from; and </w:t>
      </w:r>
      <w:r>
        <w:rPr>
          <w:rFonts w:ascii="Old Standard TT" w:cs="Old Standard TT" w:eastAsia="Old Standard TT" w:hAnsi="Old Standard TT"/>
          <w:b w:val="1"/>
          <w:bCs w:val="1"/>
          <w:sz w:val="21"/>
          <w:szCs w:val="21"/>
          <w:rtl w:val="0"/>
        </w:rPr>
        <w:t xml:space="preserve">what the provider will say</w:t>
      </w:r>
      <w:r>
        <w:rPr>
          <w:rFonts w:ascii="Old Standard TT" w:cs="Old Standard TT" w:eastAsia="Old Standard TT" w:hAnsi="Old Standard TT"/>
          <w:sz w:val="21"/>
          <w:szCs w:val="21"/>
          <w:rtl w:val="0"/>
        </w:rPr>
        <w:t xml:space="preserve">, the load-bearing steps weakest first with the objection recorded against each.</w:t>
      </w:r>
    </w:p>
    <w:p>
      <w:pPr>
        <w:pStyle w:val="Heading3"/>
        <w:keepNext w:val="1"/>
        <w:spacing w:after="60" w:before="200" w:line="240" w:lineRule="auto"/>
        <w:jc w:val="left"/>
        <w:rPr>
          <w:rFonts w:ascii="Old Standard TT" w:cs="Old Standard TT" w:eastAsia="Old Standard TT" w:hAnsi="Old Standard TT"/>
          <w:sz w:val="24"/>
          <w:szCs w:val="24"/>
        </w:rPr>
      </w:pPr>
      <w:r>
        <w:rPr>
          <w:rFonts w:ascii="Old Standard TT" w:cs="Old Standard TT" w:eastAsia="Old Standard TT" w:hAnsi="Old Standard TT"/>
          <w:i w:val="1"/>
          <w:iCs w:val="1"/>
          <w:color w:val="434343"/>
          <w:sz w:val="24"/>
          <w:szCs w:val="24"/>
          <w:rtl w:val="0"/>
        </w:rPr>
        <w:t xml:space="preserve">4.4 What the corrections did to the findings</w:t>
      </w:r>
    </w:p>
    <w:p>
      <w:pPr>
        <w:spacing w:after="120" w:before="0" w:line="264" w:lineRule="auto"/>
        <w:jc w:val="both"/>
        <w:rPr>
          <w:rFonts w:ascii="Old Standard TT" w:cs="Old Standard TT" w:eastAsia="Old Standard TT" w:hAnsi="Old Standard TT"/>
          <w:sz w:val="21"/>
          <w:szCs w:val="21"/>
        </w:rPr>
      </w:pPr>
      <w:r>
        <w:rPr>
          <w:rFonts w:ascii="Old Standard TT" w:cs="Old Standard TT" w:eastAsia="Old Standard TT" w:hAnsi="Old Standard TT"/>
          <w:sz w:val="21"/>
          <w:szCs w:val="21"/>
          <w:rtl w:val="0"/>
        </w:rPr>
        <w:t xml:space="preserve">The robustness claim available here is not statistical, and saying so is part of the method. What can be shown is how the findings moved under adversarial pressure, and the answer is uneven. The instrumentation finding has not moved through any of the twenty-nine corrections; it was checked at the level of the DOCX’s stored field labels in both published renditions, and survived a pass with the held sources open. The scope finding has narrowed twice — from “the obligations attach” to “they attach by a recital” to “they attach if three facts hold” — and the narrowing </w:t>
      </w:r>
      <w:r>
        <w:rPr>
          <w:rFonts w:ascii="Old Standard TT" w:cs="Old Standard TT" w:eastAsia="Old Standard TT" w:hAnsi="Old Standard TT"/>
          <w:i w:val="1"/>
          <w:iCs w:val="1"/>
          <w:sz w:val="21"/>
          <w:szCs w:val="21"/>
          <w:rtl w:val="0"/>
        </w:rPr>
        <w:t xml:space="preserve">is</w:t>
      </w:r>
      <w:r>
        <w:rPr>
          <w:rFonts w:ascii="Old Standard TT" w:cs="Old Standard TT" w:eastAsia="Old Standard TT" w:hAnsi="Old Standard TT"/>
          <w:sz w:val="21"/>
          <w:szCs w:val="21"/>
          <w:rtl w:val="0"/>
        </w:rPr>
        <w:t xml:space="preserve"> the finding. Every one of the twenty-nine errors in the log passed every check that existed when it was made, which is the honest limit of a checker: a clean board means the mechanical failures are absent and nothing more.</w:t>
      </w:r>
    </w:p>
    <w:p>
      <w:pPr>
        <w:pStyle w:val="Heading2"/>
        <w:keepNext w:val="1"/>
        <w:spacing w:after="80" w:before="280" w:line="240" w:lineRule="auto"/>
        <w:jc w:val="left"/>
        <w:rPr>
          <w:rFonts w:ascii="Old Standard TT" w:cs="Old Standard TT" w:eastAsia="Old Standard TT" w:hAnsi="Old Standard TT"/>
          <w:sz w:val="28"/>
          <w:szCs w:val="28"/>
        </w:rPr>
      </w:pPr>
      <w:r>
        <w:rPr>
          <w:rFonts w:ascii="Old Standard TT" w:cs="Old Standard TT" w:eastAsia="Old Standard TT" w:hAnsi="Old Standard TT"/>
          <w:color w:val="434343"/>
          <w:sz w:val="28"/>
          <w:szCs w:val="28"/>
          <w:rtl w:val="0"/>
        </w:rPr>
        <w:t xml:space="preserve">5. Discussion and Limitations</w:t>
      </w:r>
    </w:p>
    <w:p>
      <w:pPr>
        <w:spacing w:after="120" w:before="0" w:line="264" w:lineRule="auto"/>
        <w:jc w:val="both"/>
        <w:rPr>
          <w:rFonts w:ascii="Old Standard TT" w:cs="Old Standard TT" w:eastAsia="Old Standard TT" w:hAnsi="Old Standard TT"/>
          <w:sz w:val="21"/>
          <w:szCs w:val="21"/>
        </w:rPr>
      </w:pPr>
      <w:r>
        <w:rPr>
          <w:rFonts w:ascii="Old Standard TT" w:cs="Old Standard TT" w:eastAsia="Old Standard TT" w:hAnsi="Old Standard TT"/>
          <w:sz w:val="21"/>
          <w:szCs w:val="21"/>
          <w:rtl w:val="0"/>
        </w:rPr>
        <w:t xml:space="preserve">The broader implication is about where the Act’s gaps sit. The debate about frontier incidents assumes the obligations reach the conduct and argues about enforcement. On this record the prior question is open, and open in a way that favours the provider: the enacting definition excludes the model, the Commission’s reading brings it back through a recital, and the three facts that reading needs are held exclusively by the party whose conduct is in question. That is structural rather than incident-specific. Internal evaluation of an unreleased model is the phase the Regulation’s text most clearly leaves alone, and it is the phase this episode happened in. The second implication is smaller and more actionable: an instrument that cannot record the date its own deadline runs from will not produce enforceable timeliness, however well drafted the duty behind it. That failure is invisible in doctrinal analysis and obvious the moment somebody fills the form in — an argument for regulators testing their own instruments against synthetic records before the first real filing rather than after it.</w:t>
      </w:r>
    </w:p>
    <w:p>
      <w:pPr>
        <w:pStyle w:val="Heading3"/>
        <w:keepNext w:val="1"/>
        <w:spacing w:after="60" w:before="200" w:line="240" w:lineRule="auto"/>
        <w:jc w:val="left"/>
        <w:rPr>
          <w:rFonts w:ascii="Old Standard TT" w:cs="Old Standard TT" w:eastAsia="Old Standard TT" w:hAnsi="Old Standard TT"/>
          <w:sz w:val="24"/>
          <w:szCs w:val="24"/>
        </w:rPr>
      </w:pPr>
      <w:r>
        <w:rPr>
          <w:rFonts w:ascii="Old Standard TT" w:cs="Old Standard TT" w:eastAsia="Old Standard TT" w:hAnsi="Old Standard TT"/>
          <w:i w:val="1"/>
          <w:iCs w:val="1"/>
          <w:color w:val="434343"/>
          <w:sz w:val="24"/>
          <w:szCs w:val="24"/>
          <w:rtl w:val="0"/>
        </w:rPr>
        <w:t xml:space="preserve">Limitations</w:t>
      </w:r>
    </w:p>
    <w:p>
      <w:pPr>
        <w:spacing w:after="120" w:before="0" w:line="264" w:lineRule="auto"/>
        <w:jc w:val="both"/>
        <w:rPr>
          <w:rFonts w:ascii="Old Standard TT" w:cs="Old Standard TT" w:eastAsia="Old Standard TT" w:hAnsi="Old Standard TT"/>
          <w:sz w:val="21"/>
          <w:szCs w:val="21"/>
        </w:rPr>
      </w:pPr>
      <w:r>
        <w:rPr>
          <w:rFonts w:ascii="Old Standard TT" w:cs="Old Standard TT" w:eastAsia="Old Standard TT" w:hAnsi="Old Standard TT"/>
          <w:b w:val="1"/>
          <w:bCs w:val="1"/>
          <w:sz w:val="21"/>
          <w:szCs w:val="21"/>
          <w:rtl w:val="0"/>
        </w:rPr>
        <w:t xml:space="preserve">This cannot establish what happened, or that anything was contravened.</w:t>
      </w:r>
      <w:r>
        <w:rPr>
          <w:rFonts w:ascii="Old Standard TT" w:cs="Old Standard TT" w:eastAsia="Old Standard TT" w:hAnsi="Old Standard TT"/>
          <w:sz w:val="21"/>
          <w:szCs w:val="21"/>
          <w:rtl w:val="0"/>
        </w:rPr>
        <w:t xml:space="preserve"> Every verdict is a claim about a disclosed record assembled by interested parties, and no finding of contravention is made or invited. </w:t>
      </w:r>
      <w:r>
        <w:rPr>
          <w:rFonts w:ascii="Old Standard TT" w:cs="Old Standard TT" w:eastAsia="Old Standard TT" w:hAnsi="Old Standard TT"/>
          <w:b w:val="1"/>
          <w:bCs w:val="1"/>
          <w:sz w:val="21"/>
          <w:szCs w:val="21"/>
          <w:rtl w:val="0"/>
        </w:rPr>
        <w:t xml:space="preserve">The facts it turns on are held by the party in question:</w:t>
      </w:r>
      <w:r>
        <w:rPr>
          <w:rFonts w:ascii="Old Standard TT" w:cs="Old Standard TT" w:eastAsia="Old Standard TT" w:hAnsi="Old Standard TT"/>
          <w:sz w:val="21"/>
          <w:szCs w:val="21"/>
          <w:rtl w:val="0"/>
        </w:rPr>
        <w:t xml:space="preserve"> if the placement event, the Union nexus or the systemic-risk threshold fails, most of the scope analysis falls away and the case becomes purely legislative. The report is built to say so rather than to hedge, and the answer matrix routes that outcome explicitly.</w:t>
      </w:r>
    </w:p>
    <w:p>
      <w:pPr>
        <w:spacing w:after="120" w:before="0" w:line="264" w:lineRule="auto"/>
        <w:jc w:val="both"/>
        <w:rPr>
          <w:rFonts w:ascii="Old Standard TT" w:cs="Old Standard TT" w:eastAsia="Old Standard TT" w:hAnsi="Old Standard TT"/>
          <w:sz w:val="21"/>
          <w:szCs w:val="21"/>
        </w:rPr>
      </w:pPr>
      <w:r>
        <w:rPr>
          <w:rFonts w:ascii="Old Standard TT" w:cs="Old Standard TT" w:eastAsia="Old Standard TT" w:hAnsi="Old Standard TT"/>
          <w:b w:val="1"/>
          <w:bCs w:val="1"/>
          <w:sz w:val="21"/>
          <w:szCs w:val="21"/>
          <w:rtl w:val="0"/>
        </w:rPr>
        <w:t xml:space="preserve">Four assumptions are marked contestable, with what would defeat each.</w:t>
      </w:r>
      <w:r>
        <w:rPr>
          <w:rFonts w:ascii="Old Standard TT" w:cs="Old Standard TT" w:eastAsia="Old Standard TT" w:hAnsi="Old Standard TT"/>
          <w:sz w:val="21"/>
          <w:szCs w:val="21"/>
          <w:rtl w:val="0"/>
        </w:rPr>
        <w:t xml:space="preserve"> </w:t>
      </w:r>
      <w:r>
        <w:rPr>
          <w:rFonts w:ascii="Consolas" w:cs="Consolas" w:eastAsia="Consolas" w:hAnsi="Consolas"/>
          <w:sz w:val="20"/>
          <w:szCs w:val="20"/>
          <w:rtl w:val="0"/>
        </w:rPr>
        <w:t xml:space="preserve">inf-placement-event</w:t>
      </w:r>
      <w:r>
        <w:rPr>
          <w:rFonts w:ascii="Old Standard TT" w:cs="Old Standard TT" w:eastAsia="Old Standard TT" w:hAnsi="Old Standard TT"/>
          <w:sz w:val="21"/>
          <w:szCs w:val="21"/>
          <w:rtl w:val="0"/>
        </w:rPr>
        <w:t xml:space="preserve"> — the record already denies one of its three routes, and Requests 2b and 4a are what would establish another. </w:t>
      </w:r>
      <w:r>
        <w:rPr>
          <w:rFonts w:ascii="Consolas" w:cs="Consolas" w:eastAsia="Consolas" w:hAnsi="Consolas"/>
          <w:sz w:val="20"/>
          <w:szCs w:val="20"/>
          <w:rtl w:val="0"/>
        </w:rPr>
        <w:t xml:space="preserve">inf-union-nexus</w:t>
      </w:r>
      <w:r>
        <w:rPr>
          <w:rFonts w:ascii="Old Standard TT" w:cs="Old Standard TT" w:eastAsia="Old Standard TT" w:hAnsi="Old Standard TT"/>
          <w:sz w:val="21"/>
          <w:szCs w:val="21"/>
          <w:rtl w:val="0"/>
        </w:rPr>
        <w:t xml:space="preserve"> — nothing in the record addresses it, and a third-country provider is where it bites. </w:t>
      </w:r>
      <w:r>
        <w:rPr>
          <w:rFonts w:ascii="Consolas" w:cs="Consolas" w:eastAsia="Consolas" w:hAnsi="Consolas"/>
          <w:sz w:val="20"/>
          <w:szCs w:val="20"/>
          <w:rtl w:val="0"/>
        </w:rPr>
        <w:t xml:space="preserve">inf-opinion-construes</w:t>
      </w:r>
      <w:r>
        <w:rPr>
          <w:rFonts w:ascii="Old Standard TT" w:cs="Old Standard TT" w:eastAsia="Old Standard TT" w:hAnsi="Old Standard TT"/>
          <w:sz w:val="21"/>
          <w:szCs w:val="21"/>
          <w:rtl w:val="0"/>
        </w:rPr>
        <w:t xml:space="preserve"> — the competing reading is that Opinion ¶(33) summarises the Code rather than construes the Act, favoured by its own “may” and “typically”; without it a non-signatory has “without undue delay” and no period at all, which is what Amendment 3 answers. </w:t>
      </w:r>
      <w:r>
        <w:rPr>
          <w:rFonts w:ascii="Consolas" w:cs="Consolas" w:eastAsia="Consolas" w:hAnsi="Consolas"/>
          <w:sz w:val="20"/>
          <w:szCs w:val="20"/>
          <w:rtl w:val="0"/>
        </w:rPr>
        <w:t xml:space="preserve">inf-scaffolding-attribution</w:t>
      </w:r>
      <w:r>
        <w:rPr>
          <w:rFonts w:ascii="Old Standard TT" w:cs="Old Standard TT" w:eastAsia="Old Standard TT" w:hAnsi="Old Standard TT"/>
          <w:sz w:val="21"/>
          <w:szCs w:val="21"/>
          <w:rtl w:val="0"/>
        </w:rPr>
        <w:t xml:space="preserve"> — that the agentic conduct was the harness’s rather than the model’s, blunted here by the provider naming the absent safeguards as its own and by “directly or indirectly” in every applicable instrument, but surviving a scope finding intact. Relatedly, </w:t>
      </w:r>
      <w:r>
        <w:rPr>
          <w:rFonts w:ascii="Old Standard TT" w:cs="Old Standard TT" w:eastAsia="Old Standard TT" w:hAnsi="Old Standard TT"/>
          <w:b w:val="1"/>
          <w:bCs w:val="1"/>
          <w:sz w:val="21"/>
          <w:szCs w:val="21"/>
          <w:rtl w:val="0"/>
        </w:rPr>
        <w:t xml:space="preserve">the timing finding is signatory-dependent where the scope finding is not</w:t>
      </w:r>
      <w:r>
        <w:rPr>
          <w:rFonts w:ascii="Old Standard TT" w:cs="Old Standard TT" w:eastAsia="Old Standard TT" w:hAnsi="Old Standard TT"/>
          <w:sz w:val="21"/>
          <w:szCs w:val="21"/>
          <w:rtl w:val="0"/>
        </w:rPr>
        <w:t xml:space="preserve">: a run against a provider that has not signed the Code loses every determinate period and keeps every other row.</w:t>
      </w:r>
    </w:p>
    <w:p>
      <w:pPr>
        <w:spacing w:after="120" w:before="0" w:line="264" w:lineRule="auto"/>
        <w:jc w:val="both"/>
        <w:rPr>
          <w:rFonts w:ascii="Old Standard TT" w:cs="Old Standard TT" w:eastAsia="Old Standard TT" w:hAnsi="Old Standard TT"/>
          <w:sz w:val="21"/>
          <w:szCs w:val="21"/>
        </w:rPr>
      </w:pPr>
      <w:r>
        <w:rPr>
          <w:rFonts w:ascii="Old Standard TT" w:cs="Old Standard TT" w:eastAsia="Old Standard TT" w:hAnsi="Old Standard TT"/>
          <w:b w:val="1"/>
          <w:bCs w:val="1"/>
          <w:sz w:val="21"/>
          <w:szCs w:val="21"/>
          <w:rtl w:val="0"/>
        </w:rPr>
        <w:t xml:space="preserve">Every reviewer was a language model, and the author is not a lawyer.</w:t>
      </w:r>
      <w:r>
        <w:rPr>
          <w:rFonts w:ascii="Old Standard TT" w:cs="Old Standard TT" w:eastAsia="Old Standard TT" w:hAnsi="Old Standard TT"/>
          <w:sz w:val="21"/>
          <w:szCs w:val="21"/>
          <w:rtl w:val="0"/>
        </w:rPr>
        <w:t xml:space="preserve"> Four adversarial passes were run, including one over the instrument by a model prompted to read it as a Commission lawyer; no lawyer was consulted and nobody real was contacted. </w:t>
      </w:r>
      <w:r>
        <w:rPr>
          <w:rFonts w:ascii="Old Standard TT" w:cs="Old Standard TT" w:eastAsia="Old Standard TT" w:hAnsi="Old Standard TT"/>
          <w:b w:val="1"/>
          <w:bCs w:val="1"/>
          <w:sz w:val="21"/>
          <w:szCs w:val="21"/>
          <w:rtl w:val="0"/>
        </w:rPr>
        <w:t xml:space="preserve">Not addressed:</w:t>
      </w:r>
      <w:r>
        <w:rPr>
          <w:rFonts w:ascii="Old Standard TT" w:cs="Old Standard TT" w:eastAsia="Old Standard TT" w:hAnsi="Old Standard TT"/>
          <w:sz w:val="21"/>
          <w:szCs w:val="21"/>
          <w:rtl w:val="0"/>
        </w:rPr>
        <w:t xml:space="preserve"> whether the affected platform provides an essential service within a CER Annex sector; the Article 3(1)/3(63) bridging question; and the New York RAISE Act, which is described in the comparative appendix, registered nowhere, and relied on for nothing.</w:t>
      </w:r>
    </w:p>
    <w:p>
      <w:pPr>
        <w:pStyle w:val="Heading3"/>
        <w:keepNext w:val="1"/>
        <w:spacing w:after="60" w:before="200" w:line="240" w:lineRule="auto"/>
        <w:jc w:val="left"/>
        <w:rPr>
          <w:rFonts w:ascii="Old Standard TT" w:cs="Old Standard TT" w:eastAsia="Old Standard TT" w:hAnsi="Old Standard TT"/>
          <w:sz w:val="24"/>
          <w:szCs w:val="24"/>
        </w:rPr>
      </w:pPr>
      <w:r>
        <w:rPr>
          <w:rFonts w:ascii="Old Standard TT" w:cs="Old Standard TT" w:eastAsia="Old Standard TT" w:hAnsi="Old Standard TT"/>
          <w:i w:val="1"/>
          <w:iCs w:val="1"/>
          <w:color w:val="434343"/>
          <w:sz w:val="24"/>
          <w:szCs w:val="24"/>
          <w:rtl w:val="0"/>
        </w:rPr>
        <w:t xml:space="preserve">Future Work</w:t>
      </w:r>
    </w:p>
    <w:p>
      <w:pPr>
        <w:spacing w:after="120" w:before="0" w:line="264" w:lineRule="auto"/>
        <w:jc w:val="both"/>
        <w:rPr>
          <w:rFonts w:ascii="Old Standard TT" w:cs="Old Standard TT" w:eastAsia="Old Standard TT" w:hAnsi="Old Standard TT"/>
          <w:sz w:val="21"/>
          <w:szCs w:val="21"/>
        </w:rPr>
      </w:pPr>
      <w:r>
        <w:rPr>
          <w:rFonts w:ascii="Old Standard TT" w:cs="Old Standard TT" w:eastAsia="Old Standard TT" w:hAnsi="Old Standard TT"/>
          <w:sz w:val="21"/>
          <w:szCs w:val="21"/>
          <w:rtl w:val="0"/>
        </w:rPr>
        <w:t xml:space="preserve">A practitioner’s read of the request and the amendment table is the single thing that would most change the confidence available here, and it is the immediate next step. Beyond that: the affected organisations’ side of the second run; a source entry and register row for the New York RAISE Act; the revision history of the July disclosure, which has been revised since publication; and a DOI for the statutory register, so the forty-seven verified provisions can be cited independently of this report. The apparatus itself is the extension point — </w:t>
      </w:r>
      <w:r>
        <w:rPr>
          <w:rFonts w:ascii="Consolas" w:cs="Consolas" w:eastAsia="Consolas" w:hAnsi="Consolas"/>
          <w:sz w:val="20"/>
          <w:szCs w:val="20"/>
          <w:rtl w:val="0"/>
        </w:rPr>
        <w:t xml:space="preserve">tools/new-incident.py</w:t>
      </w:r>
      <w:r>
        <w:rPr>
          <w:rFonts w:ascii="Old Standard TT" w:cs="Old Standard TT" w:eastAsia="Old Standard TT" w:hAnsi="Old Standard TT"/>
          <w:sz w:val="21"/>
          <w:szCs w:val="21"/>
          <w:rtl w:val="0"/>
        </w:rPr>
        <w:t xml:space="preserve"> stands it up with the verified register included, and the second run is the evidence that a fresh incident takes about three hours rather than three days.</w:t>
      </w:r>
    </w:p>
    <w:p>
      <w:pPr>
        <w:pStyle w:val="Heading2"/>
        <w:keepNext w:val="1"/>
        <w:spacing w:after="80" w:before="280" w:line="240" w:lineRule="auto"/>
        <w:jc w:val="left"/>
        <w:rPr>
          <w:rFonts w:ascii="Old Standard TT" w:cs="Old Standard TT" w:eastAsia="Old Standard TT" w:hAnsi="Old Standard TT"/>
          <w:sz w:val="28"/>
          <w:szCs w:val="28"/>
        </w:rPr>
      </w:pPr>
      <w:r>
        <w:rPr>
          <w:rFonts w:ascii="Old Standard TT" w:cs="Old Standard TT" w:eastAsia="Old Standard TT" w:hAnsi="Old Standard TT"/>
          <w:color w:val="434343"/>
          <w:sz w:val="28"/>
          <w:szCs w:val="28"/>
          <w:rtl w:val="0"/>
        </w:rPr>
        <w:t xml:space="preserve">6. Conclusion</w:t>
      </w:r>
    </w:p>
    <w:p>
      <w:pPr>
        <w:spacing w:after="120" w:before="0" w:line="264" w:lineRule="auto"/>
        <w:jc w:val="both"/>
        <w:rPr>
          <w:rFonts w:ascii="Old Standard TT" w:cs="Old Standard TT" w:eastAsia="Old Standard TT" w:hAnsi="Old Standard TT"/>
          <w:sz w:val="21"/>
          <w:szCs w:val="21"/>
        </w:rPr>
      </w:pPr>
      <w:r>
        <w:rPr>
          <w:rFonts w:ascii="Old Standard TT" w:cs="Old Standard TT" w:eastAsia="Old Standard TT" w:hAnsi="Old Standard TT"/>
          <w:sz w:val="21"/>
          <w:szCs w:val="21"/>
          <w:rtl w:val="0"/>
        </w:rPr>
        <w:t xml:space="preserve">Whether the July 2026 containment failure was reportable under the EU AI Act cannot be answered from the public record, and the reason is not evidentiary thinness but statutory structure. The enacting definition excludes a pre-market research model; the Commission’s reading brings it back through Recital 97 and guidance that disclaims its own authority; and that route needs three facts — a placement event, a Union nexus, and a compute figure — that only the provider holds, one of which its own account denies. The Regulation contains the instrument for asking, the AI Office is already using it on this subject, and this report supplies the incident-specific version it would need, with an answer matrix saying what each possible answer does and three amendments for the case where the answer is no.</w:t>
      </w:r>
    </w:p>
    <w:p>
      <w:pPr>
        <w:spacing w:after="120" w:before="0" w:line="264" w:lineRule="auto"/>
        <w:jc w:val="both"/>
        <w:rPr>
          <w:rFonts w:ascii="Old Standard TT" w:cs="Old Standard TT" w:eastAsia="Old Standard TT" w:hAnsi="Old Standard TT"/>
          <w:sz w:val="21"/>
          <w:szCs w:val="21"/>
        </w:rPr>
      </w:pPr>
      <w:r>
        <w:rPr>
          <w:rFonts w:ascii="Old Standard TT" w:cs="Old Standard TT" w:eastAsia="Old Standard TT" w:hAnsi="Old Standard TT"/>
          <w:sz w:val="21"/>
          <w:szCs w:val="21"/>
          <w:rtl w:val="0"/>
        </w:rPr>
        <w:t xml:space="preserve">Alongside it sits a finding that needs none of that reasoning and is fixable this week: the Commission’s serious-incident template does not ask when the provider became aware, although every initial-report period in the Code of Practice runs from that date, and the Commission has already drafted the field for its high-risk regime. The amended template is attached. The deeper point is methodological: this analysis has been materially wrong twenty-nine times, twenty of them the same failure — a source characterised without being opened — and the log of those errors ships with the work, because an analysis a regulator can act on has to be one whose mistakes are visible from outside it.</w:t>
      </w:r>
    </w:p>
    <w:p>
      <w:pPr>
        <w:pStyle w:val="Heading2"/>
        <w:keepNext w:val="1"/>
        <w:spacing w:after="80" w:before="280" w:line="240" w:lineRule="auto"/>
        <w:jc w:val="left"/>
        <w:rPr>
          <w:rFonts w:ascii="Old Standard TT" w:cs="Old Standard TT" w:eastAsia="Old Standard TT" w:hAnsi="Old Standard TT"/>
          <w:sz w:val="28"/>
          <w:szCs w:val="28"/>
        </w:rPr>
      </w:pPr>
      <w:r>
        <w:rPr>
          <w:rFonts w:ascii="Old Standard TT" w:cs="Old Standard TT" w:eastAsia="Old Standard TT" w:hAnsi="Old Standard TT"/>
          <w:color w:val="434343"/>
          <w:sz w:val="28"/>
          <w:szCs w:val="28"/>
          <w:rtl w:val="0"/>
        </w:rPr>
        <w:t xml:space="preserve">Code and Data</w:t>
      </w:r>
    </w:p>
    <w:p>
      <w:pPr>
        <w:spacing w:after="120" w:before="0" w:line="264" w:lineRule="auto"/>
        <w:jc w:val="both"/>
        <w:rPr>
          <w:rFonts w:ascii="Old Standard TT" w:cs="Old Standard TT" w:eastAsia="Old Standard TT" w:hAnsi="Old Standard TT"/>
          <w:sz w:val="21"/>
          <w:szCs w:val="21"/>
        </w:rPr>
      </w:pPr>
      <w:r>
        <w:rPr>
          <w:rFonts w:ascii="Old Standard TT" w:cs="Old Standard TT" w:eastAsia="Old Standard TT" w:hAnsi="Old Standard TT"/>
          <w:b w:val="1"/>
          <w:bCs w:val="1"/>
          <w:sz w:val="21"/>
          <w:szCs w:val="21"/>
          <w:rtl w:val="0"/>
        </w:rPr>
        <w:t xml:space="preserve">Code repository:</w:t>
      </w:r>
      <w:r>
        <w:rPr>
          <w:rFonts w:ascii="Old Standard TT" w:cs="Old Standard TT" w:eastAsia="Old Standard TT" w:hAnsi="Old Standard TT"/>
          <w:sz w:val="21"/>
          <w:szCs w:val="21"/>
          <w:rtl w:val="0"/>
        </w:rPr>
        <w:t xml:space="preserve"> </w:t>
      </w:r>
      <w:r>
        <w:rPr>
          <w:rFonts w:ascii="Consolas" w:cs="Consolas" w:eastAsia="Consolas" w:hAnsi="Consolas"/>
          <w:sz w:val="20"/>
          <w:szCs w:val="20"/>
          <w:rtl w:val="0"/>
        </w:rPr>
        <w:t xml:space="preserve">https://github.com/BQ-Essex/gpai-compliance-crosswalk</w:t>
      </w:r>
      <w:r>
        <w:rPr>
          <w:rFonts w:ascii="Old Standard TT" w:cs="Old Standard TT" w:eastAsia="Old Standard TT" w:hAnsi="Old Standard TT"/>
          <w:sz w:val="21"/>
          <w:szCs w:val="21"/>
          <w:rtl w:val="0"/>
        </w:rPr>
        <w:t xml:space="preserve"> — the enforcement pack (</w:t>
      </w:r>
      <w:r>
        <w:rPr>
          <w:rFonts w:ascii="Consolas" w:cs="Consolas" w:eastAsia="Consolas" w:hAnsi="Consolas"/>
          <w:sz w:val="20"/>
          <w:szCs w:val="20"/>
          <w:rtl w:val="0"/>
        </w:rPr>
        <w:t xml:space="preserve">instrument/</w:t>
      </w:r>
      <w:r>
        <w:rPr>
          <w:rFonts w:ascii="Old Standard TT" w:cs="Old Standard TT" w:eastAsia="Old Standard TT" w:hAnsi="Old Standard TT"/>
          <w:sz w:val="21"/>
          <w:szCs w:val="21"/>
          <w:rtl w:val="0"/>
        </w:rPr>
        <w:t xml:space="preserve">), the method and statutory foundation with its corrections log (</w:t>
      </w:r>
      <w:r>
        <w:rPr>
          <w:rFonts w:ascii="Consolas" w:cs="Consolas" w:eastAsia="Consolas" w:hAnsi="Consolas"/>
          <w:sz w:val="20"/>
          <w:szCs w:val="20"/>
          <w:rtl w:val="0"/>
        </w:rPr>
        <w:t xml:space="preserve">protocol/</w:t>
      </w:r>
      <w:r>
        <w:rPr>
          <w:rFonts w:ascii="Old Standard TT" w:cs="Old Standard TT" w:eastAsia="Old Standard TT" w:hAnsi="Old Standard TT"/>
          <w:sz w:val="21"/>
          <w:szCs w:val="21"/>
          <w:rtl w:val="0"/>
        </w:rPr>
        <w:t xml:space="preserve">), the six checkers and six scripts (</w:t>
      </w:r>
      <w:r>
        <w:rPr>
          <w:rFonts w:ascii="Consolas" w:cs="Consolas" w:eastAsia="Consolas" w:hAnsi="Consolas"/>
          <w:sz w:val="20"/>
          <w:szCs w:val="20"/>
          <w:rtl w:val="0"/>
        </w:rPr>
        <w:t xml:space="preserve">tools/</w:t>
      </w:r>
      <w:r>
        <w:rPr>
          <w:rFonts w:ascii="Old Standard TT" w:cs="Old Standard TT" w:eastAsia="Old Standard TT" w:hAnsi="Old Standard TT"/>
          <w:sz w:val="21"/>
          <w:szCs w:val="21"/>
          <w:rtl w:val="0"/>
        </w:rPr>
        <w:t xml:space="preserve">), the registers (</w:t>
      </w:r>
      <w:r>
        <w:rPr>
          <w:rFonts w:ascii="Consolas" w:cs="Consolas" w:eastAsia="Consolas" w:hAnsi="Consolas"/>
          <w:sz w:val="20"/>
          <w:szCs w:val="20"/>
          <w:rtl w:val="0"/>
        </w:rPr>
        <w:t xml:space="preserve">data/</w:t>
      </w:r>
      <w:r>
        <w:rPr>
          <w:rFonts w:ascii="Old Standard TT" w:cs="Old Standard TT" w:eastAsia="Old Standard TT" w:hAnsi="Old Standard TT"/>
          <w:sz w:val="21"/>
          <w:szCs w:val="21"/>
          <w:rtl w:val="0"/>
        </w:rPr>
        <w:t xml:space="preserve">), and the second run (</w:t>
      </w:r>
      <w:r>
        <w:rPr>
          <w:rFonts w:ascii="Consolas" w:cs="Consolas" w:eastAsia="Consolas" w:hAnsi="Consolas"/>
          <w:sz w:val="20"/>
          <w:szCs w:val="20"/>
          <w:rtl w:val="0"/>
        </w:rPr>
        <w:t xml:space="preserve">runs/anthropic-cyber-evals-2026/</w:t>
      </w:r>
      <w:r>
        <w:rPr>
          <w:rFonts w:ascii="Old Standard TT" w:cs="Old Standard TT" w:eastAsia="Old Standard TT" w:hAnsi="Old Standard TT"/>
          <w:sz w:val="21"/>
          <w:szCs w:val="21"/>
          <w:rtl w:val="0"/>
        </w:rPr>
        <w:t xml:space="preserve">). The README is the runbook; </w:t>
      </w:r>
      <w:r>
        <w:rPr>
          <w:rFonts w:ascii="Consolas" w:cs="Consolas" w:eastAsia="Consolas" w:hAnsi="Consolas"/>
          <w:sz w:val="20"/>
          <w:szCs w:val="20"/>
          <w:rtl w:val="0"/>
        </w:rPr>
        <w:t xml:space="preserve">python3 tools/check.py</w:t>
      </w:r>
      <w:r>
        <w:rPr>
          <w:rFonts w:ascii="Old Standard TT" w:cs="Old Standard TT" w:eastAsia="Old Standard TT" w:hAnsi="Old Standard TT"/>
          <w:sz w:val="21"/>
          <w:szCs w:val="21"/>
          <w:rtl w:val="0"/>
        </w:rPr>
        <w:t xml:space="preserve"> runs the whole board.</w:t>
      </w:r>
    </w:p>
    <w:p>
      <w:pPr>
        <w:spacing w:after="120" w:before="0" w:line="264" w:lineRule="auto"/>
        <w:jc w:val="both"/>
        <w:rPr>
          <w:rFonts w:ascii="Old Standard TT" w:cs="Old Standard TT" w:eastAsia="Old Standard TT" w:hAnsi="Old Standard TT"/>
          <w:sz w:val="21"/>
          <w:szCs w:val="21"/>
        </w:rPr>
      </w:pPr>
      <w:r>
        <w:rPr>
          <w:rFonts w:ascii="Old Standard TT" w:cs="Old Standard TT" w:eastAsia="Old Standard TT" w:hAnsi="Old Standard TT"/>
          <w:b w:val="1"/>
          <w:bCs w:val="1"/>
          <w:sz w:val="21"/>
          <w:szCs w:val="21"/>
          <w:rtl w:val="0"/>
        </w:rPr>
        <w:t xml:space="preserve">Data:</w:t>
      </w:r>
      <w:r>
        <w:rPr>
          <w:rFonts w:ascii="Old Standard TT" w:cs="Old Standard TT" w:eastAsia="Old Standard TT" w:hAnsi="Old Standard TT"/>
          <w:sz w:val="21"/>
          <w:szCs w:val="21"/>
          <w:rtl w:val="0"/>
        </w:rPr>
        <w:t xml:space="preserve"> </w:t>
      </w:r>
      <w:r>
        <w:rPr>
          <w:rFonts w:ascii="Consolas" w:cs="Consolas" w:eastAsia="Consolas" w:hAnsi="Consolas"/>
          <w:sz w:val="20"/>
          <w:szCs w:val="20"/>
          <w:rtl w:val="0"/>
        </w:rPr>
        <w:t xml:space="preserve">data/provisions.yaml</w:t>
      </w:r>
      <w:r>
        <w:rPr>
          <w:rFonts w:ascii="Old Standard TT" w:cs="Old Standard TT" w:eastAsia="Old Standard TT" w:hAnsi="Old Standard TT"/>
          <w:sz w:val="21"/>
          <w:szCs w:val="21"/>
          <w:rtl w:val="0"/>
        </w:rPr>
        <w:t xml:space="preserve"> (forty-seven provisions, seven imported CER provisions and four recitals verified against the consolidated text, and five CJEU judgments verified on EUR-Lex, each dated), </w:t>
      </w:r>
      <w:r>
        <w:rPr>
          <w:rFonts w:ascii="Consolas" w:cs="Consolas" w:eastAsia="Consolas" w:hAnsi="Consolas"/>
          <w:sz w:val="20"/>
          <w:szCs w:val="20"/>
          <w:rtl w:val="0"/>
        </w:rPr>
        <w:t xml:space="preserve">data/crosswalk.yaml</w:t>
      </w:r>
      <w:r>
        <w:rPr>
          <w:rFonts w:ascii="Old Standard TT" w:cs="Old Standard TT" w:eastAsia="Old Standard TT" w:hAnsi="Old Standard TT"/>
          <w:sz w:val="21"/>
          <w:szCs w:val="21"/>
          <w:rtl w:val="0"/>
        </w:rPr>
        <w:t xml:space="preserve">, </w:t>
      </w:r>
      <w:r>
        <w:rPr>
          <w:rFonts w:ascii="Consolas" w:cs="Consolas" w:eastAsia="Consolas" w:hAnsi="Consolas"/>
          <w:sz w:val="20"/>
          <w:szCs w:val="20"/>
          <w:rtl w:val="0"/>
        </w:rPr>
        <w:t xml:space="preserve">data/inferences.yaml</w:t>
      </w:r>
      <w:r>
        <w:rPr>
          <w:rFonts w:ascii="Old Standard TT" w:cs="Old Standard TT" w:eastAsia="Old Standard TT" w:hAnsi="Old Standard TT"/>
          <w:sz w:val="21"/>
          <w:szCs w:val="21"/>
          <w:rtl w:val="0"/>
        </w:rPr>
        <w:t xml:space="preserve">, </w:t>
      </w:r>
      <w:r>
        <w:rPr>
          <w:rFonts w:ascii="Consolas" w:cs="Consolas" w:eastAsia="Consolas" w:hAnsi="Consolas"/>
          <w:sz w:val="20"/>
          <w:szCs w:val="20"/>
          <w:rtl w:val="0"/>
        </w:rPr>
        <w:t xml:space="preserve">data/sources.yaml</w:t>
      </w:r>
      <w:r>
        <w:rPr>
          <w:rFonts w:ascii="Old Standard TT" w:cs="Old Standard TT" w:eastAsia="Old Standard TT" w:hAnsi="Old Standard TT"/>
          <w:sz w:val="21"/>
          <w:szCs w:val="21"/>
          <w:rtl w:val="0"/>
        </w:rPr>
        <w:t xml:space="preserve"> (every held document with its SHA-256), </w:t>
      </w:r>
      <w:r>
        <w:rPr>
          <w:rFonts w:ascii="Consolas" w:cs="Consolas" w:eastAsia="Consolas" w:hAnsi="Consolas"/>
          <w:sz w:val="20"/>
          <w:szCs w:val="20"/>
          <w:rtl w:val="0"/>
        </w:rPr>
        <w:t xml:space="preserve">data/form-fill.yaml</w:t>
      </w:r>
      <w:r>
        <w:rPr>
          <w:rFonts w:ascii="Old Standard TT" w:cs="Old Standard TT" w:eastAsia="Old Standard TT" w:hAnsi="Old Standard TT"/>
          <w:sz w:val="21"/>
          <w:szCs w:val="21"/>
          <w:rtl w:val="0"/>
        </w:rPr>
        <w:t xml:space="preserve">. Held source documents are in </w:t>
      </w:r>
      <w:r>
        <w:rPr>
          <w:rFonts w:ascii="Consolas" w:cs="Consolas" w:eastAsia="Consolas" w:hAnsi="Consolas"/>
          <w:sz w:val="20"/>
          <w:szCs w:val="20"/>
          <w:rtl w:val="0"/>
        </w:rPr>
        <w:t xml:space="preserve">_sources/</w:t>
      </w:r>
      <w:r>
        <w:rPr>
          <w:rFonts w:ascii="Old Standard TT" w:cs="Old Standard TT" w:eastAsia="Old Standard TT" w:hAnsi="Old Standard TT"/>
          <w:sz w:val="21"/>
          <w:szCs w:val="21"/>
          <w:rtl w:val="0"/>
        </w:rPr>
        <w:t xml:space="preserve">.</w:t>
      </w:r>
    </w:p>
    <w:p>
      <w:pPr>
        <w:spacing w:after="120" w:before="0" w:line="264" w:lineRule="auto"/>
        <w:jc w:val="both"/>
        <w:rPr>
          <w:rFonts w:ascii="Old Standard TT" w:cs="Old Standard TT" w:eastAsia="Old Standard TT" w:hAnsi="Old Standard TT"/>
          <w:sz w:val="21"/>
          <w:szCs w:val="21"/>
        </w:rPr>
      </w:pPr>
      <w:r>
        <w:rPr>
          <w:rFonts w:ascii="Old Standard TT" w:cs="Old Standard TT" w:eastAsia="Old Standard TT" w:hAnsi="Old Standard TT"/>
          <w:b w:val="1"/>
          <w:bCs w:val="1"/>
          <w:sz w:val="21"/>
          <w:szCs w:val="21"/>
          <w:rtl w:val="0"/>
        </w:rPr>
        <w:t xml:space="preserve">Licence:</w:t>
      </w:r>
      <w:r>
        <w:rPr>
          <w:rFonts w:ascii="Old Standard TT" w:cs="Old Standard TT" w:eastAsia="Old Standard TT" w:hAnsi="Old Standard TT"/>
          <w:sz w:val="21"/>
          <w:szCs w:val="21"/>
          <w:rtl w:val="0"/>
        </w:rPr>
        <w:t xml:space="preserve"> prose and data CC BY 4.0; code MIT. </w:t>
      </w:r>
      <w:r>
        <w:rPr>
          <w:rFonts w:ascii="Old Standard TT" w:cs="Old Standard TT" w:eastAsia="Old Standard TT" w:hAnsi="Old Standard TT"/>
          <w:b w:val="1"/>
          <w:bCs w:val="1"/>
          <w:sz w:val="21"/>
          <w:szCs w:val="21"/>
          <w:rtl w:val="0"/>
        </w:rPr>
        <w:t xml:space="preserve">Info-hazard note:</w:t>
      </w:r>
      <w:r>
        <w:rPr>
          <w:rFonts w:ascii="Old Standard TT" w:cs="Old Standard TT" w:eastAsia="Old Standard TT" w:hAnsi="Old Standard TT"/>
          <w:sz w:val="21"/>
          <w:szCs w:val="21"/>
          <w:rtl w:val="0"/>
        </w:rPr>
        <w:t xml:space="preserve"> the exploit chain is already public and is cited by reference only; no payloads, injection strings or consolidated reconstruction of the escalation path appear here or in the repository (Appendix A.2).</w:t>
      </w:r>
    </w:p>
    <w:p>
      <w:pPr>
        <w:pStyle w:val="Heading2"/>
        <w:keepNext w:val="1"/>
        <w:spacing w:after="80" w:before="280" w:line="240" w:lineRule="auto"/>
        <w:jc w:val="left"/>
        <w:rPr>
          <w:rFonts w:ascii="Old Standard TT" w:cs="Old Standard TT" w:eastAsia="Old Standard TT" w:hAnsi="Old Standard TT"/>
          <w:sz w:val="28"/>
          <w:szCs w:val="28"/>
        </w:rPr>
      </w:pPr>
      <w:r>
        <w:rPr>
          <w:rFonts w:ascii="Old Standard TT" w:cs="Old Standard TT" w:eastAsia="Old Standard TT" w:hAnsi="Old Standard TT"/>
          <w:color w:val="434343"/>
          <w:sz w:val="28"/>
          <w:szCs w:val="28"/>
          <w:rtl w:val="0"/>
        </w:rPr>
        <w:t xml:space="preserve">Author Contributions</w:t>
      </w:r>
    </w:p>
    <w:p>
      <w:pPr>
        <w:spacing w:after="120" w:before="0" w:line="264" w:lineRule="auto"/>
        <w:jc w:val="both"/>
        <w:rPr>
          <w:rFonts w:ascii="Old Standard TT" w:cs="Old Standard TT" w:eastAsia="Old Standard TT" w:hAnsi="Old Standard TT"/>
          <w:sz w:val="21"/>
          <w:szCs w:val="21"/>
        </w:rPr>
      </w:pPr>
      <w:r>
        <w:rPr>
          <w:rFonts w:ascii="Old Standard TT" w:cs="Old Standard TT" w:eastAsia="Old Standard TT" w:hAnsi="Old Standard TT"/>
          <w:sz w:val="21"/>
          <w:szCs w:val="21"/>
          <w:rtl w:val="0"/>
        </w:rPr>
        <w:t xml:space="preserve">Sole author. B.Q. conceived the approach, selected the regime and episodes, directed the research, made all analytical and drafting decisions, and is responsible for all errors.</w:t>
      </w:r>
    </w:p>
    <w:p>
      <w:pPr>
        <w:pStyle w:val="Heading2"/>
        <w:keepNext w:val="1"/>
        <w:spacing w:after="80" w:before="280" w:line="240" w:lineRule="auto"/>
        <w:jc w:val="left"/>
        <w:rPr>
          <w:rFonts w:ascii="Old Standard TT" w:cs="Old Standard TT" w:eastAsia="Old Standard TT" w:hAnsi="Old Standard TT"/>
          <w:sz w:val="28"/>
          <w:szCs w:val="28"/>
        </w:rPr>
      </w:pPr>
      <w:r>
        <w:rPr>
          <w:rFonts w:ascii="Old Standard TT" w:cs="Old Standard TT" w:eastAsia="Old Standard TT" w:hAnsi="Old Standard TT"/>
          <w:color w:val="434343"/>
          <w:sz w:val="28"/>
          <w:szCs w:val="28"/>
          <w:rtl w:val="0"/>
        </w:rPr>
        <w:t xml:space="preserve">References</w:t>
      </w:r>
    </w:p>
    <w:p>
      <w:pPr>
        <w:spacing w:after="80" w:before="0" w:line="240" w:lineRule="auto"/>
        <w:ind w:left="360" w:hanging="360"/>
        <w:jc w:val="left"/>
        <w:rPr>
          <w:rFonts w:ascii="Old Standard TT" w:cs="Old Standard TT" w:eastAsia="Old Standard TT" w:hAnsi="Old Standard TT"/>
          <w:sz w:val="18"/>
          <w:szCs w:val="18"/>
        </w:rPr>
      </w:pPr>
      <w:r>
        <w:rPr>
          <w:rFonts w:ascii="Old Standard TT" w:cs="Old Standard TT" w:eastAsia="Old Standard TT" w:hAnsi="Old Standard TT"/>
          <w:sz w:val="18"/>
          <w:szCs w:val="18"/>
          <w:rtl w:val="0"/>
        </w:rPr>
        <w:t xml:space="preserve">Agence Europe (2026) ‘European Commission sends first requests for information to more than 30 AI providers’, </w:t>
      </w:r>
      <w:r>
        <w:rPr>
          <w:rFonts w:ascii="Old Standard TT" w:cs="Old Standard TT" w:eastAsia="Old Standard TT" w:hAnsi="Old Standard TT"/>
          <w:i w:val="1"/>
          <w:iCs w:val="1"/>
          <w:sz w:val="18"/>
          <w:szCs w:val="18"/>
          <w:rtl w:val="0"/>
        </w:rPr>
        <w:t xml:space="preserve">Europe Daily Bulletin</w:t>
      </w:r>
      <w:r>
        <w:rPr>
          <w:rFonts w:ascii="Old Standard TT" w:cs="Old Standard TT" w:eastAsia="Old Standard TT" w:hAnsi="Old Standard TT"/>
          <w:sz w:val="18"/>
          <w:szCs w:val="18"/>
          <w:rtl w:val="0"/>
        </w:rPr>
        <w:t xml:space="preserve">, No. 13929, 3 September. Available at: https://agenceurope.eu/en/bulletin/article/13929/31/european-commission-sends-first-requests-for-information-to-more-than-30-ai-providers (Accessed: 13 September 2026).</w:t>
      </w:r>
    </w:p>
    <w:p>
      <w:pPr>
        <w:spacing w:after="80" w:before="0" w:line="240" w:lineRule="auto"/>
        <w:ind w:left="360" w:hanging="360"/>
        <w:jc w:val="left"/>
        <w:rPr>
          <w:rFonts w:ascii="Old Standard TT" w:cs="Old Standard TT" w:eastAsia="Old Standard TT" w:hAnsi="Old Standard TT"/>
          <w:sz w:val="18"/>
          <w:szCs w:val="18"/>
        </w:rPr>
      </w:pPr>
      <w:r>
        <w:rPr>
          <w:rFonts w:ascii="Old Standard TT" w:cs="Old Standard TT" w:eastAsia="Old Standard TT" w:hAnsi="Old Standard TT"/>
          <w:sz w:val="18"/>
          <w:szCs w:val="18"/>
          <w:rtl w:val="0"/>
        </w:rPr>
        <w:t xml:space="preserve">Anthropic (2026) </w:t>
      </w:r>
      <w:r>
        <w:rPr>
          <w:rFonts w:ascii="Old Standard TT" w:cs="Old Standard TT" w:eastAsia="Old Standard TT" w:hAnsi="Old Standard TT"/>
          <w:i w:val="1"/>
          <w:iCs w:val="1"/>
          <w:sz w:val="18"/>
          <w:szCs w:val="18"/>
          <w:rtl w:val="0"/>
        </w:rPr>
        <w:t xml:space="preserve">Investigating real-world incidents in our cybersecurity evaluations</w:t>
      </w:r>
      <w:r>
        <w:rPr>
          <w:rFonts w:ascii="Old Standard TT" w:cs="Old Standard TT" w:eastAsia="Old Standard TT" w:hAnsi="Old Standard TT"/>
          <w:sz w:val="18"/>
          <w:szCs w:val="18"/>
          <w:rtl w:val="0"/>
        </w:rPr>
        <w:t xml:space="preserve">, 30 July. Available at: https://www.anthropic.com/research/investigating-incidents-cybersecurity-evals (Accessed: 11 September 2026).</w:t>
      </w:r>
    </w:p>
    <w:p>
      <w:pPr>
        <w:spacing w:after="80" w:before="0" w:line="240" w:lineRule="auto"/>
        <w:ind w:left="360" w:hanging="360"/>
        <w:jc w:val="left"/>
        <w:rPr>
          <w:rFonts w:ascii="Old Standard TT" w:cs="Old Standard TT" w:eastAsia="Old Standard TT" w:hAnsi="Old Standard TT"/>
          <w:sz w:val="18"/>
          <w:szCs w:val="18"/>
        </w:rPr>
      </w:pPr>
      <w:r>
        <w:rPr>
          <w:rFonts w:ascii="Old Standard TT" w:cs="Old Standard TT" w:eastAsia="Old Standard TT" w:hAnsi="Old Standard TT"/>
          <w:sz w:val="18"/>
          <w:szCs w:val="18"/>
          <w:rtl w:val="0"/>
        </w:rPr>
        <w:t xml:space="preserve">California (2025) </w:t>
      </w:r>
      <w:r>
        <w:rPr>
          <w:rFonts w:ascii="Old Standard TT" w:cs="Old Standard TT" w:eastAsia="Old Standard TT" w:hAnsi="Old Standard TT"/>
          <w:i w:val="1"/>
          <w:iCs w:val="1"/>
          <w:sz w:val="18"/>
          <w:szCs w:val="18"/>
          <w:rtl w:val="0"/>
        </w:rPr>
        <w:t xml:space="preserve">Senate Bill 53: Transparency in Frontier Artificial Intelligence Act</w:t>
      </w:r>
      <w:r>
        <w:rPr>
          <w:rFonts w:ascii="Old Standard TT" w:cs="Old Standard TT" w:eastAsia="Old Standard TT" w:hAnsi="Old Standard TT"/>
          <w:sz w:val="18"/>
          <w:szCs w:val="18"/>
          <w:rtl w:val="0"/>
        </w:rPr>
        <w:t xml:space="preserve">. Sacramento: California State Legislature. Available at: https://leginfo.legislature.ca.gov/faces/billTextClient.xhtml?bill_id=202520260SB53 (Accessed: 11 September 2026).</w:t>
      </w:r>
    </w:p>
    <w:p>
      <w:pPr>
        <w:spacing w:after="80" w:before="0" w:line="240" w:lineRule="auto"/>
        <w:ind w:left="360" w:hanging="360"/>
        <w:jc w:val="left"/>
        <w:rPr>
          <w:rFonts w:ascii="Old Standard TT" w:cs="Old Standard TT" w:eastAsia="Old Standard TT" w:hAnsi="Old Standard TT"/>
          <w:sz w:val="18"/>
          <w:szCs w:val="18"/>
        </w:rPr>
      </w:pPr>
      <w:r>
        <w:rPr>
          <w:rFonts w:ascii="Old Standard TT" w:cs="Old Standard TT" w:eastAsia="Old Standard TT" w:hAnsi="Old Standard TT"/>
          <w:sz w:val="18"/>
          <w:szCs w:val="18"/>
          <w:rtl w:val="0"/>
        </w:rPr>
        <w:t xml:space="preserve">Cloud Security Alliance (2026) </w:t>
      </w:r>
      <w:r>
        <w:rPr>
          <w:rFonts w:ascii="Old Standard TT" w:cs="Old Standard TT" w:eastAsia="Old Standard TT" w:hAnsi="Old Standard TT"/>
          <w:i w:val="1"/>
          <w:iCs w:val="1"/>
          <w:sz w:val="18"/>
          <w:szCs w:val="18"/>
          <w:rtl w:val="0"/>
        </w:rPr>
        <w:t xml:space="preserve">Research note: AI incident disclosure gap, EU AI Act</w:t>
      </w:r>
      <w:r>
        <w:rPr>
          <w:rFonts w:ascii="Old Standard TT" w:cs="Old Standard TT" w:eastAsia="Old Standard TT" w:hAnsi="Old Standard TT"/>
          <w:sz w:val="18"/>
          <w:szCs w:val="18"/>
          <w:rtl w:val="0"/>
        </w:rPr>
        <w:t xml:space="preserve">. Available at: https://labs.cloudsecurityalliance.org/research/csa-research-note-ai-incident-disclosure-gap-eu-ai-act-20260/ (Accessed: 11 September 2026).</w:t>
      </w:r>
    </w:p>
    <w:p>
      <w:pPr>
        <w:spacing w:after="80" w:before="0" w:line="240" w:lineRule="auto"/>
        <w:ind w:left="360" w:hanging="360"/>
        <w:jc w:val="left"/>
        <w:rPr>
          <w:rFonts w:ascii="Old Standard TT" w:cs="Old Standard TT" w:eastAsia="Old Standard TT" w:hAnsi="Old Standard TT"/>
          <w:sz w:val="18"/>
          <w:szCs w:val="18"/>
        </w:rPr>
      </w:pPr>
      <w:r>
        <w:rPr>
          <w:rFonts w:ascii="Old Standard TT" w:cs="Old Standard TT" w:eastAsia="Old Standard TT" w:hAnsi="Old Standard TT"/>
          <w:sz w:val="18"/>
          <w:szCs w:val="18"/>
          <w:rtl w:val="0"/>
        </w:rPr>
        <w:t xml:space="preserve">Directive (EU) 2022/2557 of the European Parliament and of the Council of 14 December 2022 on the resilience of critical entities, OJ L 333, 27.12.2022, p. 164. ELI: http://data.europa.eu/eli/dir/2022/2557/oj</w:t>
      </w:r>
    </w:p>
    <w:p>
      <w:pPr>
        <w:spacing w:after="80" w:before="0" w:line="240" w:lineRule="auto"/>
        <w:ind w:left="360" w:hanging="360"/>
        <w:jc w:val="left"/>
        <w:rPr>
          <w:rFonts w:ascii="Old Standard TT" w:cs="Old Standard TT" w:eastAsia="Old Standard TT" w:hAnsi="Old Standard TT"/>
          <w:sz w:val="18"/>
          <w:szCs w:val="18"/>
        </w:rPr>
      </w:pPr>
      <w:r>
        <w:rPr>
          <w:rFonts w:ascii="Old Standard TT" w:cs="Old Standard TT" w:eastAsia="Old Standard TT" w:hAnsi="Old Standard TT"/>
          <w:sz w:val="18"/>
          <w:szCs w:val="18"/>
          <w:rtl w:val="0"/>
        </w:rPr>
        <w:t xml:space="preserve">European Commission (2025) </w:t>
      </w:r>
      <w:r>
        <w:rPr>
          <w:rFonts w:ascii="Old Standard TT" w:cs="Old Standard TT" w:eastAsia="Old Standard TT" w:hAnsi="Old Standard TT"/>
          <w:i w:val="1"/>
          <w:iCs w:val="1"/>
          <w:sz w:val="18"/>
          <w:szCs w:val="18"/>
          <w:rtl w:val="0"/>
        </w:rPr>
        <w:t xml:space="preserve">Commission guidelines on the scope of the obligations for providers of general-purpose AI models established by Regulation (EU) 2024/1689 (AI Act)</w:t>
      </w:r>
      <w:r>
        <w:rPr>
          <w:rFonts w:ascii="Old Standard TT" w:cs="Old Standard TT" w:eastAsia="Old Standard TT" w:hAnsi="Old Standard TT"/>
          <w:sz w:val="18"/>
          <w:szCs w:val="18"/>
          <w:rtl w:val="0"/>
        </w:rPr>
        <w:t xml:space="preserve">. C(2025) 7719 final. Brussels, 19 November.</w:t>
      </w:r>
    </w:p>
    <w:p>
      <w:pPr>
        <w:spacing w:after="80" w:before="0" w:line="240" w:lineRule="auto"/>
        <w:ind w:left="360" w:hanging="360"/>
        <w:jc w:val="left"/>
        <w:rPr>
          <w:rFonts w:ascii="Old Standard TT" w:cs="Old Standard TT" w:eastAsia="Old Standard TT" w:hAnsi="Old Standard TT"/>
          <w:sz w:val="18"/>
          <w:szCs w:val="18"/>
        </w:rPr>
      </w:pPr>
      <w:r>
        <w:rPr>
          <w:rFonts w:ascii="Old Standard TT" w:cs="Old Standard TT" w:eastAsia="Old Standard TT" w:hAnsi="Old Standard TT"/>
          <w:sz w:val="18"/>
          <w:szCs w:val="18"/>
          <w:rtl w:val="0"/>
        </w:rPr>
        <w:t xml:space="preserve">European Commission (2026a) </w:t>
      </w:r>
      <w:r>
        <w:rPr>
          <w:rFonts w:ascii="Old Standard TT" w:cs="Old Standard TT" w:eastAsia="Old Standard TT" w:hAnsi="Old Standard TT"/>
          <w:i w:val="1"/>
          <w:iCs w:val="1"/>
          <w:sz w:val="18"/>
          <w:szCs w:val="18"/>
          <w:rtl w:val="0"/>
        </w:rPr>
        <w:t xml:space="preserve">General-purpose AI models in the AI Act: questions and answers</w:t>
      </w:r>
      <w:r>
        <w:rPr>
          <w:rFonts w:ascii="Old Standard TT" w:cs="Old Standard TT" w:eastAsia="Old Standard TT" w:hAnsi="Old Standard TT"/>
          <w:sz w:val="18"/>
          <w:szCs w:val="18"/>
          <w:rtl w:val="0"/>
        </w:rPr>
        <w:t xml:space="preserve">. Available at: https://digital-strategy.ec.europa.eu/en/faqs/general-purpose-ai-models-ai-act-questions-answers (Accessed: 11 September 2026).</w:t>
      </w:r>
    </w:p>
    <w:p>
      <w:pPr>
        <w:spacing w:after="80" w:before="0" w:line="240" w:lineRule="auto"/>
        <w:ind w:left="360" w:hanging="360"/>
        <w:jc w:val="left"/>
        <w:rPr>
          <w:rFonts w:ascii="Old Standard TT" w:cs="Old Standard TT" w:eastAsia="Old Standard TT" w:hAnsi="Old Standard TT"/>
          <w:sz w:val="18"/>
          <w:szCs w:val="18"/>
        </w:rPr>
      </w:pPr>
      <w:r>
        <w:rPr>
          <w:rFonts w:ascii="Old Standard TT" w:cs="Old Standard TT" w:eastAsia="Old Standard TT" w:hAnsi="Old Standard TT"/>
          <w:sz w:val="18"/>
          <w:szCs w:val="18"/>
          <w:rtl w:val="0"/>
        </w:rPr>
        <w:t xml:space="preserve">European Commission (2026b) Statement of spokesperson T. Regnier on the DseWiki filing, 7 September. Reported in </w:t>
      </w:r>
      <w:r>
        <w:rPr>
          <w:rFonts w:ascii="Old Standard TT" w:cs="Old Standard TT" w:eastAsia="Old Standard TT" w:hAnsi="Old Standard TT"/>
          <w:i w:val="1"/>
          <w:iCs w:val="1"/>
          <w:sz w:val="18"/>
          <w:szCs w:val="18"/>
          <w:rtl w:val="0"/>
        </w:rPr>
        <w:t xml:space="preserve">International Business Times UK</w:t>
      </w:r>
      <w:r>
        <w:rPr>
          <w:rFonts w:ascii="Old Standard TT" w:cs="Old Standard TT" w:eastAsia="Old Standard TT" w:hAnsi="Old Standard TT"/>
          <w:sz w:val="18"/>
          <w:szCs w:val="18"/>
          <w:rtl w:val="0"/>
        </w:rPr>
        <w:t xml:space="preserve">. Available at: https://www.ibtimes.co.uk/openai-eu-scrutiny-dsewiki-incident-1818384 (Accessed: 11 September 2026).</w:t>
      </w:r>
    </w:p>
    <w:p>
      <w:pPr>
        <w:spacing w:after="80" w:before="0" w:line="240" w:lineRule="auto"/>
        <w:ind w:left="360" w:hanging="360"/>
        <w:jc w:val="left"/>
        <w:rPr>
          <w:rFonts w:ascii="Old Standard TT" w:cs="Old Standard TT" w:eastAsia="Old Standard TT" w:hAnsi="Old Standard TT"/>
          <w:sz w:val="18"/>
          <w:szCs w:val="18"/>
        </w:rPr>
      </w:pPr>
      <w:r>
        <w:rPr>
          <w:rFonts w:ascii="Old Standard TT" w:cs="Old Standard TT" w:eastAsia="Old Standard TT" w:hAnsi="Old Standard TT"/>
          <w:sz w:val="18"/>
          <w:szCs w:val="18"/>
          <w:rtl w:val="0"/>
        </w:rPr>
        <w:t xml:space="preserve">European Commission (2026c) </w:t>
      </w:r>
      <w:r>
        <w:rPr>
          <w:rFonts w:ascii="Old Standard TT" w:cs="Old Standard TT" w:eastAsia="Old Standard TT" w:hAnsi="Old Standard TT"/>
          <w:i w:val="1"/>
          <w:iCs w:val="1"/>
          <w:sz w:val="18"/>
          <w:szCs w:val="18"/>
          <w:rtl w:val="0"/>
        </w:rPr>
        <w:t xml:space="preserve">Commission opinion on the assessment of the general-purpose AI Code of Practice within the meaning of Article 56 of the AI Act</w:t>
      </w:r>
      <w:r>
        <w:rPr>
          <w:rFonts w:ascii="Old Standard TT" w:cs="Old Standard TT" w:eastAsia="Old Standard TT" w:hAnsi="Old Standard TT"/>
          <w:sz w:val="18"/>
          <w:szCs w:val="18"/>
          <w:rtl w:val="0"/>
        </w:rPr>
        <w:t xml:space="preserve">. C(2025) 5361 final. Brussels.</w:t>
      </w:r>
    </w:p>
    <w:p>
      <w:pPr>
        <w:spacing w:after="80" w:before="0" w:line="240" w:lineRule="auto"/>
        <w:ind w:left="360" w:hanging="360"/>
        <w:jc w:val="left"/>
        <w:rPr>
          <w:rFonts w:ascii="Old Standard TT" w:cs="Old Standard TT" w:eastAsia="Old Standard TT" w:hAnsi="Old Standard TT"/>
          <w:sz w:val="18"/>
          <w:szCs w:val="18"/>
        </w:rPr>
      </w:pPr>
      <w:r>
        <w:rPr>
          <w:rFonts w:ascii="Old Standard TT" w:cs="Old Standard TT" w:eastAsia="Old Standard TT" w:hAnsi="Old Standard TT"/>
          <w:sz w:val="18"/>
          <w:szCs w:val="18"/>
          <w:rtl w:val="0"/>
        </w:rPr>
        <w:t xml:space="preserve">Hugging Face (2026) </w:t>
      </w:r>
      <w:r>
        <w:rPr>
          <w:rFonts w:ascii="Old Standard TT" w:cs="Old Standard TT" w:eastAsia="Old Standard TT" w:hAnsi="Old Standard TT"/>
          <w:i w:val="1"/>
          <w:iCs w:val="1"/>
          <w:sz w:val="18"/>
          <w:szCs w:val="18"/>
          <w:rtl w:val="0"/>
        </w:rPr>
        <w:t xml:space="preserve">Anatomy of a frontier lab agent intrusion: a technical timeline of the July 2026 incident</w:t>
      </w:r>
      <w:r>
        <w:rPr>
          <w:rFonts w:ascii="Old Standard TT" w:cs="Old Standard TT" w:eastAsia="Old Standard TT" w:hAnsi="Old Standard TT"/>
          <w:sz w:val="18"/>
          <w:szCs w:val="18"/>
          <w:rtl w:val="0"/>
        </w:rPr>
        <w:t xml:space="preserve">, 27 July. Available at: https://huggingface.co/blog/agent-intrusion-technical-timeline (Accessed: 11 September 2026).</w:t>
      </w:r>
    </w:p>
    <w:p>
      <w:pPr>
        <w:spacing w:after="80" w:before="0" w:line="240" w:lineRule="auto"/>
        <w:ind w:left="360" w:hanging="360"/>
        <w:jc w:val="left"/>
        <w:rPr>
          <w:rFonts w:ascii="Old Standard TT" w:cs="Old Standard TT" w:eastAsia="Old Standard TT" w:hAnsi="Old Standard TT"/>
          <w:sz w:val="18"/>
          <w:szCs w:val="18"/>
        </w:rPr>
      </w:pPr>
      <w:r>
        <w:rPr>
          <w:rFonts w:ascii="Old Standard TT" w:cs="Old Standard TT" w:eastAsia="Old Standard TT" w:hAnsi="Old Standard TT"/>
          <w:sz w:val="18"/>
          <w:szCs w:val="18"/>
          <w:rtl w:val="0"/>
        </w:rPr>
        <w:t xml:space="preserve">METR and Redwood Research (2026) </w:t>
      </w:r>
      <w:r>
        <w:rPr>
          <w:rFonts w:ascii="Old Standard TT" w:cs="Old Standard TT" w:eastAsia="Old Standard TT" w:hAnsi="Old Standard TT"/>
          <w:i w:val="1"/>
          <w:iCs w:val="1"/>
          <w:sz w:val="18"/>
          <w:szCs w:val="18"/>
          <w:rtl w:val="0"/>
        </w:rPr>
        <w:t xml:space="preserve">Brief independent investigation of agents’ behavior, reasoning and collaboration in the OpenAI / Hugging Face hacking incident</w:t>
      </w:r>
      <w:r>
        <w:rPr>
          <w:rFonts w:ascii="Old Standard TT" w:cs="Old Standard TT" w:eastAsia="Old Standard TT" w:hAnsi="Old Standard TT"/>
          <w:sz w:val="18"/>
          <w:szCs w:val="18"/>
          <w:rtl w:val="0"/>
        </w:rPr>
        <w:t xml:space="preserve">, 26 August. Available at: https://metr.org/blog/2026-08-26-openai-hugging-face-incident-investigation/ (Accessed: 11 September 2026).</w:t>
      </w:r>
    </w:p>
    <w:p>
      <w:pPr>
        <w:spacing w:after="80" w:before="0" w:line="240" w:lineRule="auto"/>
        <w:ind w:left="360" w:hanging="360"/>
        <w:jc w:val="left"/>
        <w:rPr>
          <w:rFonts w:ascii="Old Standard TT" w:cs="Old Standard TT" w:eastAsia="Old Standard TT" w:hAnsi="Old Standard TT"/>
          <w:sz w:val="18"/>
          <w:szCs w:val="18"/>
        </w:rPr>
      </w:pPr>
      <w:r>
        <w:rPr>
          <w:rFonts w:ascii="Old Standard TT" w:cs="Old Standard TT" w:eastAsia="Old Standard TT" w:hAnsi="Old Standard TT"/>
          <w:sz w:val="18"/>
          <w:szCs w:val="18"/>
          <w:rtl w:val="0"/>
        </w:rPr>
        <w:t xml:space="preserve">OpenAI (2026b) </w:t>
      </w:r>
      <w:r>
        <w:rPr>
          <w:rFonts w:ascii="Old Standard TT" w:cs="Old Standard TT" w:eastAsia="Old Standard TT" w:hAnsi="Old Standard TT"/>
          <w:i w:val="1"/>
          <w:iCs w:val="1"/>
          <w:sz w:val="18"/>
          <w:szCs w:val="18"/>
          <w:rtl w:val="0"/>
        </w:rPr>
        <w:t xml:space="preserve">The Hugging Face incident and the road ahead</w:t>
      </w:r>
      <w:r>
        <w:rPr>
          <w:rFonts w:ascii="Old Standard TT" w:cs="Old Standard TT" w:eastAsia="Old Standard TT" w:hAnsi="Old Standard TT"/>
          <w:sz w:val="18"/>
          <w:szCs w:val="18"/>
          <w:rtl w:val="0"/>
        </w:rPr>
        <w:t xml:space="preserve">, 26 August. Available at: https://openai.com/index/hugging-face-incident-and-the-road-ahead/ (Accessed: 11 September 2026).</w:t>
      </w:r>
    </w:p>
    <w:p>
      <w:pPr>
        <w:spacing w:after="80" w:before="0" w:line="240" w:lineRule="auto"/>
        <w:ind w:left="360" w:hanging="360"/>
        <w:jc w:val="left"/>
        <w:rPr>
          <w:rFonts w:ascii="Old Standard TT" w:cs="Old Standard TT" w:eastAsia="Old Standard TT" w:hAnsi="Old Standard TT"/>
          <w:sz w:val="18"/>
          <w:szCs w:val="18"/>
        </w:rPr>
      </w:pPr>
      <w:r>
        <w:rPr>
          <w:rFonts w:ascii="Old Standard TT" w:cs="Old Standard TT" w:eastAsia="Old Standard TT" w:hAnsi="Old Standard TT"/>
          <w:sz w:val="18"/>
          <w:szCs w:val="18"/>
          <w:rtl w:val="0"/>
        </w:rPr>
        <w:t xml:space="preserve">OpenAI (2026c) Public acknowledgment of the wiki incident, 5 September. Reported in </w:t>
      </w:r>
      <w:r>
        <w:rPr>
          <w:rFonts w:ascii="Old Standard TT" w:cs="Old Standard TT" w:eastAsia="Old Standard TT" w:hAnsi="Old Standard TT"/>
          <w:i w:val="1"/>
          <w:iCs w:val="1"/>
          <w:sz w:val="18"/>
          <w:szCs w:val="18"/>
          <w:rtl w:val="0"/>
        </w:rPr>
        <w:t xml:space="preserve">TechCrunch</w:t>
      </w:r>
      <w:r>
        <w:rPr>
          <w:rFonts w:ascii="Old Standard TT" w:cs="Old Standard TT" w:eastAsia="Old Standard TT" w:hAnsi="Old Standard TT"/>
          <w:sz w:val="18"/>
          <w:szCs w:val="18"/>
          <w:rtl w:val="0"/>
        </w:rPr>
        <w:t xml:space="preserve">. Available at: https://techcrunch.com/2026/09/05/openai-confirms-wiki-incident-says-its-working-on-a-framework-for-more-disclosure/ (Accessed: 11 September 2026).</w:t>
      </w:r>
    </w:p>
    <w:p>
      <w:pPr>
        <w:spacing w:after="80" w:before="0" w:line="240" w:lineRule="auto"/>
        <w:ind w:left="360" w:hanging="360"/>
        <w:jc w:val="left"/>
        <w:rPr>
          <w:rFonts w:ascii="Old Standard TT" w:cs="Old Standard TT" w:eastAsia="Old Standard TT" w:hAnsi="Old Standard TT"/>
          <w:sz w:val="18"/>
          <w:szCs w:val="18"/>
        </w:rPr>
      </w:pPr>
      <w:r>
        <w:rPr>
          <w:rFonts w:ascii="Old Standard TT" w:cs="Old Standard TT" w:eastAsia="Old Standard TT" w:hAnsi="Old Standard TT"/>
          <w:sz w:val="18"/>
          <w:szCs w:val="18"/>
          <w:rtl w:val="0"/>
        </w:rPr>
        <w:t xml:space="preserve">Pistillo, M. (2026) </w:t>
      </w:r>
      <w:r>
        <w:rPr>
          <w:rFonts w:ascii="Old Standard TT" w:cs="Old Standard TT" w:eastAsia="Old Standard TT" w:hAnsi="Old Standard TT"/>
          <w:i w:val="1"/>
          <w:iCs w:val="1"/>
          <w:sz w:val="18"/>
          <w:szCs w:val="18"/>
          <w:rtl w:val="0"/>
        </w:rPr>
        <w:t xml:space="preserve">Internal deployment in the AI Act</w:t>
      </w:r>
      <w:r>
        <w:rPr>
          <w:rFonts w:ascii="Old Standard TT" w:cs="Old Standard TT" w:eastAsia="Old Standard TT" w:hAnsi="Old Standard TT"/>
          <w:sz w:val="18"/>
          <w:szCs w:val="18"/>
          <w:rtl w:val="0"/>
        </w:rPr>
        <w:t xml:space="preserve">. Chapter for the </w:t>
      </w:r>
      <w:r>
        <w:rPr>
          <w:rFonts w:ascii="Old Standard TT" w:cs="Old Standard TT" w:eastAsia="Old Standard TT" w:hAnsi="Old Standard TT"/>
          <w:i w:val="1"/>
          <w:iCs w:val="1"/>
          <w:sz w:val="18"/>
          <w:szCs w:val="18"/>
          <w:rtl w:val="0"/>
        </w:rPr>
        <w:t xml:space="preserve">Cambridge Commentary on EU General-Purpose AI Law</w:t>
      </w:r>
      <w:r>
        <w:rPr>
          <w:rFonts w:ascii="Old Standard TT" w:cs="Old Standard TT" w:eastAsia="Old Standard TT" w:hAnsi="Old Standard TT"/>
          <w:sz w:val="18"/>
          <w:szCs w:val="18"/>
          <w:rtl w:val="0"/>
        </w:rPr>
        <w:t xml:space="preserve">. arXiv:2512.05742 [v4, 10 August 2026]. doi: 10.48550/arXiv.2512.05742. Cited at v4, the version consulted, identified by byte size; copy held, SHA-256 </w:t>
      </w:r>
      <w:r>
        <w:rPr>
          <w:rFonts w:ascii="Consolas" w:cs="Consolas" w:eastAsia="Consolas" w:hAnsi="Consolas"/>
          <w:sz w:val="17"/>
          <w:szCs w:val="17"/>
          <w:rtl w:val="0"/>
        </w:rPr>
        <w:t xml:space="preserve">00436de5…3e7472</w:t>
      </w:r>
      <w:r>
        <w:rPr>
          <w:rFonts w:ascii="Old Standard TT" w:cs="Old Standard TT" w:eastAsia="Old Standard TT" w:hAnsi="Old Standard TT"/>
          <w:sz w:val="18"/>
          <w:szCs w:val="18"/>
          <w:rtl w:val="0"/>
        </w:rPr>
        <w:t xml:space="preserve">.</w:t>
      </w:r>
    </w:p>
    <w:p>
      <w:pPr>
        <w:spacing w:after="80" w:before="0" w:line="240" w:lineRule="auto"/>
        <w:ind w:left="360" w:hanging="360"/>
        <w:jc w:val="left"/>
        <w:rPr>
          <w:rFonts w:ascii="Old Standard TT" w:cs="Old Standard TT" w:eastAsia="Old Standard TT" w:hAnsi="Old Standard TT"/>
          <w:sz w:val="18"/>
          <w:szCs w:val="18"/>
        </w:rPr>
      </w:pPr>
      <w:r>
        <w:rPr>
          <w:rFonts w:ascii="Old Standard TT" w:cs="Old Standard TT" w:eastAsia="Old Standard TT" w:hAnsi="Old Standard TT"/>
          <w:sz w:val="18"/>
          <w:szCs w:val="18"/>
          <w:rtl w:val="0"/>
        </w:rPr>
        <w:t xml:space="preserve">Regulation (EU) 2024/1689 of the European Parliament and of the Council of 13 June 2024 laying down harmonised rules on artificial intelligence, OJ L, 2024/1689, 12.7.2024. Consolidated text CELEX 02024R1689-20260727, as amended by Regulation (EU) 2026/1744. ELI: http://data.europa.eu/eli/reg/2024/1689/oj</w:t>
      </w:r>
    </w:p>
    <w:p>
      <w:pPr>
        <w:spacing w:after="80" w:before="0" w:line="240" w:lineRule="auto"/>
        <w:ind w:left="360" w:hanging="360"/>
        <w:jc w:val="left"/>
        <w:rPr>
          <w:rFonts w:ascii="Old Standard TT" w:cs="Old Standard TT" w:eastAsia="Old Standard TT" w:hAnsi="Old Standard TT"/>
          <w:sz w:val="18"/>
          <w:szCs w:val="18"/>
        </w:rPr>
      </w:pPr>
      <w:r>
        <w:rPr>
          <w:rFonts w:ascii="Old Standard TT" w:cs="Old Standard TT" w:eastAsia="Old Standard TT" w:hAnsi="Old Standard TT"/>
          <w:sz w:val="18"/>
          <w:szCs w:val="18"/>
          <w:rtl w:val="0"/>
        </w:rPr>
        <w:t xml:space="preserve">Uuk, R. (2026) ‘The EU AI Act Newsletter #110: Powers in Practice’, 8 September. Future of Life Institute. Available at: https://artificialintelligenceact.substack.com/p/the-eu-ai-act-newsletter-110-powers (Accessed: 13 September 2026).</w:t>
      </w:r>
    </w:p>
    <w:p>
      <w:pPr>
        <w:spacing w:after="80" w:before="0" w:line="240" w:lineRule="auto"/>
        <w:ind w:left="360" w:hanging="360"/>
        <w:jc w:val="left"/>
        <w:rPr>
          <w:rFonts w:ascii="Old Standard TT" w:cs="Old Standard TT" w:eastAsia="Old Standard TT" w:hAnsi="Old Standard TT"/>
          <w:sz w:val="18"/>
          <w:szCs w:val="18"/>
        </w:rPr>
      </w:pPr>
      <w:r>
        <w:rPr>
          <w:rFonts w:ascii="Old Standard TT" w:cs="Old Standard TT" w:eastAsia="Old Standard TT" w:hAnsi="Old Standard TT"/>
          <w:sz w:val="18"/>
          <w:szCs w:val="18"/>
          <w:rtl w:val="0"/>
        </w:rPr>
        <w:t xml:space="preserve">Von Arx, S. </w:t>
      </w:r>
      <w:r>
        <w:rPr>
          <w:rFonts w:ascii="Old Standard TT" w:cs="Old Standard TT" w:eastAsia="Old Standard TT" w:hAnsi="Old Standard TT"/>
          <w:i w:val="1"/>
          <w:iCs w:val="1"/>
          <w:sz w:val="18"/>
          <w:szCs w:val="18"/>
          <w:rtl w:val="0"/>
        </w:rPr>
        <w:t xml:space="preserve">et al.</w:t>
      </w:r>
      <w:r>
        <w:rPr>
          <w:rFonts w:ascii="Old Standard TT" w:cs="Old Standard TT" w:eastAsia="Old Standard TT" w:hAnsi="Old Standard TT"/>
          <w:sz w:val="18"/>
          <w:szCs w:val="18"/>
          <w:rtl w:val="0"/>
        </w:rPr>
        <w:t xml:space="preserve"> (2026) </w:t>
      </w:r>
      <w:r>
        <w:rPr>
          <w:rFonts w:ascii="Old Standard TT" w:cs="Old Standard TT" w:eastAsia="Old Standard TT" w:hAnsi="Old Standard TT"/>
          <w:i w:val="1"/>
          <w:iCs w:val="1"/>
          <w:sz w:val="18"/>
          <w:szCs w:val="18"/>
          <w:rtl w:val="0"/>
        </w:rPr>
        <w:t xml:space="preserve">DseWiki incident analysis</w:t>
      </w:r>
      <w:r>
        <w:rPr>
          <w:rFonts w:ascii="Old Standard TT" w:cs="Old Standard TT" w:eastAsia="Old Standard TT" w:hAnsi="Old Standard TT"/>
          <w:sz w:val="18"/>
          <w:szCs w:val="18"/>
          <w:rtl w:val="0"/>
        </w:rPr>
        <w:t xml:space="preserve">, 4 September. Available at: https://collusion.wiki/ (Accessed: 11 September 2026). Archived at: https://web.archive.org/web/20260912133451/https://collusion.wiki/ (Archived: 12 September 2026).</w:t>
      </w:r>
    </w:p>
    <w:p>
      <w:pPr>
        <w:spacing w:after="120" w:before="0" w:line="264" w:lineRule="auto"/>
        <w:jc w:val="both"/>
        <w:rPr>
          <w:rFonts w:ascii="Old Standard TT" w:cs="Old Standard TT" w:eastAsia="Old Standard TT" w:hAnsi="Old Standard TT"/>
          <w:sz w:val="21"/>
          <w:szCs w:val="21"/>
        </w:rPr>
      </w:pPr>
      <w:r>
        <w:rPr>
          <w:rFonts w:ascii="Old Standard TT" w:cs="Old Standard TT" w:eastAsia="Old Standard TT" w:hAnsi="Old Standard TT"/>
          <w:i w:val="1"/>
          <w:iCs w:val="1"/>
          <w:sz w:val="21"/>
          <w:szCs w:val="21"/>
          <w:rtl w:val="0"/>
        </w:rPr>
        <w:t xml:space="preserve">Case law relied on above:</w:t>
      </w:r>
      <w:r>
        <w:rPr>
          <w:rFonts w:ascii="Old Standard TT" w:cs="Old Standard TT" w:eastAsia="Old Standard TT" w:hAnsi="Old Standard TT"/>
          <w:sz w:val="21"/>
          <w:szCs w:val="21"/>
          <w:rtl w:val="0"/>
        </w:rPr>
        <w:t xml:space="preserve"> Case C-162/97 </w:t>
      </w:r>
      <w:r>
        <w:rPr>
          <w:rFonts w:ascii="Old Standard TT" w:cs="Old Standard TT" w:eastAsia="Old Standard TT" w:hAnsi="Old Standard TT"/>
          <w:i w:val="1"/>
          <w:iCs w:val="1"/>
          <w:sz w:val="21"/>
          <w:szCs w:val="21"/>
          <w:rtl w:val="0"/>
        </w:rPr>
        <w:t xml:space="preserve">Nilsson</w:t>
      </w:r>
      <w:r>
        <w:rPr>
          <w:rFonts w:ascii="Old Standard TT" w:cs="Old Standard TT" w:eastAsia="Old Standard TT" w:hAnsi="Old Standard TT"/>
          <w:sz w:val="21"/>
          <w:szCs w:val="21"/>
          <w:rtl w:val="0"/>
        </w:rPr>
        <w:t xml:space="preserve"> ¶54; Case C-136/04 </w:t>
      </w:r>
      <w:r>
        <w:rPr>
          <w:rFonts w:ascii="Old Standard TT" w:cs="Old Standard TT" w:eastAsia="Old Standard TT" w:hAnsi="Old Standard TT"/>
          <w:i w:val="1"/>
          <w:iCs w:val="1"/>
          <w:sz w:val="21"/>
          <w:szCs w:val="21"/>
          <w:rtl w:val="0"/>
        </w:rPr>
        <w:t xml:space="preserve">Deutsches Milch-Kontor</w:t>
      </w:r>
      <w:r>
        <w:rPr>
          <w:rFonts w:ascii="Old Standard TT" w:cs="Old Standard TT" w:eastAsia="Old Standard TT" w:hAnsi="Old Standard TT"/>
          <w:sz w:val="21"/>
          <w:szCs w:val="21"/>
          <w:rtl w:val="0"/>
        </w:rPr>
        <w:t xml:space="preserve"> ¶32. Three further judgments in the register — Case 374/87 </w:t>
      </w:r>
      <w:r>
        <w:rPr>
          <w:rFonts w:ascii="Old Standard TT" w:cs="Old Standard TT" w:eastAsia="Old Standard TT" w:hAnsi="Old Standard TT"/>
          <w:i w:val="1"/>
          <w:iCs w:val="1"/>
          <w:sz w:val="21"/>
          <w:szCs w:val="21"/>
          <w:rtl w:val="0"/>
        </w:rPr>
        <w:t xml:space="preserve">Orkem</w:t>
      </w:r>
      <w:r>
        <w:rPr>
          <w:rFonts w:ascii="Old Standard TT" w:cs="Old Standard TT" w:eastAsia="Old Standard TT" w:hAnsi="Old Standard TT"/>
          <w:sz w:val="21"/>
          <w:szCs w:val="21"/>
          <w:rtl w:val="0"/>
        </w:rPr>
        <w:t xml:space="preserve"> ¶35, Case 155/79 </w:t>
      </w:r>
      <w:r>
        <w:rPr>
          <w:rFonts w:ascii="Old Standard TT" w:cs="Old Standard TT" w:eastAsia="Old Standard TT" w:hAnsi="Old Standard TT"/>
          <w:i w:val="1"/>
          <w:iCs w:val="1"/>
          <w:sz w:val="21"/>
          <w:szCs w:val="21"/>
          <w:rtl w:val="0"/>
        </w:rPr>
        <w:t xml:space="preserve">AM&amp;S</w:t>
      </w:r>
      <w:r>
        <w:rPr>
          <w:rFonts w:ascii="Old Standard TT" w:cs="Old Standard TT" w:eastAsia="Old Standard TT" w:hAnsi="Old Standard TT"/>
          <w:sz w:val="21"/>
          <w:szCs w:val="21"/>
          <w:rtl w:val="0"/>
        </w:rPr>
        <w:t xml:space="preserve"> ¶21 and Case C-550/07 P </w:t>
      </w:r>
      <w:r>
        <w:rPr>
          <w:rFonts w:ascii="Old Standard TT" w:cs="Old Standard TT" w:eastAsia="Old Standard TT" w:hAnsi="Old Standard TT"/>
          <w:i w:val="1"/>
          <w:iCs w:val="1"/>
          <w:sz w:val="21"/>
          <w:szCs w:val="21"/>
          <w:rtl w:val="0"/>
        </w:rPr>
        <w:t xml:space="preserve">Akzo Nobel</w:t>
      </w:r>
      <w:r>
        <w:rPr>
          <w:rFonts w:ascii="Old Standard TT" w:cs="Old Standard TT" w:eastAsia="Old Standard TT" w:hAnsi="Old Standard TT"/>
          <w:sz w:val="21"/>
          <w:szCs w:val="21"/>
          <w:rtl w:val="0"/>
        </w:rPr>
        <w:t xml:space="preserve"> ¶44 — stand behind the model Article 91 request rather than behind this report. All five were read on EUR-Lex and verified. Pinpoint citations, source tiering and negative-search notes are held in </w:t>
      </w:r>
      <w:r>
        <w:rPr>
          <w:rFonts w:ascii="Consolas" w:cs="Consolas" w:eastAsia="Consolas" w:hAnsi="Consolas"/>
          <w:sz w:val="20"/>
          <w:szCs w:val="20"/>
          <w:rtl w:val="0"/>
        </w:rPr>
        <w:t xml:space="preserve">data/sources.yaml</w:t>
      </w:r>
      <w:r>
        <w:rPr>
          <w:rFonts w:ascii="Old Standard TT" w:cs="Old Standard TT" w:eastAsia="Old Standard TT" w:hAnsi="Old Standard TT"/>
          <w:sz w:val="21"/>
          <w:szCs w:val="21"/>
          <w:rtl w:val="0"/>
        </w:rPr>
        <w:t xml:space="preserve">.</w:t>
      </w:r>
    </w:p>
    <w:p>
      <w:pPr>
        <w:pStyle w:val="Heading2"/>
        <w:keepNext w:val="1"/>
        <w:spacing w:after="80" w:before="280" w:line="240" w:lineRule="auto"/>
        <w:jc w:val="left"/>
        <w:rPr>
          <w:rFonts w:ascii="Old Standard TT" w:cs="Old Standard TT" w:eastAsia="Old Standard TT" w:hAnsi="Old Standard TT"/>
          <w:sz w:val="28"/>
          <w:szCs w:val="28"/>
        </w:rPr>
      </w:pPr>
      <w:r>
        <w:rPr>
          <w:rFonts w:ascii="Old Standard TT" w:cs="Old Standard TT" w:eastAsia="Old Standard TT" w:hAnsi="Old Standard TT"/>
          <w:color w:val="434343"/>
          <w:sz w:val="28"/>
          <w:szCs w:val="28"/>
          <w:rtl w:val="0"/>
        </w:rPr>
        <w:t xml:space="preserve">Appendix A: Limitations and dual-use considerations</w:t>
      </w:r>
    </w:p>
    <w:p>
      <w:pPr>
        <w:pStyle w:val="Heading3"/>
        <w:keepNext w:val="1"/>
        <w:spacing w:after="60" w:before="200" w:line="240" w:lineRule="auto"/>
        <w:jc w:val="left"/>
        <w:rPr>
          <w:rFonts w:ascii="Old Standard TT" w:cs="Old Standard TT" w:eastAsia="Old Standard TT" w:hAnsi="Old Standard TT"/>
          <w:sz w:val="24"/>
          <w:szCs w:val="24"/>
        </w:rPr>
      </w:pPr>
      <w:r>
        <w:rPr>
          <w:rFonts w:ascii="Old Standard TT" w:cs="Old Standard TT" w:eastAsia="Old Standard TT" w:hAnsi="Old Standard TT"/>
          <w:i w:val="1"/>
          <w:iCs w:val="1"/>
          <w:color w:val="434343"/>
          <w:sz w:val="24"/>
          <w:szCs w:val="24"/>
          <w:rtl w:val="0"/>
        </w:rPr>
        <w:t xml:space="preserve">A.1 Access asymmetry</w:t>
      </w:r>
    </w:p>
    <w:p>
      <w:pPr>
        <w:spacing w:after="120" w:before="0" w:line="264" w:lineRule="auto"/>
        <w:jc w:val="both"/>
        <w:rPr>
          <w:rFonts w:ascii="Old Standard TT" w:cs="Old Standard TT" w:eastAsia="Old Standard TT" w:hAnsi="Old Standard TT"/>
          <w:sz w:val="21"/>
          <w:szCs w:val="21"/>
        </w:rPr>
      </w:pPr>
      <w:r>
        <w:rPr>
          <w:rFonts w:ascii="Old Standard TT" w:cs="Old Standard TT" w:eastAsia="Old Standard TT" w:hAnsi="Old Standard TT"/>
          <w:sz w:val="21"/>
          <w:szCs w:val="21"/>
          <w:rtl w:val="0"/>
        </w:rPr>
        <w:t xml:space="preserve">The parties able to resolve most rows are the ones whose conduct is in question. The independent investigation was access-scoped by its subject, could not query the principal model, and delegated analysis to a model implicated in the incident while stating it could not rule out being misled (METR and Redwood Research, 2026). Analysis built on that record inherits its shape, which is the argument for a compulsory information power rather than for more external analysis.</w:t>
      </w:r>
    </w:p>
    <w:p>
      <w:pPr>
        <w:pStyle w:val="Heading3"/>
        <w:keepNext w:val="1"/>
        <w:spacing w:after="60" w:before="200" w:line="240" w:lineRule="auto"/>
        <w:jc w:val="left"/>
        <w:rPr>
          <w:rFonts w:ascii="Old Standard TT" w:cs="Old Standard TT" w:eastAsia="Old Standard TT" w:hAnsi="Old Standard TT"/>
          <w:sz w:val="24"/>
          <w:szCs w:val="24"/>
        </w:rPr>
      </w:pPr>
      <w:r>
        <w:rPr>
          <w:rFonts w:ascii="Old Standard TT" w:cs="Old Standard TT" w:eastAsia="Old Standard TT" w:hAnsi="Old Standard TT"/>
          <w:i w:val="1"/>
          <w:iCs w:val="1"/>
          <w:color w:val="434343"/>
          <w:sz w:val="24"/>
          <w:szCs w:val="24"/>
          <w:rtl w:val="0"/>
        </w:rPr>
        <w:t xml:space="preserve">A.2 Dual use: aggregation rather than disclosure</w:t>
      </w:r>
    </w:p>
    <w:p>
      <w:pPr>
        <w:spacing w:after="120" w:before="0" w:line="264" w:lineRule="auto"/>
        <w:jc w:val="both"/>
        <w:rPr>
          <w:rFonts w:ascii="Old Standard TT" w:cs="Old Standard TT" w:eastAsia="Old Standard TT" w:hAnsi="Old Standard TT"/>
          <w:sz w:val="21"/>
          <w:szCs w:val="21"/>
        </w:rPr>
      </w:pPr>
      <w:r>
        <w:rPr>
          <w:rFonts w:ascii="Old Standard TT" w:cs="Old Standard TT" w:eastAsia="Old Standard TT" w:hAnsi="Old Standard TT"/>
          <w:sz w:val="21"/>
          <w:szCs w:val="21"/>
          <w:rtl w:val="0"/>
        </w:rPr>
        <w:t xml:space="preserve">The exploit chain is already public (Hugging Face, 2026). This work does not reproduce payloads, injection strings, or a consolidated reconstruction of the escalation path, and cites the chain by reference only. The same facts scattered across a vendor post and an incident timeline are a different artifact from those facts assembled and annotated in one place; assembly adds the operational value, and regulatory analysis needs the category of vulnerability rather than the working detail.</w:t>
      </w:r>
    </w:p>
    <w:p>
      <w:pPr>
        <w:pStyle w:val="Heading3"/>
        <w:keepNext w:val="1"/>
        <w:spacing w:after="60" w:before="200" w:line="240" w:lineRule="auto"/>
        <w:jc w:val="left"/>
        <w:rPr>
          <w:rFonts w:ascii="Old Standard TT" w:cs="Old Standard TT" w:eastAsia="Old Standard TT" w:hAnsi="Old Standard TT"/>
          <w:sz w:val="24"/>
          <w:szCs w:val="24"/>
        </w:rPr>
      </w:pPr>
      <w:r>
        <w:rPr>
          <w:rFonts w:ascii="Old Standard TT" w:cs="Old Standard TT" w:eastAsia="Old Standard TT" w:hAnsi="Old Standard TT"/>
          <w:i w:val="1"/>
          <w:iCs w:val="1"/>
          <w:color w:val="434343"/>
          <w:sz w:val="24"/>
          <w:szCs w:val="24"/>
          <w:rtl w:val="0"/>
        </w:rPr>
        <w:t xml:space="preserve">A.3 Dual use: the instrument</w:t>
      </w:r>
    </w:p>
    <w:p>
      <w:pPr>
        <w:spacing w:after="120" w:before="0" w:line="264" w:lineRule="auto"/>
        <w:jc w:val="both"/>
        <w:rPr>
          <w:rFonts w:ascii="Old Standard TT" w:cs="Old Standard TT" w:eastAsia="Old Standard TT" w:hAnsi="Old Standard TT"/>
          <w:sz w:val="21"/>
          <w:szCs w:val="21"/>
        </w:rPr>
      </w:pPr>
      <w:r>
        <w:rPr>
          <w:rFonts w:ascii="Old Standard TT" w:cs="Old Standard TT" w:eastAsia="Old Standard TT" w:hAnsi="Old Standard TT"/>
          <w:sz w:val="21"/>
          <w:szCs w:val="21"/>
          <w:rtl w:val="0"/>
        </w:rPr>
        <w:t xml:space="preserve">A well-formed regulatory instrument can be misused, to lend false authority or to harass through procedurally correct but empty demands. Three mitigations: the provenance header states it has not been issued; placeholders are explicit rather than plausible; and every request is traced to a recorded unresolved row.</w:t>
      </w:r>
    </w:p>
    <w:p>
      <w:pPr>
        <w:pStyle w:val="Heading3"/>
        <w:keepNext w:val="1"/>
        <w:spacing w:after="60" w:before="200" w:line="240" w:lineRule="auto"/>
        <w:jc w:val="left"/>
        <w:rPr>
          <w:rFonts w:ascii="Old Standard TT" w:cs="Old Standard TT" w:eastAsia="Old Standard TT" w:hAnsi="Old Standard TT"/>
          <w:sz w:val="24"/>
          <w:szCs w:val="24"/>
        </w:rPr>
      </w:pPr>
      <w:r>
        <w:rPr>
          <w:rFonts w:ascii="Old Standard TT" w:cs="Old Standard TT" w:eastAsia="Old Standard TT" w:hAnsi="Old Standard TT"/>
          <w:i w:val="1"/>
          <w:iCs w:val="1"/>
          <w:color w:val="434343"/>
          <w:sz w:val="24"/>
          <w:szCs w:val="24"/>
          <w:rtl w:val="0"/>
        </w:rPr>
        <w:t xml:space="preserve">A.4 Dual use: the scope analysis</w:t>
      </w:r>
    </w:p>
    <w:p>
      <w:pPr>
        <w:spacing w:after="120" w:before="0" w:line="264" w:lineRule="auto"/>
        <w:jc w:val="both"/>
        <w:rPr>
          <w:rFonts w:ascii="Old Standard TT" w:cs="Old Standard TT" w:eastAsia="Old Standard TT" w:hAnsi="Old Standard TT"/>
          <w:sz w:val="21"/>
          <w:szCs w:val="21"/>
        </w:rPr>
      </w:pPr>
      <w:r>
        <w:rPr>
          <w:rFonts w:ascii="Old Standard TT" w:cs="Old Standard TT" w:eastAsia="Old Standard TT" w:hAnsi="Old Standard TT"/>
          <w:sz w:val="21"/>
          <w:szCs w:val="21"/>
          <w:rtl w:val="0"/>
        </w:rPr>
        <w:t xml:space="preserve">§4.1 sets out the strongest textual argument available to a provider seeking to place a pre-market research model outside the Regulation. It is published anyway. The argument is derivable by anyone who reads Articles 2(1)(a), 3(9) to (11) and 3(63) together, and it is already in the literature (Pistillo, 2026), so publication confers no advantage a competent adviser does not hold. A fragility regulators can see is less dangerous than one they cannot, and the amendment table is narrow and available.</w:t>
      </w:r>
    </w:p>
    <w:p>
      <w:pPr>
        <w:pStyle w:val="Heading3"/>
        <w:keepNext w:val="1"/>
        <w:spacing w:after="60" w:before="200" w:line="240" w:lineRule="auto"/>
        <w:jc w:val="left"/>
        <w:rPr>
          <w:rFonts w:ascii="Old Standard TT" w:cs="Old Standard TT" w:eastAsia="Old Standard TT" w:hAnsi="Old Standard TT"/>
          <w:sz w:val="24"/>
          <w:szCs w:val="24"/>
        </w:rPr>
      </w:pPr>
      <w:r>
        <w:rPr>
          <w:rFonts w:ascii="Old Standard TT" w:cs="Old Standard TT" w:eastAsia="Old Standard TT" w:hAnsi="Old Standard TT"/>
          <w:i w:val="1"/>
          <w:iCs w:val="1"/>
          <w:color w:val="434343"/>
          <w:sz w:val="24"/>
          <w:szCs w:val="24"/>
          <w:rtl w:val="0"/>
        </w:rPr>
        <w:t xml:space="preserve">A.5 Even-handedness</w:t>
      </w:r>
    </w:p>
    <w:p>
      <w:pPr>
        <w:spacing w:after="120" w:before="0" w:line="264" w:lineRule="auto"/>
        <w:jc w:val="both"/>
        <w:rPr>
          <w:rFonts w:ascii="Old Standard TT" w:cs="Old Standard TT" w:eastAsia="Old Standard TT" w:hAnsi="Old Standard TT"/>
          <w:sz w:val="21"/>
          <w:szCs w:val="21"/>
        </w:rPr>
      </w:pPr>
      <w:r>
        <w:rPr>
          <w:rFonts w:ascii="Old Standard TT" w:cs="Old Standard TT" w:eastAsia="Old Standard TT" w:hAnsi="Old Standard TT"/>
          <w:sz w:val="21"/>
          <w:szCs w:val="21"/>
          <w:rtl w:val="0"/>
        </w:rPr>
        <w:t xml:space="preserve">Two developers’ self-reports are registered at the same tier with the same reservations, and the second run applies the method to the incidents of the developer whose assistant was used to build it. The author has an application pending with that developer. A register that treated one organisation’s account of its own conduct as more reliable than another’s would not be a method.</w:t>
      </w:r>
    </w:p>
    <w:p>
      <w:pPr>
        <w:pStyle w:val="Heading2"/>
        <w:keepNext w:val="1"/>
        <w:spacing w:after="80" w:before="280" w:line="240" w:lineRule="auto"/>
        <w:jc w:val="left"/>
        <w:rPr>
          <w:rFonts w:ascii="Old Standard TT" w:cs="Old Standard TT" w:eastAsia="Old Standard TT" w:hAnsi="Old Standard TT"/>
          <w:sz w:val="28"/>
          <w:szCs w:val="28"/>
        </w:rPr>
      </w:pPr>
      <w:r>
        <w:rPr>
          <w:rFonts w:ascii="Old Standard TT" w:cs="Old Standard TT" w:eastAsia="Old Standard TT" w:hAnsi="Old Standard TT"/>
          <w:color w:val="434343"/>
          <w:sz w:val="28"/>
          <w:szCs w:val="28"/>
          <w:rtl w:val="0"/>
        </w:rPr>
        <w:t xml:space="preserve">Appendix B: Comparative regimes</w:t>
      </w:r>
    </w:p>
    <w:p>
      <w:pPr>
        <w:spacing w:after="120" w:before="0" w:line="264" w:lineRule="auto"/>
        <w:jc w:val="both"/>
        <w:rPr>
          <w:rFonts w:ascii="Old Standard TT" w:cs="Old Standard TT" w:eastAsia="Old Standard TT" w:hAnsi="Old Standard TT"/>
          <w:sz w:val="21"/>
          <w:szCs w:val="21"/>
        </w:rPr>
      </w:pPr>
      <w:r>
        <w:rPr>
          <w:rFonts w:ascii="Consolas" w:cs="Consolas" w:eastAsia="Consolas" w:hAnsi="Consolas"/>
          <w:sz w:val="20"/>
          <w:szCs w:val="20"/>
          <w:rtl w:val="0"/>
        </w:rPr>
        <w:t xml:space="preserve">docs/comparative-regimes.md</w:t>
      </w:r>
      <w:r>
        <w:rPr>
          <w:rFonts w:ascii="Old Standard TT" w:cs="Old Standard TT" w:eastAsia="Old Standard TT" w:hAnsi="Old Standard TT"/>
          <w:sz w:val="21"/>
          <w:szCs w:val="21"/>
          <w:rtl w:val="0"/>
        </w:rPr>
        <w:t xml:space="preserve"> tables three regimes side by side: thresholds, definitional gates, the three clocks and their triggers, and enforceable self-commitments. California’s SB 53 (California, 2025) §22757.11(c)(1)(B)–(C) describes this conduct closely and its magnitude floor excludes it; those provisions were re-read on 13 September 2026 against the Legislature’s own bill-text page, held and hashed, and the pinpoints hold. The New York RAISE Act is described there, registered nowhere, and not relied on — stated plainly rather than quietly dropped.</w:t>
      </w:r>
    </w:p>
    <w:p>
      <w:pPr>
        <w:pStyle w:val="Heading2"/>
        <w:keepNext w:val="1"/>
        <w:spacing w:after="80" w:before="280" w:line="240" w:lineRule="auto"/>
        <w:jc w:val="left"/>
        <w:rPr>
          <w:rFonts w:ascii="Old Standard TT" w:cs="Old Standard TT" w:eastAsia="Old Standard TT" w:hAnsi="Old Standard TT"/>
          <w:sz w:val="28"/>
          <w:szCs w:val="28"/>
        </w:rPr>
      </w:pPr>
      <w:r>
        <w:rPr>
          <w:rFonts w:ascii="Old Standard TT" w:cs="Old Standard TT" w:eastAsia="Old Standard TT" w:hAnsi="Old Standard TT"/>
          <w:color w:val="434343"/>
          <w:sz w:val="28"/>
          <w:szCs w:val="28"/>
          <w:rtl w:val="0"/>
        </w:rPr>
        <w:t xml:space="preserve">Appendix C: The two reporting regimes, sourcing, and bounded absences</w:t>
      </w:r>
    </w:p>
    <w:p>
      <w:pPr>
        <w:spacing w:after="120" w:before="0" w:line="264" w:lineRule="auto"/>
        <w:jc w:val="both"/>
        <w:rPr>
          <w:rFonts w:ascii="Old Standard TT" w:cs="Old Standard TT" w:eastAsia="Old Standard TT" w:hAnsi="Old Standard TT"/>
          <w:sz w:val="21"/>
          <w:szCs w:val="21"/>
        </w:rPr>
      </w:pPr>
      <w:r>
        <w:rPr>
          <w:rFonts w:ascii="Old Standard TT" w:cs="Old Standard TT" w:eastAsia="Old Standard TT" w:hAnsi="Old Standard TT"/>
          <w:b w:val="1"/>
          <w:bCs w:val="1"/>
          <w:sz w:val="21"/>
          <w:szCs w:val="21"/>
          <w:rtl w:val="0"/>
        </w:rPr>
        <w:t xml:space="preserve">The high-risk comparison, with its three qualifications.</w:t>
      </w:r>
      <w:r>
        <w:rPr>
          <w:rFonts w:ascii="Old Standard TT" w:cs="Old Standard TT" w:eastAsia="Old Standard TT" w:hAnsi="Old Standard TT"/>
          <w:sz w:val="21"/>
          <w:szCs w:val="21"/>
          <w:rtl w:val="0"/>
        </w:rPr>
        <w:t xml:space="preserve"> The Commission’s draft template for serious incidents involving high-risk AI systems asks in section 1.2 for the date of report submission, the date of the incident, the date and time of detection, and the “Manufacturer awareness date of reportability”, and runs to seven pages against the model template’s two. Three things hold that comparison in place. The high-risk field asks for awareness of </w:t>
      </w:r>
      <w:r>
        <w:rPr>
          <w:rFonts w:ascii="Old Standard TT" w:cs="Old Standard TT" w:eastAsia="Old Standard TT" w:hAnsi="Old Standard TT"/>
          <w:i w:val="1"/>
          <w:iCs w:val="1"/>
          <w:sz w:val="21"/>
          <w:szCs w:val="21"/>
          <w:rtl w:val="0"/>
        </w:rPr>
        <w:t xml:space="preserve">reportability</w:t>
      </w:r>
      <w:r>
        <w:rPr>
          <w:rFonts w:ascii="Old Standard TT" w:cs="Old Standard TT" w:eastAsia="Old Standard TT" w:hAnsi="Old Standard TT"/>
          <w:sz w:val="21"/>
          <w:szCs w:val="21"/>
          <w:rtl w:val="0"/>
        </w:rPr>
        <w:t xml:space="preserve">, tracking Article 73(2), where Measure 9.3 runs from awareness of the model’s involvement. Both high-risk documents are consultation drafts of 26 September 2025, with no final version linked as of 12 September 2026, and the accompanying draft guidance says expressly that it is “not dealing with” general-purpose models. And the regime they serve is not in application: Article 73 has applied only since 2 August 2026, Article 75(1a) since 27 July 2026, and the Omnibus deferred the high-risk classification both depend on to 2 December 2027 and 2 August 2028. Article 75(1), point (a) nonetheless makes the AI Office exclusively competent for AI systems “based on general-purpose AI models where the model and the system are developed by the same provider, or by providers forming part of the same undertaking”, and Article 75(1a) routes those systems’ serious incidents to the same AI Office that Article 55(1), point (c) reaches: one body, two regimes differing in clock, trigger and form, meeting only where the system is high-risk. The comparison is therefore between two drafting choices, not two live regimes.</w:t>
      </w:r>
    </w:p>
    <w:p>
      <w:pPr>
        <w:spacing w:after="120" w:before="0" w:line="264" w:lineRule="auto"/>
        <w:jc w:val="both"/>
        <w:rPr>
          <w:rFonts w:ascii="Old Standard TT" w:cs="Old Standard TT" w:eastAsia="Old Standard TT" w:hAnsi="Old Standard TT"/>
          <w:sz w:val="21"/>
          <w:szCs w:val="21"/>
        </w:rPr>
      </w:pPr>
      <w:r>
        <w:rPr>
          <w:rFonts w:ascii="Old Standard TT" w:cs="Old Standard TT" w:eastAsia="Old Standard TT" w:hAnsi="Old Standard TT"/>
          <w:b w:val="1"/>
          <w:bCs w:val="1"/>
          <w:sz w:val="21"/>
          <w:szCs w:val="21"/>
          <w:rtl w:val="0"/>
        </w:rPr>
        <w:t xml:space="preserve">A negative finding worth recording.</w:t>
      </w:r>
      <w:r>
        <w:rPr>
          <w:rFonts w:ascii="Old Standard TT" w:cs="Old Standard TT" w:eastAsia="Old Standard TT" w:hAnsi="Old Standard TT"/>
          <w:sz w:val="21"/>
          <w:szCs w:val="21"/>
          <w:rtl w:val="0"/>
        </w:rPr>
        <w:t xml:space="preserve"> The Guidelines reproduce the Article 3, point (63) research exclusion when setting out the definition and nowhere condition or gloss it. The “sole purpose” qualifier appears in Recital 97 and not in the Guidelines, where the phrase does not occur at all.</w:t>
      </w:r>
    </w:p>
    <w:p>
      <w:pPr>
        <w:spacing w:after="120" w:before="0" w:line="264" w:lineRule="auto"/>
        <w:jc w:val="both"/>
        <w:rPr>
          <w:rFonts w:ascii="Old Standard TT" w:cs="Old Standard TT" w:eastAsia="Old Standard TT" w:hAnsi="Old Standard TT"/>
          <w:sz w:val="21"/>
          <w:szCs w:val="21"/>
        </w:rPr>
      </w:pPr>
      <w:r>
        <w:rPr>
          <w:rFonts w:ascii="Old Standard TT" w:cs="Old Standard TT" w:eastAsia="Old Standard TT" w:hAnsi="Old Standard TT"/>
          <w:b w:val="1"/>
          <w:bCs w:val="1"/>
          <w:sz w:val="21"/>
          <w:szCs w:val="21"/>
          <w:rtl w:val="0"/>
        </w:rPr>
        <w:t xml:space="preserve">The absences that matter, with their bounds.</w:t>
      </w:r>
      <w:r>
        <w:rPr>
          <w:rFonts w:ascii="Old Standard TT" w:cs="Old Standard TT" w:eastAsia="Old Standard TT" w:hAnsi="Old Standard TT"/>
          <w:sz w:val="21"/>
          <w:szCs w:val="21"/>
          <w:rtl w:val="0"/>
        </w:rPr>
        <w:t xml:space="preserve"> </w:t>
      </w:r>
      <w:r>
        <w:rPr>
          <w:rFonts w:ascii="Old Standard TT" w:cs="Old Standard TT" w:eastAsia="Old Standard TT" w:hAnsi="Old Standard TT"/>
          <w:i w:val="1"/>
          <w:iCs w:val="1"/>
          <w:sz w:val="21"/>
          <w:szCs w:val="21"/>
          <w:rtl w:val="0"/>
        </w:rPr>
        <w:t xml:space="preserve">The research model’s training compute, and whether any Article 52(1) notification was made</w:t>
      </w:r>
      <w:r>
        <w:rPr>
          <w:rFonts w:ascii="Old Standard TT" w:cs="Old Standard TT" w:eastAsia="Old Standard TT" w:hAnsi="Old Standard TT"/>
          <w:sz w:val="21"/>
          <w:szCs w:val="21"/>
          <w:rtl w:val="0"/>
        </w:rPr>
        <w:t xml:space="preserve"> — as of 12 September 2026, across English-language web search on the provider, “Article 52”, “notification”, “AI Office”, and the six incident-record documents. </w:t>
      </w:r>
      <w:r>
        <w:rPr>
          <w:rFonts w:ascii="Old Standard TT" w:cs="Old Standard TT" w:eastAsia="Old Standard TT" w:hAnsi="Old Standard TT"/>
          <w:i w:val="1"/>
          <w:iCs w:val="1"/>
          <w:sz w:val="21"/>
          <w:szCs w:val="21"/>
          <w:rtl w:val="0"/>
        </w:rPr>
        <w:t xml:space="preserve">Whether the model was ever integrated into an own system put into service, and where</w:t>
      </w:r>
      <w:r>
        <w:rPr>
          <w:rFonts w:ascii="Old Standard TT" w:cs="Old Standard TT" w:eastAsia="Old Standard TT" w:hAnsi="Old Standard TT"/>
          <w:sz w:val="21"/>
          <w:szCs w:val="21"/>
          <w:rtl w:val="0"/>
        </w:rPr>
        <w:t xml:space="preserve"> — as of 13 September 2026, across the six incident-record documents searched for “deploy”, “internal”, “Union”, “Europe”, plus the Guidelines and Q&amp;A. </w:t>
      </w:r>
      <w:r>
        <w:rPr>
          <w:rFonts w:ascii="Old Standard TT" w:cs="Old Standard TT" w:eastAsia="Old Standard TT" w:hAnsi="Old Standard TT"/>
          <w:i w:val="1"/>
          <w:iCs w:val="1"/>
          <w:sz w:val="21"/>
          <w:szCs w:val="21"/>
          <w:rtl w:val="0"/>
        </w:rPr>
        <w:t xml:space="preserve">Whether, when and under what provision any report reached the AI Office</w:t>
      </w:r>
      <w:r>
        <w:rPr>
          <w:rFonts w:ascii="Old Standard TT" w:cs="Old Standard TT" w:eastAsia="Old Standard TT" w:hAnsi="Old Standard TT"/>
          <w:sz w:val="21"/>
          <w:szCs w:val="21"/>
          <w:rtl w:val="0"/>
        </w:rPr>
        <w:t xml:space="preserve"> — as of 12–13 September 2026, across the same corpus and the spokesperson’s statement of 7 September as reported.</w:t>
      </w:r>
    </w:p>
    <w:p>
      <w:pPr>
        <w:spacing w:after="120" w:before="0" w:line="264" w:lineRule="auto"/>
        <w:jc w:val="both"/>
        <w:rPr>
          <w:rFonts w:ascii="Old Standard TT" w:cs="Old Standard TT" w:eastAsia="Old Standard TT" w:hAnsi="Old Standard TT"/>
          <w:sz w:val="21"/>
          <w:szCs w:val="21"/>
        </w:rPr>
      </w:pPr>
      <w:r>
        <w:rPr>
          <w:rFonts w:ascii="Old Standard TT" w:cs="Old Standard TT" w:eastAsia="Old Standard TT" w:hAnsi="Old Standard TT"/>
          <w:b w:val="1"/>
          <w:bCs w:val="1"/>
          <w:sz w:val="21"/>
          <w:szCs w:val="21"/>
          <w:rtl w:val="0"/>
        </w:rPr>
        <w:t xml:space="preserve">A refusal is not an absence.</w:t>
      </w:r>
      <w:r>
        <w:rPr>
          <w:rFonts w:ascii="Old Standard TT" w:cs="Old Standard TT" w:eastAsia="Old Standard TT" w:hAnsi="Old Standard TT"/>
          <w:sz w:val="21"/>
          <w:szCs w:val="21"/>
          <w:rtl w:val="0"/>
        </w:rPr>
        <w:t xml:space="preserve"> One of the negative-search notes turned out to record a refusal rather than an absence: the Commission’s spokesperson was asked, on the record, and declined to say when the report was submitted or what it contained. An earlier draft had upgraded two neighbouring absences to refusals on that basis, which is the distinction this note exists to keep.</w:t>
      </w:r>
    </w:p>
    <w:p>
      <w:pPr>
        <w:spacing w:after="120" w:before="0" w:line="264" w:lineRule="auto"/>
        <w:jc w:val="both"/>
        <w:rPr>
          <w:rFonts w:ascii="Old Standard TT" w:cs="Old Standard TT" w:eastAsia="Old Standard TT" w:hAnsi="Old Standard TT"/>
          <w:sz w:val="21"/>
          <w:szCs w:val="21"/>
        </w:rPr>
      </w:pPr>
      <w:r>
        <w:rPr>
          <w:rFonts w:ascii="Old Standard TT" w:cs="Old Standard TT" w:eastAsia="Old Standard TT" w:hAnsi="Old Standard TT"/>
          <w:b w:val="1"/>
          <w:bCs w:val="1"/>
          <w:sz w:val="21"/>
          <w:szCs w:val="21"/>
          <w:rtl w:val="0"/>
        </w:rPr>
        <w:t xml:space="preserve">Two slips in the published Regulation are reproduced rather than corrected.</w:t>
      </w:r>
      <w:r>
        <w:rPr>
          <w:rFonts w:ascii="Old Standard TT" w:cs="Old Standard TT" w:eastAsia="Old Standard TT" w:hAnsi="Old Standard TT"/>
          <w:sz w:val="21"/>
          <w:szCs w:val="21"/>
          <w:rtl w:val="0"/>
        </w:rPr>
        <w:t xml:space="preserve"> Article 101(1) reads “whichever is higher., when the Commission finds”; its closing subparagraph reads “The Commission shall also into account commitments made”, missing a verb. Both appear in the authentic OJ text and the consolidated text alike. Neither is ambiguous and neither changes anything here — they are recorded because this report claims to have read the enacting text rather than a summary of it.</w:t>
      </w:r>
    </w:p>
    <w:p>
      <w:pPr>
        <w:pStyle w:val="Heading2"/>
        <w:keepNext w:val="1"/>
        <w:spacing w:after="80" w:before="280" w:line="240" w:lineRule="auto"/>
        <w:jc w:val="left"/>
        <w:rPr>
          <w:rFonts w:ascii="Old Standard TT" w:cs="Old Standard TT" w:eastAsia="Old Standard TT" w:hAnsi="Old Standard TT"/>
          <w:sz w:val="28"/>
          <w:szCs w:val="28"/>
        </w:rPr>
      </w:pPr>
      <w:r>
        <w:rPr>
          <w:rFonts w:ascii="Old Standard TT" w:cs="Old Standard TT" w:eastAsia="Old Standard TT" w:hAnsi="Old Standard TT"/>
          <w:color w:val="434343"/>
          <w:sz w:val="28"/>
          <w:szCs w:val="28"/>
          <w:rtl w:val="0"/>
        </w:rPr>
        <w:t xml:space="preserve">Appendix D: The method, the corrections log, and what transfers</w:t>
      </w:r>
    </w:p>
    <w:p>
      <w:pPr>
        <w:spacing w:after="120" w:before="0" w:line="264" w:lineRule="auto"/>
        <w:jc w:val="both"/>
        <w:rPr>
          <w:rFonts w:ascii="Old Standard TT" w:cs="Old Standard TT" w:eastAsia="Old Standard TT" w:hAnsi="Old Standard TT"/>
          <w:sz w:val="21"/>
          <w:szCs w:val="21"/>
        </w:rPr>
      </w:pPr>
      <w:r>
        <w:rPr>
          <w:rFonts w:ascii="Old Standard TT" w:cs="Old Standard TT" w:eastAsia="Old Standard TT" w:hAnsi="Old Standard TT"/>
          <w:b w:val="1"/>
          <w:bCs w:val="1"/>
          <w:sz w:val="21"/>
          <w:szCs w:val="21"/>
          <w:rtl w:val="0"/>
        </w:rPr>
        <w:t xml:space="preserve">The four rules in full.</w:t>
      </w:r>
      <w:r>
        <w:rPr>
          <w:rFonts w:ascii="Old Standard TT" w:cs="Old Standard TT" w:eastAsia="Old Standard TT" w:hAnsi="Old Standard TT"/>
          <w:sz w:val="21"/>
          <w:szCs w:val="21"/>
          <w:rtl w:val="0"/>
        </w:rPr>
        <w:t xml:space="preserve"> </w:t>
      </w:r>
      <w:r>
        <w:rPr>
          <w:rFonts w:ascii="Old Standard TT" w:cs="Old Standard TT" w:eastAsia="Old Standard TT" w:hAnsi="Old Standard TT"/>
          <w:i w:val="1"/>
          <w:iCs w:val="1"/>
          <w:sz w:val="21"/>
          <w:szCs w:val="21"/>
          <w:rtl w:val="0"/>
        </w:rPr>
        <w:t xml:space="preserve">Sources are held before they are characterised.</w:t>
      </w:r>
      <w:r>
        <w:rPr>
          <w:rFonts w:ascii="Old Standard TT" w:cs="Old Standard TT" w:eastAsia="Old Standard TT" w:hAnsi="Old Standard TT"/>
          <w:sz w:val="21"/>
          <w:szCs w:val="21"/>
          <w:rtl w:val="0"/>
        </w:rPr>
        <w:t xml:space="preserve"> Statutory text comes from the EUR-Lex consolidated version (CELEX 02024R1689-20260727) and recitals from the authentic Official Journal text; amendment status is taken from the amending act’s own numbered instructions rather than the consolidated text’s change markers, because reading the markers alone had wrongly cleared Article 60, which instruction (24) of Regulation (EU) 2026/1744 replaces in part. </w:t>
      </w:r>
      <w:r>
        <w:rPr>
          <w:rFonts w:ascii="Old Standard TT" w:cs="Old Standard TT" w:eastAsia="Old Standard TT" w:hAnsi="Old Standard TT"/>
          <w:i w:val="1"/>
          <w:iCs w:val="1"/>
          <w:sz w:val="21"/>
          <w:szCs w:val="21"/>
          <w:rtl w:val="0"/>
        </w:rPr>
        <w:t xml:space="preserve">Evidence is tiered by relationship, not prestige</w:t>
      </w:r>
      <w:r>
        <w:rPr>
          <w:rFonts w:ascii="Old Standard TT" w:cs="Old Standard TT" w:eastAsia="Old Standard TT" w:hAnsi="Old Standard TT"/>
          <w:sz w:val="21"/>
          <w:szCs w:val="21"/>
          <w:rtl w:val="0"/>
        </w:rPr>
        <w:t xml:space="preserve">: a provider’s account of its own conduct is T1 for what it admits against interest and weak for everything else, while the affected party’s forensic timeline is stronger than the provider’s account for what happened at the victim; facts sit in separate columns from characterisation, because a provider’s framing is where its position enters an analysis dressed as a finding. </w:t>
      </w:r>
      <w:r>
        <w:rPr>
          <w:rFonts w:ascii="Old Standard TT" w:cs="Old Standard TT" w:eastAsia="Old Standard TT" w:hAnsi="Old Standard TT"/>
          <w:i w:val="1"/>
          <w:iCs w:val="1"/>
          <w:sz w:val="21"/>
          <w:szCs w:val="21"/>
          <w:rtl w:val="0"/>
        </w:rPr>
        <w:t xml:space="preserve">Absences are proved, not asserted</w:t>
      </w:r>
      <w:r>
        <w:rPr>
          <w:rFonts w:ascii="Old Standard TT" w:cs="Old Standard TT" w:eastAsia="Old Standard TT" w:hAnsi="Old Standard TT"/>
          <w:sz w:val="21"/>
          <w:szCs w:val="21"/>
          <w:rtl w:val="0"/>
        </w:rPr>
        <w:t xml:space="preserve">, and a refusal is kept apart from an absence. </w:t>
      </w:r>
      <w:r>
        <w:rPr>
          <w:rFonts w:ascii="Old Standard TT" w:cs="Old Standard TT" w:eastAsia="Old Standard TT" w:hAnsi="Old Standard TT"/>
          <w:i w:val="1"/>
          <w:iCs w:val="1"/>
          <w:sz w:val="21"/>
          <w:szCs w:val="21"/>
          <w:rtl w:val="0"/>
        </w:rPr>
        <w:t xml:space="preserve">Inferences are enumerated</w:t>
      </w:r>
      <w:r>
        <w:rPr>
          <w:rFonts w:ascii="Old Standard TT" w:cs="Old Standard TT" w:eastAsia="Old Standard TT" w:hAnsi="Old Standard TT"/>
          <w:sz w:val="21"/>
          <w:szCs w:val="21"/>
          <w:rtl w:val="0"/>
        </w:rPr>
        <w:t xml:space="preserve"> so that a reader who rejects one can see exactly what falls with it.</w:t>
      </w:r>
    </w:p>
    <w:p>
      <w:pPr>
        <w:spacing w:after="120" w:before="0" w:line="264" w:lineRule="auto"/>
        <w:jc w:val="both"/>
        <w:rPr>
          <w:rFonts w:ascii="Old Standard TT" w:cs="Old Standard TT" w:eastAsia="Old Standard TT" w:hAnsi="Old Standard TT"/>
          <w:sz w:val="21"/>
          <w:szCs w:val="21"/>
        </w:rPr>
      </w:pPr>
      <w:r>
        <w:rPr>
          <w:rFonts w:ascii="Old Standard TT" w:cs="Old Standard TT" w:eastAsia="Old Standard TT" w:hAnsi="Old Standard TT"/>
          <w:b w:val="1"/>
          <w:bCs w:val="1"/>
          <w:sz w:val="21"/>
          <w:szCs w:val="21"/>
          <w:rtl w:val="0"/>
        </w:rPr>
        <w:t xml:space="preserve">Classification, and the two objections that survive a scope finding.</w:t>
      </w:r>
      <w:r>
        <w:rPr>
          <w:rFonts w:ascii="Old Standard TT" w:cs="Old Standard TT" w:eastAsia="Old Standard TT" w:hAnsi="Old Standard TT"/>
          <w:sz w:val="21"/>
          <w:szCs w:val="21"/>
          <w:rtl w:val="0"/>
        </w:rPr>
        <w:t xml:space="preserve"> For the wider Article 3, point (49) route, limb (b) requires disruption that is “serious </w:t>
      </w:r>
      <w:r>
        <w:rPr>
          <w:rFonts w:ascii="Old Standard TT" w:cs="Old Standard TT" w:eastAsia="Old Standard TT" w:hAnsi="Old Standard TT"/>
          <w:b w:val="1"/>
          <w:bCs w:val="1"/>
          <w:sz w:val="21"/>
          <w:szCs w:val="21"/>
          <w:rtl w:val="0"/>
        </w:rPr>
        <w:t xml:space="preserve">and irreversible</w:t>
      </w:r>
      <w:r>
        <w:rPr>
          <w:rFonts w:ascii="Old Standard TT" w:cs="Old Standard TT" w:eastAsia="Old Standard TT" w:hAnsi="Old Standard TT"/>
          <w:sz w:val="21"/>
          <w:szCs w:val="21"/>
          <w:rtl w:val="0"/>
        </w:rPr>
        <w:t xml:space="preserve">” and limb (d) “serious harm to property or the environment”. The principal disclosed remediation was one core cluster “wiped and rebuilt from scratch”, which the affected party says it did “as an extra precaution”, with credential rotation across all infrastructure tokens. On the disclosed facts limb (b) appears unmet and limb (d) does not resolve: whether a precautionary rebuild is harm to </w:t>
      </w:r>
      <w:r>
        <w:rPr>
          <w:rFonts w:ascii="Old Standard TT" w:cs="Old Standard TT" w:eastAsia="Old Standard TT" w:hAnsi="Old Standard TT"/>
          <w:i w:val="1"/>
          <w:iCs w:val="1"/>
          <w:sz w:val="21"/>
          <w:szCs w:val="21"/>
          <w:rtl w:val="0"/>
        </w:rPr>
        <w:t xml:space="preserve">property</w:t>
      </w:r>
      <w:r>
        <w:rPr>
          <w:rFonts w:ascii="Old Standard TT" w:cs="Old Standard TT" w:eastAsia="Old Standard TT" w:hAnsi="Old Standard TT"/>
          <w:sz w:val="21"/>
          <w:szCs w:val="21"/>
          <w:rtl w:val="0"/>
        </w:rPr>
        <w:t xml:space="preserve"> rather than remediation cost is unsettled, and the affected party’s own word for it is the provider-favourable reading. Separately, Article 55(1), point (b) obliges providers of models with systemic risk to assess risks “that may stem from </w:t>
      </w:r>
      <w:r>
        <w:rPr>
          <w:rFonts w:ascii="Old Standard TT" w:cs="Old Standard TT" w:eastAsia="Old Standard TT" w:hAnsi="Old Standard TT"/>
          <w:b w:val="1"/>
          <w:bCs w:val="1"/>
          <w:sz w:val="21"/>
          <w:szCs w:val="21"/>
          <w:rtl w:val="0"/>
        </w:rPr>
        <w:t xml:space="preserve">the development</w:t>
      </w:r>
      <w:r>
        <w:rPr>
          <w:rFonts w:ascii="Old Standard TT" w:cs="Old Standard TT" w:eastAsia="Old Standard TT" w:hAnsi="Old Standard TT"/>
          <w:sz w:val="21"/>
          <w:szCs w:val="21"/>
          <w:rtl w:val="0"/>
        </w:rPr>
        <w:t xml:space="preserve">, the placing on the market, or the use” of such models — the word is in the enacting text, and Request 8 asks whether loss of containment during internal evaluation was identified as a source before July 2026. That question is live whichever way scope resolves.</w:t>
      </w:r>
    </w:p>
    <w:p>
      <w:pPr>
        <w:spacing w:after="120" w:before="0" w:line="264" w:lineRule="auto"/>
        <w:jc w:val="both"/>
        <w:rPr>
          <w:rFonts w:ascii="Old Standard TT" w:cs="Old Standard TT" w:eastAsia="Old Standard TT" w:hAnsi="Old Standard TT"/>
          <w:sz w:val="21"/>
          <w:szCs w:val="21"/>
        </w:rPr>
      </w:pPr>
      <w:r>
        <w:rPr>
          <w:rFonts w:ascii="Old Standard TT" w:cs="Old Standard TT" w:eastAsia="Old Standard TT" w:hAnsi="Old Standard TT"/>
          <w:b w:val="1"/>
          <w:bCs w:val="1"/>
          <w:sz w:val="21"/>
          <w:szCs w:val="21"/>
          <w:rtl w:val="0"/>
        </w:rPr>
        <w:t xml:space="preserve">The corrections log.</w:t>
      </w:r>
      <w:r>
        <w:rPr>
          <w:rFonts w:ascii="Old Standard TT" w:cs="Old Standard TT" w:eastAsia="Old Standard TT" w:hAnsi="Old Standard TT"/>
          <w:sz w:val="21"/>
          <w:szCs w:val="21"/>
          <w:rtl w:val="0"/>
        </w:rPr>
        <w:t xml:space="preserve"> This analysis has been materially wrong </w:t>
      </w:r>
      <w:r>
        <w:rPr>
          <w:rFonts w:ascii="Old Standard TT" w:cs="Old Standard TT" w:eastAsia="Old Standard TT" w:hAnsi="Old Standard TT"/>
          <w:b w:val="1"/>
          <w:bCs w:val="1"/>
          <w:sz w:val="21"/>
          <w:szCs w:val="21"/>
          <w:rtl w:val="0"/>
        </w:rPr>
        <w:t xml:space="preserve">twenty-nine times</w:t>
      </w:r>
      <w:r>
        <w:rPr>
          <w:rFonts w:ascii="Old Standard TT" w:cs="Old Standard TT" w:eastAsia="Old Standard TT" w:hAnsi="Old Standard TT"/>
          <w:sz w:val="21"/>
          <w:szCs w:val="21"/>
          <w:rtl w:val="0"/>
        </w:rPr>
        <w:t xml:space="preserve">, and the log ships with it at </w:t>
      </w:r>
      <w:r>
        <w:rPr>
          <w:rFonts w:ascii="Consolas" w:cs="Consolas" w:eastAsia="Consolas" w:hAnsi="Consolas"/>
          <w:sz w:val="20"/>
          <w:szCs w:val="20"/>
          <w:rtl w:val="0"/>
        </w:rPr>
        <w:t xml:space="preserve">protocol/01-statutory-foundation.md</w:t>
      </w:r>
      <w:r>
        <w:rPr>
          <w:rFonts w:ascii="Old Standard TT" w:cs="Old Standard TT" w:eastAsia="Old Standard TT" w:hAnsi="Old Standard TT"/>
          <w:sz w:val="21"/>
          <w:szCs w:val="21"/>
          <w:rtl w:val="0"/>
        </w:rPr>
        <w:t xml:space="preserve">. Twenty of the twenty-nine are one failure wearing different clothes — a source characterised without being opened: a recital summarised from a mirror, a directive read through a summary, an opinion described from its landing page, a document held from the first day and searched for one question but never another, a phrase carried in quotation marks that appeared in no held source, a scope verdict resting on a premise the provider’s own account denies. Making that failure checkable produced </w:t>
      </w:r>
      <w:r>
        <w:rPr>
          <w:rFonts w:ascii="Consolas" w:cs="Consolas" w:eastAsia="Consolas" w:hAnsi="Consolas"/>
          <w:sz w:val="20"/>
          <w:szCs w:val="20"/>
          <w:rtl w:val="0"/>
        </w:rPr>
        <w:t xml:space="preserve">tools/hold-source.py</w:t>
      </w:r>
      <w:r>
        <w:rPr>
          <w:rFonts w:ascii="Old Standard TT" w:cs="Old Standard TT" w:eastAsia="Old Standard TT" w:hAnsi="Old Standard TT"/>
          <w:sz w:val="21"/>
          <w:szCs w:val="21"/>
          <w:rtl w:val="0"/>
        </w:rPr>
        <w:t xml:space="preserve"> and a rule in </w:t>
      </w:r>
      <w:r>
        <w:rPr>
          <w:rFonts w:ascii="Consolas" w:cs="Consolas" w:eastAsia="Consolas" w:hAnsi="Consolas"/>
          <w:sz w:val="20"/>
          <w:szCs w:val="20"/>
          <w:rtl w:val="0"/>
        </w:rPr>
        <w:t xml:space="preserve">validate.py</w:t>
      </w:r>
      <w:r>
        <w:rPr>
          <w:rFonts w:ascii="Old Standard TT" w:cs="Old Standard TT" w:eastAsia="Old Standard TT" w:hAnsi="Old Standard TT"/>
          <w:sz w:val="21"/>
          <w:szCs w:val="21"/>
          <w:rtl w:val="0"/>
        </w:rPr>
        <w:t xml:space="preserve"> refusing any fact whose source has neither a SHA-256 nor a Wayback capture.</w:t>
      </w:r>
    </w:p>
    <w:p>
      <w:pPr>
        <w:spacing w:after="120" w:before="0" w:line="264" w:lineRule="auto"/>
        <w:jc w:val="both"/>
        <w:rPr>
          <w:rFonts w:ascii="Old Standard TT" w:cs="Old Standard TT" w:eastAsia="Old Standard TT" w:hAnsi="Old Standard TT"/>
          <w:sz w:val="21"/>
          <w:szCs w:val="21"/>
        </w:rPr>
      </w:pPr>
      <w:r>
        <w:rPr>
          <w:rFonts w:ascii="Old Standard TT" w:cs="Old Standard TT" w:eastAsia="Old Standard TT" w:hAnsi="Old Standard TT"/>
          <w:b w:val="1"/>
          <w:bCs w:val="1"/>
          <w:sz w:val="21"/>
          <w:szCs w:val="21"/>
          <w:rtl w:val="0"/>
        </w:rPr>
        <w:t xml:space="preserve">What transfers.</w:t>
      </w:r>
      <w:r>
        <w:rPr>
          <w:rFonts w:ascii="Old Standard TT" w:cs="Old Standard TT" w:eastAsia="Old Standard TT" w:hAnsi="Old Standard TT"/>
          <w:sz w:val="21"/>
          <w:szCs w:val="21"/>
          <w:rtl w:val="0"/>
        </w:rPr>
        <w:t xml:space="preserve"> The verification layer — the verdict discipline, the six checkers, the register schemas, the corrections-log convention with its count sweep, the negative-search rule — knows nothing about this incident and runs unchanged on the next; </w:t>
      </w:r>
      <w:r>
        <w:rPr>
          <w:rFonts w:ascii="Consolas" w:cs="Consolas" w:eastAsia="Consolas" w:hAnsi="Consolas"/>
          <w:sz w:val="20"/>
          <w:szCs w:val="20"/>
          <w:rtl w:val="0"/>
        </w:rPr>
        <w:t xml:space="preserve">tools/new-incident.py</w:t>
      </w:r>
      <w:r>
        <w:rPr>
          <w:rFonts w:ascii="Old Standard TT" w:cs="Old Standard TT" w:eastAsia="Old Standard TT" w:hAnsi="Old Standard TT"/>
          <w:sz w:val="21"/>
          <w:szCs w:val="21"/>
          <w:rtl w:val="0"/>
        </w:rPr>
        <w:t xml:space="preserve"> stands it up with the verified statutory register included. The Article 91 request is roughly 60% boilerplate that survives any incident; the answer matrix and decision tree are written for the “internal model” fact pattern generally; the amended template is universal. What does not transfer, and should not, is the content: the cross-walk rows, the scope working, the characterisation table and the inferences are the product of a person opening documents and making judgements.</w:t>
      </w:r>
    </w:p>
    <w:p>
      <w:pPr>
        <w:spacing w:after="120" w:before="0" w:line="264" w:lineRule="auto"/>
        <w:jc w:val="both"/>
        <w:rPr>
          <w:rFonts w:ascii="Old Standard TT" w:cs="Old Standard TT" w:eastAsia="Old Standard TT" w:hAnsi="Old Standard TT"/>
          <w:sz w:val="21"/>
          <w:szCs w:val="21"/>
        </w:rPr>
      </w:pPr>
      <w:r>
        <w:rPr>
          <w:rFonts w:ascii="Old Standard TT" w:cs="Old Standard TT" w:eastAsia="Old Standard TT" w:hAnsi="Old Standard TT"/>
          <w:b w:val="1"/>
          <w:bCs w:val="1"/>
          <w:sz w:val="21"/>
          <w:szCs w:val="21"/>
          <w:rtl w:val="0"/>
        </w:rPr>
        <w:t xml:space="preserve">What the second run showed.</w:t>
      </w:r>
      <w:r>
        <w:rPr>
          <w:rFonts w:ascii="Old Standard TT" w:cs="Old Standard TT" w:eastAsia="Old Standard TT" w:hAnsi="Old Standard TT"/>
          <w:sz w:val="21"/>
          <w:szCs w:val="21"/>
          <w:rtl w:val="0"/>
        </w:rPr>
        <w:t xml:space="preserve"> </w:t>
      </w:r>
      <w:r>
        <w:rPr>
          <w:rFonts w:ascii="Consolas" w:cs="Consolas" w:eastAsia="Consolas" w:hAnsi="Consolas"/>
          <w:sz w:val="20"/>
          <w:szCs w:val="20"/>
          <w:rtl w:val="0"/>
        </w:rPr>
        <w:t xml:space="preserve">runs/anthropic-cyber-evals-2026/</w:t>
      </w:r>
      <w:r>
        <w:rPr>
          <w:rFonts w:ascii="Old Standard TT" w:cs="Old Standard TT" w:eastAsia="Old Standard TT" w:hAnsi="Old Standard TT"/>
          <w:sz w:val="21"/>
          <w:szCs w:val="21"/>
          <w:rtl w:val="0"/>
        </w:rPr>
        <w:t xml:space="preserve"> took about three hours from ten held documents. The internal-model scope question arrived unchanged; the scaffolding objection arrived at full strength exactly as the first run’s inference register predicted, then split when the primary was opened; the date of awareness the Commission’s form does not ask is, for once, public; the facts-versus-characterisation split absorbed the provider’s own September revision of its July account without a row changing; and one evaluator’s misconfiguration turned out to have reached three providers’ models, which is a gap in the Act the first incident could not show.</w:t>
      </w:r>
    </w:p>
    <w:p>
      <w:pPr>
        <w:spacing w:after="120" w:before="0" w:line="264" w:lineRule="auto"/>
        <w:jc w:val="both"/>
        <w:rPr>
          <w:rFonts w:ascii="Old Standard TT" w:cs="Old Standard TT" w:eastAsia="Old Standard TT" w:hAnsi="Old Standard TT"/>
          <w:sz w:val="21"/>
          <w:szCs w:val="21"/>
        </w:rPr>
      </w:pPr>
      <w:r>
        <w:rPr>
          <w:rFonts w:ascii="Old Standard TT" w:cs="Old Standard TT" w:eastAsia="Old Standard TT" w:hAnsi="Old Standard TT"/>
          <w:b w:val="1"/>
          <w:bCs w:val="1"/>
          <w:sz w:val="21"/>
          <w:szCs w:val="21"/>
          <w:rtl w:val="0"/>
        </w:rPr>
        <w:t xml:space="preserve">One thing the repository no longer contains, and what replaced it.</w:t>
      </w:r>
      <w:r>
        <w:rPr>
          <w:rFonts w:ascii="Old Standard TT" w:cs="Old Standard TT" w:eastAsia="Old Standard TT" w:hAnsi="Old Standard TT"/>
          <w:sz w:val="21"/>
          <w:szCs w:val="21"/>
          <w:rtl w:val="0"/>
        </w:rPr>
        <w:t xml:space="preserve"> An early draft carried a gating-structure figure that drew the analysis as ending in a single open fact. The analysis has since moved to three, so the figure described a conclusion the report no longer reaches; it was withdrawn rather than patched, and remains in the history at </w:t>
      </w:r>
      <w:r>
        <w:rPr>
          <w:rFonts w:ascii="Consolas" w:cs="Consolas" w:eastAsia="Consolas" w:hAnsi="Consolas"/>
          <w:sz w:val="20"/>
          <w:szCs w:val="20"/>
          <w:rtl w:val="0"/>
        </w:rPr>
        <w:t xml:space="preserve">94c62f7</w:t>
      </w:r>
      <w:r>
        <w:rPr>
          <w:rFonts w:ascii="Old Standard TT" w:cs="Old Standard TT" w:eastAsia="Old Standard TT" w:hAnsi="Old Standard TT"/>
          <w:sz w:val="21"/>
          <w:szCs w:val="21"/>
          <w:rtl w:val="0"/>
        </w:rPr>
        <w:t xml:space="preserve">. Figure 1 of this report is the redraw, against the three.</w:t>
      </w:r>
    </w:p>
    <w:p>
      <w:pPr>
        <w:pStyle w:val="Heading2"/>
        <w:keepNext w:val="1"/>
        <w:spacing w:after="80" w:before="280" w:line="240" w:lineRule="auto"/>
        <w:jc w:val="left"/>
        <w:rPr>
          <w:rFonts w:ascii="Old Standard TT" w:cs="Old Standard TT" w:eastAsia="Old Standard TT" w:hAnsi="Old Standard TT"/>
          <w:sz w:val="28"/>
          <w:szCs w:val="28"/>
        </w:rPr>
      </w:pPr>
      <w:r>
        <w:rPr>
          <w:rFonts w:ascii="Old Standard TT" w:cs="Old Standard TT" w:eastAsia="Old Standard TT" w:hAnsi="Old Standard TT"/>
          <w:color w:val="434343"/>
          <w:sz w:val="28"/>
          <w:szCs w:val="28"/>
          <w:rtl w:val="0"/>
        </w:rPr>
        <w:t xml:space="preserve">LLM Usage Statement</w:t>
      </w:r>
    </w:p>
    <w:p>
      <w:pPr>
        <w:spacing w:after="120" w:before="0" w:line="264" w:lineRule="auto"/>
        <w:jc w:val="both"/>
        <w:rPr>
          <w:rFonts w:ascii="Old Standard TT" w:cs="Old Standard TT" w:eastAsia="Old Standard TT" w:hAnsi="Old Standard TT"/>
          <w:sz w:val="21"/>
          <w:szCs w:val="21"/>
        </w:rPr>
      </w:pPr>
      <w:r>
        <w:rPr>
          <w:rFonts w:ascii="Old Standard TT" w:cs="Old Standard TT" w:eastAsia="Old Standard TT" w:hAnsi="Old Standard TT"/>
          <w:sz w:val="21"/>
          <w:szCs w:val="21"/>
          <w:rtl w:val="0"/>
        </w:rPr>
        <w:t xml:space="preserve">Claude (Anthropic) was used throughout as a research and drafting assistant: retrieving and extracting primary statutory text, cross-checking inherited factual claims, drafting and revising prose, and writing the checkers and scripts in </w:t>
      </w:r>
      <w:r>
        <w:rPr>
          <w:rFonts w:ascii="Consolas" w:cs="Consolas" w:eastAsia="Consolas" w:hAnsi="Consolas"/>
          <w:sz w:val="20"/>
          <w:szCs w:val="20"/>
          <w:rtl w:val="0"/>
        </w:rPr>
        <w:t xml:space="preserve">tools/</w:t>
      </w:r>
      <w:r>
        <w:rPr>
          <w:rFonts w:ascii="Old Standard TT" w:cs="Old Standard TT" w:eastAsia="Old Standard TT" w:hAnsi="Old Standard TT"/>
          <w:sz w:val="21"/>
          <w:szCs w:val="21"/>
          <w:rtl w:val="0"/>
        </w:rPr>
        <w:t xml:space="preserve">. All analytical choices were directed and accepted by the author, who is responsible for every claim. Claims were verified against held primary sources rather than against the assistant’s account of them, which is what the checkers and the corrections log exist to enforce.</w:t>
      </w:r>
    </w:p>
    <w:p>
      <w:pPr>
        <w:spacing w:after="120" w:before="0" w:line="264" w:lineRule="auto"/>
        <w:jc w:val="both"/>
        <w:rPr>
          <w:rFonts w:ascii="Old Standard TT" w:cs="Old Standard TT" w:eastAsia="Old Standard TT" w:hAnsi="Old Standard TT"/>
          <w:sz w:val="21"/>
          <w:szCs w:val="21"/>
        </w:rPr>
      </w:pPr>
      <w:r>
        <w:rPr>
          <w:rFonts w:ascii="Old Standard TT" w:cs="Old Standard TT" w:eastAsia="Old Standard TT" w:hAnsi="Old Standard TT"/>
          <w:sz w:val="21"/>
          <w:szCs w:val="21"/>
          <w:rtl w:val="0"/>
        </w:rPr>
        <w:t xml:space="preserve">Four disclosures follow. </w:t>
      </w:r>
      <w:r>
        <w:rPr>
          <w:rFonts w:ascii="Old Standard TT" w:cs="Old Standard TT" w:eastAsia="Old Standard TT" w:hAnsi="Old Standard TT"/>
          <w:b w:val="1"/>
          <w:bCs w:val="1"/>
          <w:sz w:val="21"/>
          <w:szCs w:val="21"/>
          <w:rtl w:val="0"/>
        </w:rPr>
        <w:t xml:space="preserve">First</w:t>
      </w:r>
      <w:r>
        <w:rPr>
          <w:rFonts w:ascii="Old Standard TT" w:cs="Old Standard TT" w:eastAsia="Old Standard TT" w:hAnsi="Old Standard TT"/>
          <w:sz w:val="21"/>
          <w:szCs w:val="21"/>
          <w:rtl w:val="0"/>
        </w:rPr>
        <w:t xml:space="preserve">, the tool is made by a developer whose own disclosed containment incidents appear in this analysis and form the second run; that developer’s self-report is tiered identically to the other’s, and the author has an application pending with it. </w:t>
      </w:r>
      <w:r>
        <w:rPr>
          <w:rFonts w:ascii="Old Standard TT" w:cs="Old Standard TT" w:eastAsia="Old Standard TT" w:hAnsi="Old Standard TT"/>
          <w:b w:val="1"/>
          <w:bCs w:val="1"/>
          <w:sz w:val="21"/>
          <w:szCs w:val="21"/>
          <w:rtl w:val="0"/>
        </w:rPr>
        <w:t xml:space="preserve">Second</w:t>
      </w:r>
      <w:r>
        <w:rPr>
          <w:rFonts w:ascii="Old Standard TT" w:cs="Old Standard TT" w:eastAsia="Old Standard TT" w:hAnsi="Old Standard TT"/>
          <w:sz w:val="21"/>
          <w:szCs w:val="21"/>
          <w:rtl w:val="0"/>
        </w:rPr>
        <w:t xml:space="preserve">, the assistant was used adversarially as well as generatively: four review passes were run, two of them over a finished draft by a model with no sight of the reasoning that produced it, and the findings of the fourth — which read the whole repository with the held sources open — are the twentieth to twenty-fourth entries in the corrections log. </w:t>
      </w:r>
      <w:r>
        <w:rPr>
          <w:rFonts w:ascii="Old Standard TT" w:cs="Old Standard TT" w:eastAsia="Old Standard TT" w:hAnsi="Old Standard TT"/>
          <w:b w:val="1"/>
          <w:bCs w:val="1"/>
          <w:sz w:val="21"/>
          <w:szCs w:val="21"/>
          <w:rtl w:val="0"/>
        </w:rPr>
        <w:t xml:space="preserve">Third</w:t>
      </w:r>
      <w:r>
        <w:rPr>
          <w:rFonts w:ascii="Old Standard TT" w:cs="Old Standard TT" w:eastAsia="Old Standard TT" w:hAnsi="Old Standard TT"/>
          <w:sz w:val="21"/>
          <w:szCs w:val="21"/>
          <w:rtl w:val="0"/>
        </w:rPr>
        <w:t xml:space="preserve">, one of those passes was the assistant prompted to read the model Article 91 request as a Commission lawyer — no lawyer was consulted and nobody real was contacted; an earlier version of that file implied otherwise, and the correction is the fifteenth entry in the log. Its case-law references were later read on EUR-Lex and hold; one of its assertions about the enacting text was wrong and was acted on before being checked, which is the fourteenth entry. </w:t>
      </w:r>
      <w:r>
        <w:rPr>
          <w:rFonts w:ascii="Old Standard TT" w:cs="Old Standard TT" w:eastAsia="Old Standard TT" w:hAnsi="Old Standard TT"/>
          <w:b w:val="1"/>
          <w:bCs w:val="1"/>
          <w:sz w:val="21"/>
          <w:szCs w:val="21"/>
          <w:rtl w:val="0"/>
        </w:rPr>
        <w:t xml:space="preserve">Fourth</w:t>
      </w:r>
      <w:r>
        <w:rPr>
          <w:rFonts w:ascii="Old Standard TT" w:cs="Old Standard TT" w:eastAsia="Old Standard TT" w:hAnsi="Old Standard TT"/>
          <w:sz w:val="21"/>
          <w:szCs w:val="21"/>
          <w:rtl w:val="0"/>
        </w:rPr>
        <w:t xml:space="preserve">, a reader who thinks the assistant should not have been pointed at its maker’s incident has the second run’s registers, hashes and checkers to disagree with, which is the only answer this method has to that objection for either provider.</w:t>
      </w:r>
    </w:p>
    <w:p>
      <w:pPr>
        <w:spacing w:after="0" w:line="240" w:lineRule="auto"/>
      </w:pPr>
    </w:p>
    <w:sectPr>
      <w:pgSz w:h="15840" w:w="12240" w:orient="portrait"/>
      <w:pgMar w:bottom="1440" w:top="1440" w:left="1440" w:right="1440" w:header="720" w:footer="720" w:gut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5">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Incident Response Sprint</w:t>
        </w:r>
      </w:hyperlink>
      <w:r w:rsidDel="00000000" w:rsidR="00000000" w:rsidRPr="00000000">
        <w:rPr>
          <w:rFonts w:ascii="Old Standard TT" w:cs="Old Standard TT" w:eastAsia="Old Standard TT" w:hAnsi="Old Standard TT"/>
          <w:sz w:val="20"/>
          <w:szCs w:val="20"/>
          <w:rtl w:val="0"/>
        </w:rPr>
        <w:t xml:space="preserve">, September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incident-response-sprint-2026-09-11-to-2026-09-1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