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generated as a first draft. It has not been issued.</w:t>
      </w:r>
    </w:p>
    <w:p>
      <w:pPr>
        <w:pStyle w:val="BlockText"/>
      </w:pPr>
      <w:r>
        <w:t xml:space="preserve">Assembled by</w:t>
      </w:r>
      <w:r>
        <w:t xml:space="preserve"> </w:t>
      </w:r>
      <w:r>
        <w:rPr>
          <w:rStyle w:val="VerbatimChar"/>
        </w:rPr>
        <w:t xml:space="preserve">tools/draft-request.py</w:t>
      </w:r>
      <w:r>
        <w:t xml:space="preserve"> </w:t>
      </w:r>
      <w:r>
        <w:t xml:space="preserve">on 2026-09-13 from the cross-walk at</w:t>
      </w:r>
      <w:r>
        <w:t xml:space="preserve"> </w:t>
      </w:r>
      <w:r>
        <w:rPr>
          <w:rStyle w:val="VerbatimChar"/>
        </w:rPr>
        <w:t xml:space="preserve">data/crosswalk.yaml</w:t>
      </w:r>
      <w:r>
        <w:t xml:space="preserve">: one request per row the analysis records as unresolved, each carrying that row’s provision and its own statement of what would and would not settle it. It is not a document of the European Commission, the AI Office or any Union body. Every field requiring an issuing authority’s input is a placeholder in square brackets. A person edits this before it is anything.</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w:t>
      </w:r>
      <w:r>
        <w:t xml:space="preserve"> </w:t>
      </w:r>
      <w:r>
        <w:rPr>
          <w:b/>
        </w:rPr>
        <w:t xml:space="preserve">Issued by:</w:t>
      </w:r>
      <w:r>
        <w:t xml:space="preserve"> </w:t>
      </w:r>
      <w:r>
        <w:t xml:space="preserve">[European Commission—“the Commission”]</w: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 No alternative basis is stated.</w:t>
      </w:r>
    </w:p>
    <w:p>
      <w:pPr>
        <w:numPr>
          <w:ilvl w:val="0"/>
          <w:numId w:val="1001"/>
        </w:numPr>
      </w:pPr>
      <w:r>
        <w:t xml:space="preserve">The provisions to which the requested information relates are: Article 3, point (49), Article 3, point (63), Article 55(1), point (a), Article 55(1), point (b), Article 55(1), point (c), Article 55(1), point (d). Chapter V has applied since 2 August 2025 pursuant to Article 113, point (b); Article 91 has applied since 2 August 2026 under the general rule in Article 113.</w:t>
      </w:r>
    </w:p>
    <w:p>
      <w:pPr>
        <w:numPr>
          <w:ilvl w:val="0"/>
          <w:numId w:val="1001"/>
        </w:numPr>
      </w:pP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[Act of adoption and signatory’s competence to be recited by the issuing authority.]</w:t>
      </w:r>
    </w:p>
    <w:p>
      <w:pPr>
        <w:pStyle w:val="Heading2"/>
      </w:pPr>
      <w:bookmarkStart w:id="24" w:name="part-b-purpose"/>
      <w:r>
        <w:t xml:space="preserve">Part B: Purpose</w:t>
      </w:r>
      <w:bookmarkEnd w:id="24"/>
    </w:p>
    <w:p>
      <w:pPr>
        <w:numPr>
          <w:ilvl w:val="0"/>
          <w:numId w:val="1002"/>
        </w:numPr>
      </w:pPr>
      <w:r>
        <w:t xml:space="preserve">The Commission is considering the following publicly reported episode(s) involving AI models developed by the Provider: (a) Hugging Face intrusion, 2026-07-09 02:28 UTC to 2026-07-13 14:14 UTC; (b) DseWiki episode, 2026-05-24 to 2026-06-22, with a further burst 2026-07-01/02</w:t>
      </w:r>
    </w:p>
    <w:p>
      <w:pPr>
        <w:numPr>
          <w:ilvl w:val="0"/>
          <w:numId w:val="1002"/>
        </w:numPr>
      </w:pPr>
      <w:r>
        <w:t xml:space="preserve">The Commission has</w:t>
      </w:r>
      <w:r>
        <w:t xml:space="preserve"> </w:t>
      </w:r>
      <w:r>
        <w:rPr>
          <w:b/>
        </w:rPr>
        <w:t xml:space="preserve">not</w:t>
      </w:r>
      <w:r>
        <w:t xml:space="preserve"> </w:t>
      </w:r>
      <w:r>
        <w:t xml:space="preserve">formed a view that any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which the public record does not resolve.</w:t>
      </w:r>
    </w:p>
    <w:p>
      <w:pPr>
        <w:pStyle w:val="Heading2"/>
      </w:pPr>
      <w:bookmarkStart w:id="25" w:name="part-c-defined-terms"/>
      <w:r>
        <w:t xml:space="preserve">Part C: Defined terms</w:t>
      </w:r>
      <w:bookmarkEnd w:id="25"/>
    </w:p>
    <w:p>
      <w:pPr>
        <w:numPr>
          <w:ilvl w:val="0"/>
          <w:numId w:val="1003"/>
        </w:numPr>
        <w:pStyle w:val="Compact"/>
      </w:pPr>
      <w:r>
        <w:t xml:space="preserve">[Define each model by the Provider’s own designation. Do not define a model by a third party’s name for it.]</w:t>
      </w:r>
    </w:p>
    <w:p>
      <w:pPr>
        <w:pStyle w:val="Heading2"/>
      </w:pPr>
      <w:bookmarkStart w:id="26" w:name="part-d-information-required"/>
      <w:r>
        <w:t xml:space="preserve">Part D: Information required</w:t>
      </w:r>
      <w:bookmarkEnd w:id="26"/>
    </w:p>
    <w:p>
      <w:pPr>
        <w:pStyle w:val="FirstParagraph"/>
      </w:pPr>
      <w:r>
        <w:rPr>
          <w:i/>
        </w:rPr>
        <w:t xml:space="preserve">Nothing here requires an admission.</w:t>
      </w:r>
      <w:r>
        <w:t xml:space="preserve"> </w:t>
      </w:r>
      <w:r>
        <w:t xml:space="preserve">Where a request asks the Provider to state a position on the legal characterisation of facts, 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Privilege is not a ground for withholding the underlying facts or the dates on which steps were taken.</w:t>
      </w:r>
    </w:p>
    <w:p>
      <w:pPr>
        <w:pStyle w:val="BodyText"/>
      </w:pPr>
      <w:r>
        <w:rPr>
          <w:b/>
        </w:rPr>
        <w:t xml:space="preserve">Request 1</w:t>
      </w:r>
      <w:r>
        <w:t xml:space="preserve"> </w:t>
      </w:r>
      <w:r>
        <w:rPr>
          <w:i/>
        </w:rPr>
        <w:t xml:space="preserve">(Article 3, point (63); cross-walk row</w:t>
      </w:r>
      <w:r>
        <w:rPr>
          <w:i/>
        </w:rPr>
        <w:t xml:space="preserve"> </w:t>
      </w:r>
      <w:r>
        <w:rPr>
          <w:rStyle w:val="VerbatimChar"/>
          <w:i/>
        </w:rPr>
        <w:t xml:space="preserve">g0-scope-research-exclusion</w:t>
      </w:r>
      <w:r>
        <w:rPr>
          <w:i/>
        </w:rPr>
        <w:t xml:space="preserve">)</w:t>
      </w:r>
      <w:r>
        <w:t xml:space="preserve">. Model identity; training compute in FLOP with the estimation approach; whether the model was integrated into an own system put into service, when and where; whether it shares a large pre-training run with a model placed on the market; the provider’s position on Article 3, point (63) and Article 2(8), with dates.</w:t>
      </w:r>
    </w:p>
    <w:p>
      <w:pPr>
        <w:pStyle w:val="BodyText"/>
      </w:pPr>
      <w:r>
        <w:rPr>
          <w:b/>
        </w:rPr>
        <w:t xml:space="preserve">Request 2</w:t>
      </w:r>
      <w:r>
        <w:t xml:space="preserve"> </w:t>
      </w:r>
      <w:r>
        <w:rPr>
          <w:i/>
        </w:rPr>
        <w:t xml:space="preserve">(Article 55(1), point (a); cross-walk row</w:t>
      </w:r>
      <w:r>
        <w:rPr>
          <w:i/>
        </w:rPr>
        <w:t xml:space="preserve"> </w:t>
      </w:r>
      <w:r>
        <w:rPr>
          <w:rStyle w:val="VerbatimChar"/>
          <w:i/>
        </w:rPr>
        <w:t xml:space="preserve">g3-art55-1a-evaluation</w:t>
      </w:r>
      <w:r>
        <w:rPr>
          <w:i/>
        </w:rPr>
        <w:t xml:space="preserve">)</w:t>
      </w:r>
      <w:r>
        <w:t xml:space="preserve">. The evaluation protocol and the documented adversarial-testing record, or a pointer to where they sit within the Article 53(1)(a) documentation.</w:t>
      </w:r>
    </w:p>
    <w:p>
      <w:pPr>
        <w:pStyle w:val="BodyText"/>
      </w:pPr>
      <w:r>
        <w:rPr>
          <w:b/>
        </w:rPr>
        <w:t xml:space="preserve">Request 3</w:t>
      </w:r>
      <w:r>
        <w:t xml:space="preserve"> </w:t>
      </w:r>
      <w:r>
        <w:rPr>
          <w:i/>
        </w:rPr>
        <w:t xml:space="preserve">(Article 55(1), point (b); cross-walk row</w:t>
      </w:r>
      <w:r>
        <w:rPr>
          <w:i/>
        </w:rPr>
        <w:t xml:space="preserve"> </w:t>
      </w:r>
      <w:r>
        <w:rPr>
          <w:rStyle w:val="VerbatimChar"/>
          <w:i/>
        </w:rPr>
        <w:t xml:space="preserve">g3-art55-1b-systemic</w:t>
      </w:r>
      <w:r>
        <w:rPr>
          <w:i/>
        </w:rPr>
        <w:t xml:space="preserve">)</w:t>
      </w:r>
      <w:r>
        <w:t xml:space="preserve">. The risk assessment as it addresses sources, dated before July 2026.</w:t>
      </w:r>
    </w:p>
    <w:p>
      <w:pPr>
        <w:pStyle w:val="BodyText"/>
      </w:pPr>
      <w:r>
        <w:rPr>
          <w:b/>
        </w:rPr>
        <w:t xml:space="preserve">Request 4</w:t>
      </w:r>
      <w:r>
        <w:t xml:space="preserve"> </w:t>
      </w:r>
      <w:r>
        <w:rPr>
          <w:i/>
        </w:rPr>
        <w:t xml:space="preserve">(Article 55(1), point (d); cross-walk row</w:t>
      </w:r>
      <w:r>
        <w:rPr>
          <w:i/>
        </w:rPr>
        <w:t xml:space="preserve"> </w:t>
      </w:r>
      <w:r>
        <w:rPr>
          <w:rStyle w:val="VerbatimChar"/>
          <w:i/>
        </w:rPr>
        <w:t xml:space="preserve">g3-art55-1d-cybersecurity</w:t>
      </w:r>
      <w:r>
        <w:rPr>
          <w:i/>
        </w:rPr>
        <w:t xml:space="preserve">)</w:t>
      </w:r>
      <w:r>
        <w:t xml:space="preserve">. Egress control architecture before 9 July and following the 4 July rebuild.</w:t>
      </w:r>
    </w:p>
    <w:p>
      <w:pPr>
        <w:pStyle w:val="BodyText"/>
      </w:pPr>
      <w:r>
        <w:rPr>
          <w:b/>
        </w:rPr>
        <w:t xml:space="preserve">Request 5</w:t>
      </w:r>
      <w:r>
        <w:t xml:space="preserve"> </w:t>
      </w:r>
      <w:r>
        <w:rPr>
          <w:i/>
        </w:rPr>
        <w:t xml:space="preserve">(Article 3, point (49); cross-walk row</w:t>
      </w:r>
      <w:r>
        <w:rPr>
          <w:i/>
        </w:rPr>
        <w:t xml:space="preserve"> </w:t>
      </w:r>
      <w:r>
        <w:rPr>
          <w:rStyle w:val="VerbatimChar"/>
          <w:i/>
        </w:rPr>
        <w:t xml:space="preserve">g1-art3-49-limbs</w:t>
      </w:r>
      <w:r>
        <w:rPr>
          <w:i/>
        </w:rPr>
        <w:t xml:space="preserve">)</w:t>
      </w:r>
      <w:r>
        <w:t xml:space="preserve">. A determination by the Commission, or facts establishing serious harm to property within limb (d).</w:t>
      </w:r>
    </w:p>
    <w:p>
      <w:pPr>
        <w:pStyle w:val="BodyText"/>
      </w:pPr>
      <w:r>
        <w:rPr>
          <w:b/>
        </w:rPr>
        <w:t xml:space="preserve">Request 6</w:t>
      </w:r>
      <w:r>
        <w:t xml:space="preserve"> </w:t>
      </w:r>
      <w:r>
        <w:rPr>
          <w:i/>
        </w:rPr>
        <w:t xml:space="preserve">(Article 55(1), point (c); cross-walk row</w:t>
      </w:r>
      <w:r>
        <w:rPr>
          <w:i/>
        </w:rPr>
        <w:t xml:space="preserve"> </w:t>
      </w:r>
      <w:r>
        <w:rPr>
          <w:rStyle w:val="VerbatimChar"/>
          <w:i/>
        </w:rPr>
        <w:t xml:space="preserve">g2-art55-1c-timing</w:t>
      </w:r>
      <w:r>
        <w:rPr>
          <w:i/>
        </w:rPr>
        <w:t xml:space="preserve">)</w:t>
      </w:r>
      <w:r>
        <w:t xml:space="preserve">. A date, with the contemporaneous classification record; and the filing’s date and legal basis. For a Code signatory, the date the Provider became aware of its model’s involvement, which is when the Measure 9.3 periods start running, and the category it assigned under that Measure.</w:t>
      </w:r>
    </w:p>
    <w:p>
      <w:pPr>
        <w:pStyle w:val="Heading2"/>
      </w:pPr>
      <w:bookmarkStart w:id="27" w:name="part-e-period-for-response"/>
      <w:r>
        <w:t xml:space="preserve">Part E: Period for response</w:t>
      </w:r>
      <w:bookmarkEnd w:id="27"/>
    </w:p>
    <w:p>
      <w:pPr>
        <w:numPr>
          <w:ilvl w:val="0"/>
          <w:numId w:val="1004"/>
        </w:numPr>
      </w:pPr>
      <w:r>
        <w:t xml:space="preserve">The Provider shall supply the information requested by</w:t>
      </w:r>
      <w:r>
        <w:t xml:space="preserve"> </w:t>
      </w:r>
      <w:r>
        <w:rPr>
          <w:b/>
        </w:rPr>
        <w:t xml:space="preserve">[date]</w:t>
      </w:r>
      <w:r>
        <w:t xml:space="preserve">, being the period set by the Commission for the purposes of Article 91(4). [Consider tranching: one period for factual and status questions, a later one for document productions.]</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w:t>
      </w:r>
    </w:p>
    <w:p>
      <w:pPr>
        <w:numPr>
          <w:ilvl w:val="0"/>
          <w:numId w:val="1004"/>
        </w:numPr>
      </w:pPr>
      <w:r>
        <w:t xml:space="preserve">Information supplied in response to this request is subject to Article 78. The Provider is not invited to withhold information on confidentiality grounds, but should identify material it considers confidential, including trade secrets, so that it may be handled accordingly.</w:t>
      </w:r>
    </w:p>
    <w:p>
      <w:pPr>
        <w:pStyle w:val="Heading2"/>
      </w:pPr>
      <w:bookmarkStart w:id="28" w:name="part-f-indication-of-fines-article-914"/>
      <w:r>
        <w:t xml:space="preserve">Part F: Indication of fines (Article 91(4))</w:t>
      </w:r>
      <w:bookmarkEnd w:id="28"/>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29" w:name="X2ecfd563578182d834c27c78d8905702a6a9b0c"/>
      <w:r>
        <w:t xml:space="preserve">Issuing note (not for the addressee): what would not settle each request</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Row</w:t>
            </w:r>
          </w:p>
        </w:tc>
        <w:tc>
          <w:tcPr>
            <w:tcBorders>
              <w:bottom w:val="single"/>
            </w:tcBorders>
            <w:vAlign w:val="bottom"/>
          </w:tcPr>
          <w:p>
            <w:pPr>
              <w:pStyle w:val="Compact"/>
              <w:jc w:val="left"/>
            </w:pPr>
            <w:r>
              <w:t xml:space="preserve">What would not settle it</w:t>
            </w:r>
          </w:p>
        </w:tc>
      </w:tr>
      <w:tr>
        <w:tc>
          <w:p>
            <w:pPr>
              <w:pStyle w:val="Compact"/>
              <w:jc w:val="left"/>
            </w:pPr>
            <w:r>
              <w:t xml:space="preserve">1</w:t>
            </w:r>
          </w:p>
        </w:tc>
        <w:tc>
          <w:p>
            <w:pPr>
              <w:pStyle w:val="Compact"/>
              <w:jc w:val="left"/>
            </w:pPr>
            <w:r>
              <w:rPr>
                <w:rStyle w:val="VerbatimChar"/>
              </w:rPr>
              <w:t xml:space="preserve">g0-scope-research-exclusion</w:t>
            </w:r>
          </w:p>
        </w:tc>
        <w:tc>
          <w:p>
            <w:pPr>
              <w:pStyle w:val="Compact"/>
              <w:jc w:val="left"/>
            </w:pPr>
            <w:r>
              <w:t xml:space="preserve">A description of the model as internal or unreleased, without the reasoning and dates that make it a position. Equally, an assertion that Recital 115 brings development-stage conduct into scope—a recital cannot derogate from enacting terms.</w:t>
            </w:r>
          </w:p>
        </w:tc>
      </w:tr>
      <w:tr>
        <w:tc>
          <w:p>
            <w:pPr>
              <w:pStyle w:val="Compact"/>
              <w:jc w:val="left"/>
            </w:pPr>
            <w:r>
              <w:t xml:space="preserve">2</w:t>
            </w:r>
          </w:p>
        </w:tc>
        <w:tc>
          <w:p>
            <w:pPr>
              <w:pStyle w:val="Compact"/>
              <w:jc w:val="left"/>
            </w:pPr>
            <w:r>
              <w:rPr>
                <w:rStyle w:val="VerbatimChar"/>
              </w:rPr>
              <w:t xml:space="preserve">g3-art55-1a-evaluation</w:t>
            </w:r>
          </w:p>
        </w:tc>
        <w:tc>
          <w:p>
            <w:pPr>
              <w:pStyle w:val="Compact"/>
              <w:jc w:val="left"/>
            </w:pPr>
            <w:r>
              <w:t xml:space="preserve">Public descriptions of the evaluation’s difficulty.</w:t>
            </w:r>
          </w:p>
        </w:tc>
      </w:tr>
      <w:tr>
        <w:tc>
          <w:p>
            <w:pPr>
              <w:pStyle w:val="Compact"/>
              <w:jc w:val="left"/>
            </w:pPr>
            <w:r>
              <w:t xml:space="preserve">3</w:t>
            </w:r>
          </w:p>
        </w:tc>
        <w:tc>
          <w:p>
            <w:pPr>
              <w:pStyle w:val="Compact"/>
              <w:jc w:val="left"/>
            </w:pPr>
            <w:r>
              <w:rPr>
                <w:rStyle w:val="VerbatimChar"/>
              </w:rPr>
              <w:t xml:space="preserve">g3-art55-1b-systemic</w:t>
            </w:r>
          </w:p>
        </w:tc>
        <w:tc>
          <w:p>
            <w:pPr>
              <w:pStyle w:val="Compact"/>
              <w:jc w:val="left"/>
            </w:pPr>
            <w:r>
              <w:t xml:space="preserve">Post-incident remediation commitments.</w:t>
            </w:r>
          </w:p>
        </w:tc>
      </w:tr>
      <w:tr>
        <w:tc>
          <w:p>
            <w:pPr>
              <w:pStyle w:val="Compact"/>
              <w:jc w:val="left"/>
            </w:pPr>
            <w:r>
              <w:t xml:space="preserve">4</w:t>
            </w:r>
          </w:p>
        </w:tc>
        <w:tc>
          <w:p>
            <w:pPr>
              <w:pStyle w:val="Compact"/>
              <w:jc w:val="left"/>
            </w:pPr>
            <w:r>
              <w:rPr>
                <w:rStyle w:val="VerbatimChar"/>
              </w:rPr>
              <w:t xml:space="preserve">g3-art55-1d-cybersecurity</w:t>
            </w:r>
          </w:p>
        </w:tc>
        <w:tc>
          <w:p>
            <w:pPr>
              <w:pStyle w:val="Compact"/>
              <w:jc w:val="left"/>
            </w:pPr>
            <w:r>
              <w:t xml:space="preserve">A description of the exploit chain, which is already public.</w:t>
            </w:r>
          </w:p>
        </w:tc>
      </w:tr>
      <w:tr>
        <w:tc>
          <w:p>
            <w:pPr>
              <w:pStyle w:val="Compact"/>
              <w:jc w:val="left"/>
            </w:pPr>
            <w:r>
              <w:t xml:space="preserve">5</w:t>
            </w:r>
          </w:p>
        </w:tc>
        <w:tc>
          <w:p>
            <w:pPr>
              <w:pStyle w:val="Compact"/>
              <w:jc w:val="left"/>
            </w:pPr>
            <w:r>
              <w:rPr>
                <w:rStyle w:val="VerbatimChar"/>
              </w:rPr>
              <w:t xml:space="preserve">g1-art3-49-limbs</w:t>
            </w:r>
          </w:p>
        </w:tc>
        <w:tc>
          <w:p>
            <w:pPr>
              <w:pStyle w:val="Compact"/>
              <w:jc w:val="left"/>
            </w:pPr>
            <w:r>
              <w:t xml:space="preserve">The provider’s internal classification of the episode, which uses a taxonomy the Regulation does not employ.</w:t>
            </w:r>
          </w:p>
        </w:tc>
      </w:tr>
      <w:tr>
        <w:tc>
          <w:p>
            <w:pPr>
              <w:pStyle w:val="Compact"/>
              <w:jc w:val="left"/>
            </w:pPr>
            <w:r>
              <w:t xml:space="preserve">6</w:t>
            </w:r>
          </w:p>
        </w:tc>
        <w:tc>
          <w:p>
            <w:pPr>
              <w:pStyle w:val="Compact"/>
              <w:jc w:val="left"/>
            </w:pPr>
            <w:r>
              <w:rPr>
                <w:rStyle w:val="VerbatimChar"/>
              </w:rPr>
              <w:t xml:space="preserve">g2-art55-1c-timing</w:t>
            </w:r>
          </w:p>
        </w:tc>
        <w:tc>
          <w:p>
            <w:pPr>
              <w:pStyle w:val="Compact"/>
              <w:jc w:val="left"/>
            </w:pPr>
            <w:r>
              <w:t xml:space="preserve">The public disclosure date, which is not the same as the date the view was formed. Nor confirmation that ‘a report was filed’ without its particulars.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6">
    <w:nsid w:val="47261bad"/>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abstractNum w:abstractNumId="99217">
    <w:nsid w:val="b3cbbdee"/>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10">
    <w:nsid w:val="4fbe019a"/>
    <w:multiLevelType w:val="multilevel"/>
    <w:lvl w:ilvl="0">
      <w:start w:val="10"/>
      <w:numFmt w:val="decimal"/>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Roman"/>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Roman"/>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lowerLetter"/>
      <w:lvlText w:val="%8."/>
      <w:lvlJc w:val="left"/>
      <w:pPr>
        <w:tabs>
          <w:tab w:val="num" w:pos="5040"/>
        </w:tabs>
        <w:ind w:left="5520" w:hanging="480"/>
      </w:pPr>
    </w:lvl>
    <w:lvl w:ilvl="8">
      <w:start w:val="10"/>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2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request</dc:title>
  <dc:creator/>
  <cp:keywords/>
  <dcterms:created xsi:type="dcterms:W3CDTF">2026-09-13T14:36:59Z</dcterms:created>
  <dcterms:modified xsi:type="dcterms:W3CDTF">2026-09-13T14:36:59Z</dcterms:modified>
</cp:coreProperties>
</file>

<file path=docProps/custom.xml><?xml version="1.0" encoding="utf-8"?>
<Properties xmlns="http://schemas.openxmlformats.org/officeDocument/2006/custom-properties" xmlns:vt="http://schemas.openxmlformats.org/officeDocument/2006/docPropsVTypes"/>
</file>