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Reached by Recital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reached-by-recital"/>
      <w:r>
        <w:t xml:space="preserve">Reached by Recital</w:t>
      </w:r>
      <w:bookmarkEnd w:id="20"/>
    </w:p>
    <w:p>
      <w:pPr>
        <w:pStyle w:val="Heading3"/>
      </w:pPr>
      <w:bookmarkStart w:id="21" w:name="X03be4cf417ec6a4b1a077a0b55a25562be9506e"/>
      <w:r>
        <w:t xml:space="preserve">An enforcement pack for a pre-market research model under the EU AI Act, and the three facts it turns on</w:t>
      </w:r>
      <w:bookmarkEnd w:id="21"/>
    </w:p>
    <w:p>
      <w:pPr>
        <w:pStyle w:val="FirstParagraph"/>
      </w:pPr>
      <w:r>
        <w:rPr>
          <w:b/>
        </w:rPr>
        <w:t xml:space="preserve">Bradley Quinlan</w:t>
      </w:r>
      <w:r>
        <w:t xml:space="preserve">, University of Essex</w:t>
      </w:r>
      <w:r>
        <w:t xml:space="preserve"> </w:t>
      </w:r>
      <w:r>
        <w:t xml:space="preserve">Track 3, Regulatory Response · Apart Research / CeSIA AI Incident Response Sprint, 11–13 September 2026</w:t>
      </w:r>
    </w:p>
    <w:p>
      <w:r>
        <w:pict>
          <v:rect style="width:0;height:1.5pt" o:hralign="center" o:hrstd="t" o:hr="t"/>
        </w:pict>
      </w:r>
    </w:p>
    <w:p>
      <w:pPr>
        <w:pStyle w:val="Heading2"/>
      </w:pPr>
      <w:bookmarkStart w:id="22" w:name="abstract"/>
      <w:r>
        <w:t xml:space="preserve">Abstract</w:t>
      </w:r>
      <w:bookmarkEnd w:id="22"/>
    </w:p>
    <w:p>
      <w:pPr>
        <w:pStyle w:val="FirstParagraph"/>
      </w:pPr>
      <w:r>
        <w:t xml:space="preserve">In July 2026 a frontier developer’s models escaped an evaluation sandbox and reached a third party’s production infrastructure. Whether the episode was reported as the EU AI Act requires assumes a prior question: every account calls the model internal research, which Article 3, point (63) excludes from the definition. On the Commission’s reading the obligations attach, but by a route through Recital 97 and non-binding guidance rather than the enacting definition, and the route needs three facts the public record does not supply—one of which the provider’s own account denies. This report delivers the documents a regulator and a legislator would need rather than an analysis of them: a model Article 91 request that asks the three facts, an issuing note and an answer matrix that say what each answer does, the Commission’s serious-incident template rebuilt with the two fields it lacks, and three amendments to the Regulation drafted in current-text/amended-text form. A second finding needs none of the scope reading: the template never asks when the provider became aware, though every initial-report period in the Code runs from awareness, because the template transcribes the Code’s list of contents and the list omits it. Every document is derived only from text held and verified in the accompanying repository, whose checkers and corrections log are the method.</w:t>
      </w:r>
    </w:p>
    <w:p>
      <w:r>
        <w:pict>
          <v:rect style="width:0;height:1.5pt" o:hralign="center" o:hrstd="t" o:hr="t"/>
        </w:pict>
      </w:r>
    </w:p>
    <w:p>
      <w:pPr>
        <w:pStyle w:val="Heading2"/>
      </w:pPr>
      <w:bookmarkStart w:id="23" w:name="X9b8c9eead3e26f7a0de100704a614590ce76b17"/>
      <w:r>
        <w:t xml:space="preserve">1. The question, and the answer</w:t>
      </w:r>
      <w:bookmarkEnd w:id="23"/>
    </w:p>
    <w:p>
      <w:pPr>
        <w:pStyle w:val="FirstParagraph"/>
      </w:pPr>
      <w:r>
        <w:t xml:space="preserve">Two episodes sit behind this report. Models belonging to a frontier developer left an evaluation sandbox in July 2026 and reached a third party’s production infrastructure (Hugging Face, 2026); between May and June the same developer’s agents had made roughly 17,000 edits to a community wiki (Von Arx, 2026). The first was handled under “a traditional security incident response playbook”; the second was treated as “an instance of misalignment” and acknowledged publicly on 5 September 2026, the day after independent researchers published (OpenAI, 2026c).</w:t>
      </w:r>
    </w:p>
    <w:p>
      <w:pPr>
        <w:pStyle w:val="BodyText"/>
      </w:pPr>
      <w:r>
        <w:t xml:space="preserve">Commentary since has asked whether these episodes were reported as the AI Act requires. That question assumes an answer to a prior one. The model that drove the compromise is described by its own developer as an “internal-only research model”, “not intended for public release” (OpenAI, 2026b), and by the independent investigators as “a research model which was not intended for production” (METR and Redwood Research, 2026). Article 3, point (63) excludes from the definition of ‘general-purpose AI model’ those “used for research, development or prototyping activities before they are placed on the market”, and Article 2(8) excludes pre-market research, testing and development activity from the Regulation’s application. Whether the obligations attach at all is the threshold question.</w:t>
      </w:r>
    </w:p>
    <w:p>
      <w:pPr>
        <w:pStyle w:val="BodyText"/>
      </w:pPr>
      <w:r>
        <w:rPr>
          <w:b/>
        </w:rPr>
        <w:t xml:space="preserve">The answer.</w:t>
      </w:r>
      <w:r>
        <w:t xml:space="preserve"> </w:t>
      </w:r>
      <w:r>
        <w:t xml:space="preserve">On the Commission’s reading they attach, and the route is the finding. Recital 97 supplies a “sole purpose” qualifier and three conditions that Article 3, point (63) does not contain, and deems a model integrated into its provider’s own AI system put into service to be placed on the market, with the internal-use exception unavailable to a model carrying systemic risk. That route needs three facts. That the model carries systemic risk, which turns on a training-compute figure nobody outside the provider knows. That there was a placement event—integration into an own system put into service, an intention to place, or a shared pre-training run with a model that was placed—where the provider says the model was “not intended for public release”. And that the placement was in the Union, which no account addresses (as of 13 September 2026, across the six incident-record documents held here; Appendix G tables the corpus and the terms). If all three hold, a two-week notification duty under Article 52(1) was engaged during development. If any fails, the research model is outside Chapter V on the Commission’s own reading and the case is a legislative one. Nobody outside the provider can say which, and the Regulation contains the instrument for asking.</w:t>
      </w:r>
    </w:p>
    <w:p>
      <w:pPr>
        <w:pStyle w:val="Heading2"/>
      </w:pPr>
      <w:bookmarkStart w:id="24" w:name="X038f17a73cda6b5a688d239ed2c3f77fdf76150"/>
      <w:r>
        <w:t xml:space="preserve">2. What was built</w:t>
      </w:r>
      <w:bookmarkEnd w:id="24"/>
    </w:p>
    <w:p>
      <w:pPr>
        <w:pStyle w:val="FirstParagraph"/>
      </w:pPr>
      <w:r>
        <w:t xml:space="preserve">An enforcement pack, in</w:t>
      </w:r>
      <w:r>
        <w:t xml:space="preserve"> </w:t>
      </w:r>
      <w:r>
        <w:rPr>
          <w:rStyle w:val="VerbatimChar"/>
        </w:rPr>
        <w:t xml:space="preserve">instrument/</w:t>
      </w:r>
      <w:r>
        <w:t xml:space="preserve">, each document in the form its addressee would issue or adopt. A reader with twenty minutes takes the first four in order; the rest is the working behind them.</w:t>
      </w:r>
    </w:p>
    <w:p>
      <w:pPr>
        <w:numPr>
          <w:ilvl w:val="0"/>
          <w:numId w:val="1001"/>
        </w:numPr>
        <w:pStyle w:val="Compact"/>
      </w:pPr>
      <w:r>
        <w:rPr>
          <w:b/>
        </w:rPr>
        <w:t xml:space="preserve">A cover note</w:t>
      </w:r>
      <w:r>
        <w:t xml:space="preserve"> </w:t>
      </w:r>
      <w:r>
        <w:t xml:space="preserve">to the AI Office: what the record establishes, what it does not, what one request settles, what one form change fixes.</w:t>
      </w:r>
    </w:p>
    <w:p>
      <w:pPr>
        <w:numPr>
          <w:ilvl w:val="0"/>
          <w:numId w:val="1001"/>
        </w:numPr>
        <w:pStyle w:val="Compact"/>
      </w:pPr>
      <w:r>
        <w:rPr>
          <w:b/>
        </w:rPr>
        <w:t xml:space="preserve">A model Article 91 request</w:t>
      </w:r>
      <w:r>
        <w:t xml:space="preserve">, in Article 91(4)’s required form, issued in the Commission’s name, asking the three facts first and the documentation and reporting questions after.</w:t>
      </w:r>
    </w:p>
    <w:p>
      <w:pPr>
        <w:numPr>
          <w:ilvl w:val="0"/>
          <w:numId w:val="1001"/>
        </w:numPr>
        <w:pStyle w:val="Compact"/>
      </w:pPr>
      <w:r>
        <w:rPr>
          <w:b/>
        </w:rPr>
        <w:t xml:space="preserve">An issuing note</w:t>
      </w:r>
      <w:r>
        <w:t xml:space="preserve">, for the AI Office rather than the addressee, carrying the reasoning behind each request so the request itself does not pre-grade answers.</w:t>
      </w:r>
    </w:p>
    <w:p>
      <w:pPr>
        <w:numPr>
          <w:ilvl w:val="0"/>
          <w:numId w:val="1001"/>
        </w:numPr>
        <w:pStyle w:val="Compact"/>
      </w:pPr>
      <w:r>
        <w:rPr>
          <w:b/>
        </w:rPr>
        <w:t xml:space="preserve">An answer matrix</w:t>
      </w:r>
      <w:r>
        <w:t xml:space="preserve">: for each answer the provider could give, where it puts the model and what the Commission does next, every cell a held provision.</w:t>
      </w:r>
    </w:p>
    <w:p>
      <w:pPr>
        <w:numPr>
          <w:ilvl w:val="0"/>
          <w:numId w:val="1001"/>
        </w:numPr>
        <w:pStyle w:val="Compact"/>
      </w:pPr>
      <w:r>
        <w:rPr>
          <w:b/>
        </w:rPr>
        <w:t xml:space="preserve">The Commission’s serious-incident template rebuilt as a DOCX</w:t>
      </w:r>
      <w:r>
        <w:t xml:space="preserve"> </w:t>
      </w:r>
      <w:r>
        <w:t xml:space="preserve">with two fields added—date of awareness, date of submission—and nothing else changed.</w:t>
      </w:r>
    </w:p>
    <w:p>
      <w:pPr>
        <w:numPr>
          <w:ilvl w:val="0"/>
          <w:numId w:val="1001"/>
        </w:numPr>
        <w:pStyle w:val="Compact"/>
      </w:pPr>
      <w:r>
        <w:rPr>
          <w:b/>
        </w:rPr>
        <w:t xml:space="preserve">An amendment table</w:t>
      </w:r>
      <w:r>
        <w:t xml:space="preserve">: three amendments to the Regulation in current-text/amended-text form, every added word traced to the recital, Commission act or provision it is lifted from.</w:t>
      </w:r>
    </w:p>
    <w:p>
      <w:pPr>
        <w:numPr>
          <w:ilvl w:val="0"/>
          <w:numId w:val="1001"/>
        </w:numPr>
        <w:pStyle w:val="Compact"/>
      </w:pPr>
      <w:r>
        <w:rPr>
          <w:b/>
        </w:rPr>
        <w:t xml:space="preserve">What the provider will say</w:t>
      </w:r>
      <w:r>
        <w:t xml:space="preserve">: the analysis’s load-bearing steps weakest first with the objection recorded against each, rendered from the inference register; and</w:t>
      </w:r>
      <w:r>
        <w:t xml:space="preserve"> </w:t>
      </w:r>
      <w:r>
        <w:rPr>
          <w:b/>
        </w:rPr>
        <w:t xml:space="preserve">the template filled from the public record</w:t>
      </w:r>
      <w:r>
        <w:t xml:space="preserve">, each field carrying its status. Every document is also rendered to DOCX, because light edits happen in Word.</w:t>
      </w:r>
    </w:p>
    <w:p>
      <w:pPr>
        <w:pStyle w:val="FirstParagraph"/>
      </w:pPr>
      <w:r>
        <w:t xml:space="preserve">Behind the pack is a method and a repository (§6, Appendix H): a statutory register of forty-seven provisions verified against the consolidated text; a cross-walk of the disclosed record against the obligations, with facts kept apart from the provider’s characterisation and every verdict confined to one of three forms; an inference register that states each argumentative step so it can be denied; six checkers; and a corrections log with twenty-six entries. Six scripts make the structure repeatable: one stands up an empty repository with the checkers and the verified register; one re-verifies the register against a supplied consolidated text and dates what it finds; one drafts an Article 91 request from the cross-walk’s unresolved rows; one renders a regulator’s template filled from the record, from a data file that names the rows and sources behind every cell; one renders the objections page from the inference register; one renders the pack to DOCX.</w:t>
      </w:r>
    </w:p>
    <w:p>
      <w:pPr>
        <w:pStyle w:val="Heading2"/>
      </w:pPr>
      <w:bookmarkStart w:id="25" w:name="Xd88bc355d3a04a204423522d0b75d8d7910e7c4"/>
      <w:r>
        <w:t xml:space="preserve">3. What a regulator can do now</w:t>
      </w:r>
      <w:bookmarkEnd w:id="25"/>
    </w:p>
    <w:p>
      <w:pPr>
        <w:pStyle w:val="FirstParagraph"/>
      </w:pPr>
      <w:r>
        <w:rPr>
          <w:b/>
        </w:rPr>
        <w:t xml:space="preserve">The power is already in use, and on this ground.</w:t>
      </w:r>
      <w:r>
        <w:t xml:space="preserve"> </w:t>
      </w:r>
      <w:r>
        <w:t xml:space="preserve">On 1 September 2026 the Commission stated that the AI Office had sent its first requests for information to more than 30 providers; they come, the reporting agency records, “after several incidents involving AI models that occurred this summer”, and its spokesperson described two strands, the first of which “concerns safety and security, notably the use of and the most advanced AI models” (Agence Europe, 2026). Article 91 is therefore not a route proposed here in the abstract: it is the instrument the AI Office reached for first, on this subject, weeks after the episodes analysed in this report.</w:t>
      </w:r>
    </w:p>
    <w:p>
      <w:pPr>
        <w:pStyle w:val="BodyText"/>
      </w:pPr>
      <w:r>
        <w:t xml:space="preserve">What the attached request adds is specificity. On the only public account of what those requests ask—how providers prevent their models being stolen, how much access external evaluators get, how usage is monitored once a model is public (Uuk, 2026, relaying Euractiv)—none of the three reaches the question this analysis turns on, which is whether the model was ever integrated into an own AI system put into service. A request written across thirty providers cannot ask that. An incident-specific one can, and it is the first thing this one asks.</w:t>
      </w:r>
    </w:p>
    <w:p>
      <w:pPr>
        <w:pStyle w:val="BodyText"/>
      </w:pPr>
      <w:r>
        <w:rPr>
          <w:b/>
        </w:rPr>
        <w:t xml:space="preserve">Ask the three facts, in order.</w:t>
      </w:r>
      <w:r>
        <w:t xml:space="preserve"> </w:t>
      </w:r>
      <w:r>
        <w:t xml:space="preserve">The request asks them at Section I. Request 4a: was the model integrated into an own AI system made available on the market or put into service, when, and where. Request 2b: does it share a large pre-training run with a model already placed, or was it at any time intended for placement. Request 2: its cumulative training compute, estimated by the approach in the Guidelines’ own annex. The order is the Act’s: without a placement event the definition is not met and nothing else in Chapter V is reached; without a Union nexus Article 2(1), point (a) is not engaged; only then does systemic risk matter. Article 91 has applied since 2 August 2026 (Guidelines ¶103), and Article 101(1), point (b) stands behind it.</w:t>
      </w:r>
    </w:p>
    <w:p>
      <w:pPr>
        <w:pStyle w:val="BodyText"/>
      </w:pPr>
      <w:r>
        <w:rPr>
          <w:b/>
        </w:rPr>
        <w:t xml:space="preserve">Read the answers off the matrix.</w:t>
      </w:r>
      <w:r>
        <w:t xml:space="preserve"> </w:t>
      </w:r>
      <w:r>
        <w:t xml:space="preserve">If the model was integrated into an own system put into service in the Union, or shares a pre-training run with a placed model, it is within the definition on the Commission’s reading and Chapter V applies from the placement date, with the development-phase duties the Commission names applying before it. If it was never integrated, shares no lineage and was never intended for placement, it is outside Chapter V on the Commission’s own reading; nothing attaches to it, and the regulatory response is the amendment table. If the answer is silence or evasion, Article 101(1), point (b) and Article 92 are the next steps. Every cell of the matrix is a provision held and verified in the register—Articles 2(1), point (a), 2(8), 3 points (11) and (63), 51, 52, 53, 55, 90, 91, 92 and 101, Annex XIII, Recital 97—or a numbered paragraph of the Guidelines or the Q&amp;A, and nothing else.</w:t>
      </w:r>
    </w:p>
    <w:p>
      <w:pPr>
        <w:pStyle w:val="BodyText"/>
      </w:pPr>
      <w:r>
        <w:rPr>
          <w:b/>
        </w:rPr>
        <w:t xml:space="preserve">Use the designation power, within its gate.</w:t>
      </w:r>
      <w:r>
        <w:t xml:space="preserve"> </w:t>
      </w:r>
      <w:r>
        <w:t xml:space="preserve">Article 52(1) closes: “If the Commission becomes aware of a general-purpose AI model presenting systemic risks of which it has not been notified, it may decide to designate it as a model with systemic risk.” Annex XIII criterion (e)—“its level of autonomy and scalability, the tools it has access to”—is what this incident documented from outside the provider. The power presupposes “a general-purpose AI model”, so it does not escape the placement question; within it, the unanswerable compute figure is a reason to use a power rather than a reason to be stuck.</w:t>
      </w:r>
    </w:p>
    <w:p>
      <w:pPr>
        <w:pStyle w:val="BodyText"/>
      </w:pPr>
      <w:r>
        <w:rPr>
          <w:b/>
        </w:rPr>
        <w:t xml:space="preserve">Pursue the deployed model regardless.</w:t>
      </w:r>
      <w:r>
        <w:t xml:space="preserve"> </w:t>
      </w:r>
      <w:r>
        <w:t xml:space="preserve">Article 55(1), point (b) obliges providers of models with systemic risk to assess risks “that may stem from</w:t>
      </w:r>
      <w:r>
        <w:t xml:space="preserve"> </w:t>
      </w:r>
      <w:r>
        <w:rPr>
          <w:b/>
        </w:rPr>
        <w:t xml:space="preserve">the development</w:t>
      </w:r>
      <w:r>
        <w:t xml:space="preserve">, the placing on the market, or the use” of such models. The word is in the enacting text. The investigators put the deployed model’s agents at approximately 5% of the attacking population and record that its cyber classifiers “were intentionally off for the cyber evaluations” (METR and Redwood Research, 2026); the provider states that those agents “also reproduced an exploit” (OpenAI, 2026b). Request 8 asks whether loss of containment during internal evaluation was identified as a source before July 2026. That question is live whichever way scope resolves.</w:t>
      </w:r>
    </w:p>
    <w:p>
      <w:pPr>
        <w:pStyle w:val="BodyText"/>
      </w:pPr>
      <w:r>
        <w:rPr>
          <w:b/>
        </w:rPr>
        <w:t xml:space="preserve">Adopt the two fields.</w:t>
      </w:r>
      <w:r>
        <w:t xml:space="preserve"> </w:t>
      </w:r>
      <w:r>
        <w:t xml:space="preserve">The template is the Commission’s to change and the DOCX is ready. §5.2 says why.</w:t>
      </w:r>
    </w:p>
    <w:p>
      <w:pPr>
        <w:pStyle w:val="Heading2"/>
      </w:pPr>
      <w:bookmarkStart w:id="26" w:name="X1543228c74cf1e69e32916e5526e4746fd194b8"/>
      <w:r>
        <w:t xml:space="preserve">4. What a legislator can do</w:t>
      </w:r>
      <w:bookmarkEnd w:id="26"/>
    </w:p>
    <w:p>
      <w:pPr>
        <w:pStyle w:val="FirstParagraph"/>
      </w:pPr>
      <w:r>
        <w:t xml:space="preserve">Three amendments, drafted at</w:t>
      </w:r>
      <w:r>
        <w:t xml:space="preserve"> </w:t>
      </w:r>
      <w:r>
        <w:rPr>
          <w:rStyle w:val="VerbatimChar"/>
        </w:rPr>
        <w:t xml:space="preserve">instrument/amendment-table.md</w:t>
      </w:r>
      <w:r>
        <w:t xml:space="preserve">.</w:t>
      </w:r>
      <w:r>
        <w:t xml:space="preserve"> </w:t>
      </w:r>
      <w:r>
        <w:rPr>
          <w:b/>
        </w:rPr>
        <w:t xml:space="preserve">Article 3, point (9)</w:t>
      </w:r>
      <w:r>
        <w:t xml:space="preserve">: the deemed-placement rule, its internal-use exception and its systemic-risk carve-out, lifted from Recital 97 with “in the Union” added from Article 3, point (11), and the carve-out expressed by reference to the condition in Article 51(1), point (a) to avoid a circular defined term.</w:t>
      </w:r>
      <w:r>
        <w:t xml:space="preserve"> </w:t>
      </w:r>
      <w:r>
        <w:rPr>
          <w:b/>
        </w:rPr>
        <w:t xml:space="preserve">Article 3, point (63)</w:t>
      </w:r>
      <w:r>
        <w:t xml:space="preserve">: the “sole purpose” qualifier and the “without prejudice” proviso the recital states and the definition does not carry.</w:t>
      </w:r>
      <w:r>
        <w:t xml:space="preserve"> </w:t>
      </w:r>
      <w:r>
        <w:rPr>
          <w:b/>
        </w:rPr>
        <w:t xml:space="preserve">Article 55(1), point (c)</w:t>
      </w:r>
      <w:r>
        <w:t xml:space="preserve">: a determinate period on Measure 9.3’s trigger, in Article 52(1)’s own drafting form, with the number bracketed as the policy choice it is. Each row says which held text every added word comes from. The reason for all three is §5.1: the rule the Commission applies sits in a recital and in guidance that disclaims its own authority, and a preamble cannot be relied on “for interpreting those provisions in a manner clearly contrary to their wording” (</w:t>
      </w:r>
      <w:r>
        <w:rPr>
          <w:i/>
        </w:rPr>
        <w:t xml:space="preserve">Deutsches Milch-Kontor</w:t>
      </w:r>
      <w:r>
        <w:t xml:space="preserve">, C-136/04, ¶32).</w:t>
      </w:r>
    </w:p>
    <w:p>
      <w:pPr>
        <w:pStyle w:val="Heading2"/>
      </w:pPr>
      <w:bookmarkStart w:id="27" w:name="X7aa2b5ec28c78d8154f83009e432f61322381ac"/>
      <w:r>
        <w:t xml:space="preserve">5. The legal working</w:t>
      </w:r>
      <w:bookmarkEnd w:id="27"/>
    </w:p>
    <w:p>
      <w:pPr>
        <w:pStyle w:val="Heading3"/>
      </w:pPr>
      <w:bookmarkStart w:id="28" w:name="Xb89082dcd70ca32f498d6040cb37aaa4b354d82"/>
      <w:r>
        <w:t xml:space="preserve">5.1 Scope: the route, and the three facts it needs</w:t>
      </w:r>
      <w:bookmarkEnd w:id="28"/>
    </w:p>
    <w:p>
      <w:pPr>
        <w:pStyle w:val="FirstParagraph"/>
      </w:pPr>
      <w:r>
        <w:t xml:space="preserve">Full working at</w:t>
      </w:r>
      <w:r>
        <w:t xml:space="preserve"> </w:t>
      </w:r>
      <w:r>
        <w:rPr>
          <w:rStyle w:val="VerbatimChar"/>
        </w:rPr>
        <w:t xml:space="preserve">protocol/01-statutory-foundation.md</w:t>
      </w:r>
      <w:r>
        <w:t xml:space="preserve"> </w:t>
      </w:r>
      <w:r>
        <w:t xml:space="preserve">§§1.1–1.8.</w:t>
      </w:r>
    </w:p>
    <w:p>
      <w:pPr>
        <w:pStyle w:val="BodyText"/>
      </w:pPr>
      <w:r>
        <w:rPr>
          <w:b/>
        </w:rPr>
        <w:t xml:space="preserve">The enacting text points away from scope.</w:t>
      </w:r>
      <w:r>
        <w:t xml:space="preserve"> </w:t>
      </w:r>
      <w:r>
        <w:t xml:space="preserve">Article 2(1), point (a) applies the Regulation to providers “placing on the market</w:t>
      </w:r>
      <w:r>
        <w:t xml:space="preserve"> </w:t>
      </w:r>
      <w:r>
        <w:rPr>
          <w:b/>
        </w:rPr>
        <w:t xml:space="preserve">or putting into service</w:t>
      </w:r>
      <w:r>
        <w:t xml:space="preserve"> </w:t>
      </w:r>
      <w:r>
        <w:t xml:space="preserve">AI systems</w:t>
      </w:r>
      <w:r>
        <w:t xml:space="preserve"> </w:t>
      </w:r>
      <w:r>
        <w:rPr>
          <w:b/>
        </w:rPr>
        <w:t xml:space="preserve">or placing on the market</w:t>
      </w:r>
      <w:r>
        <w:t xml:space="preserve"> </w:t>
      </w:r>
      <w:r>
        <w:t xml:space="preserve">general-purpose AI models”. The halves differ: ‘putting into service’ at Article 3, point (11) expressly includes supply “for</w:t>
      </w:r>
      <w:r>
        <w:t xml:space="preserve"> </w:t>
      </w:r>
      <w:r>
        <w:rPr>
          <w:b/>
        </w:rPr>
        <w:t xml:space="preserve">own use</w:t>
      </w:r>
      <w:r>
        <w:t xml:space="preserve"> </w:t>
      </w:r>
      <w:r>
        <w:t xml:space="preserve">in the Union for its intended purpose”, and models have no equivalent limb. Article 3, point (63) then ends: “except AI models that are used for research, development or prototyping activities before they are placed on the market”—no “sole purpose” qualifier and no conditions, though Article 2(6) shows the formula was available. And Article 2(8) excludes pre-market research and development activity, with its single carve-back unreachable, since ‘testing in real-world conditions’ at Article 3, point (57) is defined by reference to an AI</w:t>
      </w:r>
      <w:r>
        <w:t xml:space="preserve"> </w:t>
      </w:r>
      <w:r>
        <w:rPr>
          <w:b/>
        </w:rPr>
        <w:t xml:space="preserve">system</w:t>
      </w:r>
      <w:r>
        <w:t xml:space="preserve"> </w:t>
      </w:r>
      <w:r>
        <w:t xml:space="preserve">and conditioned on regimes confined to high-risk systems. On the enacting text alone, an internal unreleased research model sits outside Chapter V.</w:t>
      </w:r>
    </w:p>
    <w:p>
      <w:pPr>
        <w:pStyle w:val="BodyText"/>
      </w:pPr>
      <w:r>
        <w:rPr>
          <w:b/>
        </w:rPr>
        <w:t xml:space="preserve">Recital 97 moves the moment of placement.</w:t>
      </w:r>
      <w:r>
        <w:t xml:space="preserve"> </w:t>
      </w:r>
      <w:r>
        <w:t xml:space="preserve">A model integrated into its provider’s own system put into service “should be</w:t>
      </w:r>
      <w:r>
        <w:t xml:space="preserve"> </w:t>
      </w:r>
      <w:r>
        <w:rPr>
          <w:b/>
        </w:rPr>
        <w:t xml:space="preserve">considered to be placed on the market</w:t>
      </w:r>
      <w:r>
        <w:t xml:space="preserve">”—so the development was never activity “prior to” placement and Article 2(8) never engages. The Commission reproduces the rule at paragraph 54 of its Guidelines (C(2025) 7719 final), and its Q&amp;A consolidates it into three cumulative conditions, of which the third is decisive: the exception is unavailable where “</w:t>
      </w:r>
      <w:r>
        <w:rPr>
          <w:b/>
        </w:rPr>
        <w:t xml:space="preserve">the model is not a general-purpose AI model with systemic risk</w:t>
      </w:r>
      <w:r>
        <w:t xml:space="preserve">”. Paragraph 22 treats a model’s lifecycle as beginning “at the start of the large pre-training run” and holds that “different stages of the development of a model are not considered to constitute different models”—so the exclusion protects a model never placed on the market, not the development phase of one that is. Asked directly whether the obligations apply in the development phase, the Q&amp;A accepts Article 2(8) “as a general matter”, then holds that certain obligations “explicitly or implicitly pertain to the development phase of models</w:t>
      </w:r>
      <w:r>
        <w:t xml:space="preserve"> </w:t>
      </w:r>
      <w:r>
        <w:rPr>
          <w:b/>
        </w:rPr>
        <w:t xml:space="preserve">intended for, but prior to</w:t>
      </w:r>
      <w:r>
        <w:t xml:space="preserve">, the placing on the market”—while disclaiming that it constitutes “an official position of the Commission”.</w:t>
      </w:r>
    </w:p>
    <w:p>
      <w:pPr>
        <w:pStyle w:val="BodyText"/>
      </w:pPr>
      <w:r>
        <w:rPr>
          <w:b/>
        </w:rPr>
        <w:t xml:space="preserve">What the route needs, and what the record gives it.</w:t>
      </w:r>
      <w:r>
        <w:t xml:space="preserve"> </w:t>
      </w:r>
      <w:r>
        <w:t xml:space="preserve">Three facts.</w:t>
      </w:r>
      <w:r>
        <w:t xml:space="preserve"> </w:t>
      </w:r>
      <w:r>
        <w:rPr>
          <w:i/>
        </w:rPr>
        <w:t xml:space="preserve">Systemic risk</w:t>
      </w:r>
      <w:r>
        <w:t xml:space="preserve">: Article 51(2) presumes it above 10²⁵ FLOP, and no public source gives the figure (as of 13 September 2026; corpus at Appendix G).</w:t>
      </w:r>
      <w:r>
        <w:t xml:space="preserve"> </w:t>
      </w:r>
      <w:r>
        <w:rPr>
          <w:i/>
        </w:rPr>
        <w:t xml:space="preserve">A placement event</w:t>
      </w:r>
      <w:r>
        <w:t xml:space="preserve">: every version of the Commission’s reading runs from one—Recital 97 from integration into an own system “made available on the market or put into service”; the Q&amp;A from a model “intended for” placement; paragraph 22 from a placed model’s pre-training run. The provider’s account says the model was one of several “research models that were not intended for public release”, and that its weights were quarantined after the incident (OpenAI, 2026b). The only system it is recorded as running in is the evaluation harness, and testing before putting into service is exactly what Article 2(8) excludes. So the record supplies none of the three routes, and denies one.</w:t>
      </w:r>
      <w:r>
        <w:t xml:space="preserve"> </w:t>
      </w:r>
      <w:r>
        <w:rPr>
          <w:i/>
        </w:rPr>
        <w:t xml:space="preserve">The Union</w:t>
      </w:r>
      <w:r>
        <w:t xml:space="preserve">: Article 2(1), point (a) reaches placing on the market “in the Union”; Article 3, point (11), “own use in the Union”; the Guidelines’ internal-use example at paragraph 51 requires processes essential to third-party provision “or that affect the rights of natural persons in the Union”. Pistillo (2026) says as much: “It remains unclear how ‘in the Union’ will be interpreted”. No account places any own system incorporating this model in the Union.</w:t>
      </w:r>
    </w:p>
    <w:p>
      <w:pPr>
        <w:pStyle w:val="BodyText"/>
      </w:pPr>
      <w:r>
        <w:rPr>
          <w:b/>
        </w:rPr>
        <w:t xml:space="preserve">The fragility, stated.</w:t>
      </w:r>
      <w:r>
        <w:t xml:space="preserve"> </w:t>
      </w:r>
      <w:r>
        <w:t xml:space="preserve">The weight-bearing step is a recital and non-binding guidance. A preamble “has no binding legal force and cannot be relied on as a ground for derogating from the actual provisions of the act in question” (</w:t>
      </w:r>
      <w:r>
        <w:rPr>
          <w:i/>
        </w:rPr>
        <w:t xml:space="preserve">Nilsson</w:t>
      </w:r>
      <w:r>
        <w:t xml:space="preserve">, C-162/97, ¶54), nor for interpreting them contrary to their wording (</w:t>
      </w:r>
      <w:r>
        <w:rPr>
          <w:i/>
        </w:rPr>
        <w:t xml:space="preserve">Deutsches Milch-Kontor</w:t>
      </w:r>
      <w:r>
        <w:t xml:space="preserve">, ¶32). The second limb bites unevenly, because Recital 97 has two limbs of its own. Where the own system is</w:t>
      </w:r>
      <w:r>
        <w:t xml:space="preserve"> </w:t>
      </w:r>
      <w:r>
        <w:rPr>
          <w:i/>
        </w:rPr>
        <w:t xml:space="preserve">made available on the market</w:t>
      </w:r>
      <w:r>
        <w:t xml:space="preserve">, the embedded model is supplied for use on the Union market in the course of a commercial activity, which is what Article 3, points (9) and (10) say placing means; that reads as interpretation. Where the own system is merely</w:t>
      </w:r>
      <w:r>
        <w:t xml:space="preserve"> </w:t>
      </w:r>
      <w:r>
        <w:rPr>
          <w:i/>
        </w:rPr>
        <w:t xml:space="preserve">put into service</w:t>
      </w:r>
      <w:r>
        <w:t xml:space="preserve">, nothing is supplied to anyone, and putting into service is the trigger Article 2(1), point (a) withholds from models; that is where a challenge would be argued, and it is the only limb a never-released model could use. The Commission does not rest it on the recital alone—paragraph 51 lists essential internal use among its examples of placing on the market, read with the Blue Guide and Articles 3(9) and (10), which is the extensive reading of ‘making available’ that Pistillo (2026) runs as his second pathway—but whether own use can be a supply is the question, and the enacting text does not settle it. Paragraph 9 of the Guidelines says they are “not binding” but set out the interpretation “</w:t>
      </w:r>
      <w:r>
        <w:rPr>
          <w:b/>
        </w:rPr>
        <w:t xml:space="preserve">on which it will base its enforcement action</w:t>
      </w:r>
      <w:r>
        <w:t xml:space="preserve">”: the reading governs what the Commission will do and remains open to a provider prepared to litigate. Pistillo’s subject is a model deployed internally; this record describes a model never deployed at all, and that is the difference the three facts exist to close.</w:t>
      </w:r>
    </w:p>
    <w:p>
      <w:pPr>
        <w:pStyle w:val="BodyText"/>
      </w:pPr>
      <w:r>
        <w:rPr>
          <w:b/>
        </w:rPr>
        <w:t xml:space="preserve">The objection that outlives a scope finding.</w:t>
      </w:r>
      <w:r>
        <w:t xml:space="preserve"> </w:t>
      </w:r>
      <w:r>
        <w:t xml:space="preserve">Agentic behaviour—persistent goal-seeking, memory, tool invocation—is largely a property of the scaffolding around a model rather than of the weights, and a provider can accept everything above and still say the conduct was the harness’s. It is not the provider’s strongest objection—scope and territory defeat everything, where this defeats attribution under Article 55(1), points (c) and (d) alone—but it survives a scope finding intact. Two things blunt it here. The provider’s own account names the absent safeguards as its own—“system prompts, harnesses, and control mechanisms such as our auto-review models and safety classifiers”</w:t>
      </w:r>
      <w:r>
        <w:t xml:space="preserve"> </w:t>
      </w:r>
      <w:r>
        <w:rPr>
          <w:b/>
        </w:rPr>
        <w:t xml:space="preserve">[T1]</w:t>
      </w:r>
      <w:r>
        <w:t xml:space="preserve">. And Article 3, point (49), Measure 9.3 of the Code and paragraph (100) of the Guidelines all reach involvement that is the model’s “directly or indirectly”. Recorded as</w:t>
      </w:r>
      <w:r>
        <w:t xml:space="preserve"> </w:t>
      </w:r>
      <w:r>
        <w:rPr>
          <w:rStyle w:val="VerbatimChar"/>
        </w:rPr>
        <w:t xml:space="preserve">inf-scaffolding-attribution</w:t>
      </w:r>
      <w:r>
        <w:t xml:space="preserve">, marked contestable.</w:t>
      </w:r>
    </w:p>
    <w:p>
      <w:pPr>
        <w:pStyle w:val="Heading3"/>
      </w:pPr>
      <w:bookmarkStart w:id="29" w:name="X698dc6b171f0d28c195905a5afe79e4fd1ad357"/>
      <w:r>
        <w:t xml:space="preserve">5.2 Timing: the form, and why it cannot show what the clock needs</w:t>
      </w:r>
      <w:bookmarkEnd w:id="29"/>
    </w:p>
    <w:p>
      <w:pPr>
        <w:pStyle w:val="FirstParagraph"/>
      </w:pPr>
      <w:r>
        <w:t xml:space="preserve">Article 55(1), point (c) fixes no period. Measure 9.3 of the Code’s Safety and Security Chapter runs each initial-report period from the date a Signatory becomes aware of its model’s involvement: two days for a serious and irreversible disruption of critical infrastructure,</w:t>
      </w:r>
      <w:r>
        <w:t xml:space="preserve"> </w:t>
      </w:r>
      <w:r>
        <w:rPr>
          <w:b/>
        </w:rPr>
        <w:t xml:space="preserve">five days for “a serious cybersecurity breach, including the (self-)exfiltration of model weights and cyberattacks”</w:t>
      </w:r>
      <w:r>
        <w:t xml:space="preserve">, 10 days for a death, 15 days otherwise; intermediate reports follow “at least every four weeks after the initial report” and a final report “not later than 60 days after the serious incident has been resolved”. The second trigger has</w:t>
      </w:r>
      <w:r>
        <w:t xml:space="preserve"> </w:t>
      </w:r>
      <w:r>
        <w:rPr>
          <w:b/>
        </w:rPr>
        <w:t xml:space="preserve">no counterpart in Article 3, point (49)</w:t>
      </w:r>
      <w:r>
        <w:t xml:space="preserve">, and a model that escapes containment into a third party’s production infrastructure sits inside it far more naturally than inside the property limb. Paragraph (100) of the Guidelines—in the enforcement section—records that the AI Office “considers that this obligation covers serious cybersecurity breaches related to the model or its physical infrastructure, including the (self-)exfiltration of model parameters and cyberattacks”, anchoring it in</w:t>
      </w:r>
      <w:r>
        <w:t xml:space="preserve"> </w:t>
      </w:r>
      <w:r>
        <w:rPr>
          <w:b/>
        </w:rPr>
        <w:t xml:space="preserve">Article 55(1), points (b) and (d)</w:t>
      </w:r>
      <w:r>
        <w:t xml:space="preserve">, so the Article 3(49) limbs need not be reached at all. By Opinion C(2025) 5361 final the Commission concluded that the Code “adequately covers the obligations provided for in</w:t>
      </w:r>
      <w:r>
        <w:t xml:space="preserve"> </w:t>
      </w:r>
      <w:r>
        <w:rPr>
          <w:b/>
        </w:rPr>
        <w:t xml:space="preserve">Articles 53 and 55</w:t>
      </w:r>
      <w:r>
        <w:t xml:space="preserve">”, and at paragraph (33) said Commitment 9 specifies how providers “may” comply, setting out “what</w:t>
      </w:r>
      <w:r>
        <w:t xml:space="preserve"> </w:t>
      </w:r>
      <w:r>
        <w:rPr>
          <w:b/>
        </w:rPr>
        <w:t xml:space="preserve">‘without undue delay’ typically requires</w:t>
      </w:r>
      <w:r>
        <w:t xml:space="preserve"> </w:t>
      </w:r>
      <w:r>
        <w:t xml:space="preserve">of reporting timelines (Measure 9.3)”; “may” and “typically” favour the reading on which it describes the Code rather than construes the Act, which is why</w:t>
      </w:r>
      <w:r>
        <w:t xml:space="preserve"> </w:t>
      </w:r>
      <w:r>
        <w:rPr>
          <w:rStyle w:val="VerbatimChar"/>
        </w:rPr>
        <w:t xml:space="preserve">inf-opinion-construes</w:t>
      </w:r>
      <w:r>
        <w:t xml:space="preserve"> </w:t>
      </w:r>
      <w:r>
        <w:t xml:space="preserve">is marked contestable. The provider is a Signatory—the Commission’s own Vademecum of the Signatory Taskforce lists it—so Measure 9.3’s periods are the ones a report would be measured against; for a provider that was not, only “without undue delay” would apply, with no period at all, which is what Amendment 3 answers.</w:t>
      </w:r>
    </w:p>
    <w:p>
      <w:pPr>
        <w:pStyle w:val="BodyText"/>
      </w:pPr>
      <w:r>
        <w:rPr>
          <w:b/>
        </w:rPr>
        <w:t xml:space="preserve">The form omits the date its clock runs from, because the Code’s list omits it.</w:t>
      </w:r>
      <w:r>
        <w:t xml:space="preserve"> </w:t>
      </w:r>
      <w:r>
        <w:t xml:space="preserve">Appendix F fills the official template of 4 November 2025 from the public record: two fields filled, five partial, three impossible. The template asks the start and end dates of the incident and no other date; “aware”, “awareness”, “deadline” and “timeline” do not occur in it, in either published rendition, checked at the level of the DOCX’s own stored field labels. Fields 1 to 9 transcribe Measure 9.2 item for item, and Measure 9.2 has no awareness item either; paragraph (33) describes that Measure as setting out “which information is relevant for a given serious incident”. The narrower claim needs nothing from paragraph (33): the template says on its face that it demonstrates compliance “</w:t>
      </w:r>
      <w:r>
        <w:rPr>
          <w:b/>
        </w:rPr>
        <w:t xml:space="preserve">as part of Commitment 9</w:t>
      </w:r>
      <w:r>
        <w:t xml:space="preserve">”, every initial-report period in Measure 9.3 runs from awareness, and the form has no awareness field—so on the Code’s own terms it cannot evidence the Code’s own periods. This is not hypothetical: a report on the wiki episode has been filed, the Commission has confirmed receipt, and its spokesperson has declined to disclose the date or the contents.</w:t>
      </w:r>
    </w:p>
    <w:p>
      <w:pPr>
        <w:pStyle w:val="BodyText"/>
      </w:pPr>
      <w:r>
        <w:rPr>
          <w:b/>
        </w:rPr>
        <w:t xml:space="preserve">The Commission has already drafted both fields, for the other regime.</w:t>
      </w:r>
      <w:r>
        <w:t xml:space="preserve"> </w:t>
      </w:r>
      <w:r>
        <w:t xml:space="preserve">Its draft template for</w:t>
      </w:r>
      <w:r>
        <w:t xml:space="preserve"> </w:t>
      </w:r>
      <w:r>
        <w:rPr>
          <w:b/>
        </w:rPr>
        <w:t xml:space="preserve">high-risk AI systems</w:t>
      </w:r>
      <w:r>
        <w:t xml:space="preserve">—which the accompanying draft guidance says expressly is “not dealing with” general-purpose models—asks in section 1.2 for the date of report submission, the date of the incident, the date and time of detection, and the “Manufacturer awareness date of reportability”, and runs to seven pages against two (Appendix F). Three qualifications. The high-risk field asks for awareness of</w:t>
      </w:r>
      <w:r>
        <w:t xml:space="preserve"> </w:t>
      </w:r>
      <w:r>
        <w:rPr>
          <w:i/>
        </w:rPr>
        <w:t xml:space="preserve">reportability</w:t>
      </w:r>
      <w:r>
        <w:t xml:space="preserve">, tracking Article 73(2), where Measure 9.3 runs from awareness of the model’s involvement. Both high-risk documents are consultation drafts of 26 September 2025 with no final version linked as of 12 September 2026. And the regime they serve is not yet in application: Article 73 has applied only since 2 August 2026, Article 75(1a) since 27 July 2026, and the Omnibus deferred the high-risk classification both depend on to 2 December 2027 and 2 August 2028. Article 75(1), point (a) makes the AI Office exclusively competent for AI systems “based on general-purpose AI models where the model and the system are developed by the same provider, or by providers forming part of the same undertaking”, and Article 75(1a) routes those systems’ serious incidents to the same AI Office that Article 55(1), point (c) reaches: one body, two regimes differing in clock, trigger and form, meeting only where the system is high-risk. As a claim about structure that needs nothing from §5.1; as a claim about this incident it needs both the scope finding and the attribution step, and the report keeps the two apart. The comparison is between two drafting choices, not two live regimes—and the amended template closes it from the model side without waiting for either.</w:t>
      </w:r>
    </w:p>
    <w:p>
      <w:pPr>
        <w:pStyle w:val="BodyText"/>
      </w:pPr>
      <w:r>
        <w:rPr>
          <w:b/>
        </w:rPr>
        <w:t xml:space="preserve">Whose obligation this is, and what changes if a provider has not signed.</w:t>
      </w:r>
      <w:r>
        <w:t xml:space="preserve"> </w:t>
      </w:r>
      <w:r>
        <w:t xml:space="preserve">The Code binds Signatories, and this provider is recorded as a full signatory to all chapters without limitation—in a third-party registry and in the Commission’s own Vademecum of the GPAI Signatory Taskforce, whose list of participating signatories is the primary of the two. Two things follow and a third does not. Measure 9.3’s periods run against this provider, and Article 55(2)’s first branch applies, so the artefacts the Code requires should exist. A provider that had not signed would be in the same position on</w:t>
      </w:r>
      <w:r>
        <w:t xml:space="preserve"> </w:t>
      </w:r>
      <w:r>
        <w:rPr>
          <w:b/>
        </w:rPr>
        <w:t xml:space="preserve">what</w:t>
      </w:r>
      <w:r>
        <w:t xml:space="preserve"> </w:t>
      </w:r>
      <w:r>
        <w:t xml:space="preserve">must be reported and a different one on</w:t>
      </w:r>
      <w:r>
        <w:t xml:space="preserve"> </w:t>
      </w:r>
      <w:r>
        <w:rPr>
          <w:b/>
        </w:rPr>
        <w:t xml:space="preserve">when</w:t>
      </w:r>
      <w:r>
        <w:t xml:space="preserve">: Article 55(1), point (c) would give it “without undue delay” and no period at all, while the Guidelines at ¶100 would still bring a serious cybersecurity breach inside the obligation, that being a reading of the Act rather than of the Code. Whether Opinion ¶33 reaches a non-signatory is genuinely open, since the Commission there describes what the statutory phrase “typically requires” rather than what the Code asks of those who sign it. This report does not resolve that, and the instrument is drafted not to need it: Request 11a is conditioned on adherence and Request 12 asks which branch of Article 55(2) the Provider relies on.</w:t>
      </w:r>
    </w:p>
    <w:p>
      <w:pPr>
        <w:pStyle w:val="BodyText"/>
      </w:pPr>
      <w:r>
        <w:rPr>
          <w:b/>
        </w:rPr>
        <w:t xml:space="preserve">And the point generalises, which matters more than this incident.</w:t>
      </w:r>
      <w:r>
        <w:t xml:space="preserve"> </w:t>
      </w:r>
      <w:r>
        <w:t xml:space="preserve">A run of this method against a provider that has not signed—xAI adheres to the Safety and Security chapter alone; Meta and DeepSeek are absent from the list—loses every determinate period and keeps every other row. The timing finding is the one part of this analysis that is signatory-dependent, and a second run should expect to say so in its first paragraph.</w:t>
      </w:r>
    </w:p>
    <w:p>
      <w:pPr>
        <w:pStyle w:val="Heading3"/>
      </w:pPr>
      <w:bookmarkStart w:id="30" w:name="X2d008d3db192e22988d8c9173e3d3320b1f2662"/>
      <w:r>
        <w:t xml:space="preserve">5.3 Classification and characterisation</w:t>
      </w:r>
      <w:bookmarkEnd w:id="30"/>
    </w:p>
    <w:p>
      <w:pPr>
        <w:pStyle w:val="FirstParagraph"/>
      </w:pPr>
      <w:r>
        <w:t xml:space="preserve">For the wider Article 3, point (49) route, limb (b) requires disruption that is “serious</w:t>
      </w:r>
      <w:r>
        <w:t xml:space="preserve"> </w:t>
      </w:r>
      <w:r>
        <w:rPr>
          <w:b/>
        </w:rPr>
        <w:t xml:space="preserve">and irreversible</w:t>
      </w:r>
      <w:r>
        <w:t xml:space="preserve">” and limb (d) “serious harm to property or the environment”. The principal disclosed remediation was one core cluster “wiped and rebuilt from scratch”, which the affected party says it did “as an extra precaution”, with credential rotation across all infrastructure tokens (Hugging Face, 2026). On the disclosed facts limb (b) appears unmet and limb (d) does not resolve: whether a precautionary rebuild is harm to</w:t>
      </w:r>
      <w:r>
        <w:t xml:space="preserve"> </w:t>
      </w:r>
      <w:r>
        <w:rPr>
          <w:i/>
        </w:rPr>
        <w:t xml:space="preserve">property</w:t>
      </w:r>
      <w:r>
        <w:t xml:space="preserve"> </w:t>
      </w:r>
      <w:r>
        <w:t xml:space="preserve">rather than remediation cost is unsettled, and the affected party’s own word for it is the provider-favourable reading. Article 3, point (49) defines ‘serious incident’ by reference to an AI</w:t>
      </w:r>
      <w:r>
        <w:t xml:space="preserve"> </w:t>
      </w:r>
      <w:r>
        <w:rPr>
          <w:b/>
        </w:rPr>
        <w:t xml:space="preserve">system</w:t>
      </w:r>
      <w:r>
        <w:t xml:space="preserve"> </w:t>
      </w:r>
      <w:r>
        <w:t xml:space="preserve">while Article 55(1)(c) binds providers of</w:t>
      </w:r>
      <w:r>
        <w:t xml:space="preserve"> </w:t>
      </w:r>
      <w:r>
        <w:rPr>
          <w:b/>
        </w:rPr>
        <w:t xml:space="preserve">models</w:t>
      </w:r>
      <w:r>
        <w:t xml:space="preserve">; paragraph (100) bridges that in guidance and the enacting text does not.</w:t>
      </w:r>
    </w:p>
    <w:p>
      <w:pPr>
        <w:pStyle w:val="BodyText"/>
      </w:pPr>
      <w:r>
        <w:t xml:space="preserve">The provider’s own account pairs two classifications with two disclosure outcomes—“a traditional security incident response playbook” and disclosure within days for the intrusion; “an instance of misalignment” and disclosure the day after independent publication for the wiki episode—and records no other stated reason for the difference (OpenAI, 2026c). The Regulation does not employ that distinction. On Article 55(1), point (d), the record establishes that containment was circumvented twice, once after a rebuild (OpenAI, 2026b), and not what protection was in place beforehand, which is what “adequate” is measured against. California’s SB 53 §22757.11(c)(1)(B)–(C) describes this conduct closely and its magnitude floor excludes it (California, 2025); those provisions were re-read on 13 September 2026 against the Legislature’s own bill-text page, held and hashed, and the pinpoints hold. The New York RAISE Act is described in the comparative appendix, registered nowhere, and not relied on.</w:t>
      </w:r>
    </w:p>
    <w:p>
      <w:pPr>
        <w:pStyle w:val="Heading2"/>
      </w:pPr>
      <w:bookmarkStart w:id="31" w:name="Xa523fc76f966b9d1dcbf8b02471b9d4d7e45683"/>
      <w:r>
        <w:t xml:space="preserve">6. How it was tested</w:t>
      </w:r>
      <w:bookmarkEnd w:id="31"/>
    </w:p>
    <w:p>
      <w:pPr>
        <w:pStyle w:val="FirstParagraph"/>
      </w:pPr>
      <w:r>
        <w:t xml:space="preserve">Every statutory citation resolves to text verified against the consolidated Regulation (CELEX 02024R1689-20260727), with amendment status taken from the amending act’s own instructions; every quotation of a held document is found in it; every verdict cell is confined to one of three permitted forms and may not state a conclusion of law; every count in prose matches the register it describes; every inference names its premises and its defeater and the graph is acyclic. Six checkers enforce that on every run, and</w:t>
      </w:r>
      <w:r>
        <w:t xml:space="preserve"> </w:t>
      </w:r>
      <w:r>
        <w:rPr>
          <w:rStyle w:val="VerbatimChar"/>
        </w:rPr>
        <w:t xml:space="preserve">python3 tools/infercheck.py --attack</w:t>
      </w:r>
      <w:r>
        <w:t xml:space="preserve"> </w:t>
      </w:r>
      <w:r>
        <w:t xml:space="preserve">prints the load-bearing steps weakest first. Two adversarial passes were run over a finished draft by a model with no sight of the reasoning, a third over the instrument, and a fourth, on the final day, over the whole repository with the held sources open. That last pass found five errors, the largest of them a scope verdict stating one open fact where the route needs three, resting on a premise—a model built to ship—that the provider’s account quoted at §1 denies. A re-verifier for the statutory register (</w:t>
      </w:r>
      <w:r>
        <w:rPr>
          <w:rStyle w:val="VerbatimChar"/>
        </w:rPr>
        <w:t xml:space="preserve">tools/reverify.py</w:t>
      </w:r>
      <w:r>
        <w:t xml:space="preserve">), written the same evening and run once against the consolidated and OJ text layers, found four extracts that were not verbatim in a register whose header said they were; all 55 checkable entries now match, and each carries the date of the check. And a checker for the method’s first rule—no fact may rest on a source nobody holds—written after the second run broke that rule twice in an hour, found three such facts in this run and five sources characterised from pages never fixed; all are now held, and the twenty-sixth log entry records it.</w:t>
      </w:r>
    </w:p>
    <w:p>
      <w:pPr>
        <w:pStyle w:val="BodyText"/>
      </w:pPr>
      <w:r>
        <w:t xml:space="preserve">What is automated is checking, not judgement. The tools will say a citation does not resolve, a quotation is not in the document, a count has drifted, an inference has no named defeater; they will never say an inference is wrong. Every one of the twenty-nine errors in the log passed every check that existed when it was made, and that will remain true on the next incident. What the corrections did to the findings is uneven and should be said: the instrumentation finding—the form has no awareness field—has not moved through any of them; the scope finding has narrowed twice, from “attach” to “attach by a recital” to “attach if three facts hold”, and the narrowing is the finding. The method, the log and the reusable layer are at Appendix H.</w:t>
      </w:r>
    </w:p>
    <w:p>
      <w:pPr>
        <w:pStyle w:val="Heading2"/>
      </w:pPr>
      <w:bookmarkStart w:id="32" w:name="Xe4cc2199386e3b15b08c0c8fc2821fc279926c5"/>
      <w:r>
        <w:t xml:space="preserve">7. Limits, and what comes next</w:t>
      </w:r>
      <w:bookmarkEnd w:id="32"/>
    </w:p>
    <w:p>
      <w:pPr>
        <w:pStyle w:val="FirstParagraph"/>
      </w:pPr>
      <w:r>
        <w:t xml:space="preserve">The method’s ceiling is real: nothing here establishes what happened or that any obligation was contravened, and the three facts the pack turns on are known only to the provider. The author is not a lawyer. The central question is contested and a specialist has published on it (Pistillo, 2026); this report agrees with his conclusion for internal deployment, shares one of his two pathways, and says at §5.1 what his subject and this record do not have in common. The scope conclusion turns on</w:t>
      </w:r>
      <w:r>
        <w:t xml:space="preserve"> </w:t>
      </w:r>
      <w:r>
        <w:rPr>
          <w:rStyle w:val="VerbatimChar"/>
        </w:rPr>
        <w:t xml:space="preserve">inf-attach</w:t>
      </w:r>
      <w:r>
        <w:t xml:space="preserve">,</w:t>
      </w:r>
      <w:r>
        <w:t xml:space="preserve"> </w:t>
      </w:r>
      <w:r>
        <w:rPr>
          <w:rStyle w:val="VerbatimChar"/>
        </w:rPr>
        <w:t xml:space="preserve">inf-relocation</w:t>
      </w:r>
      <w:r>
        <w:t xml:space="preserve"> </w:t>
      </w:r>
      <w:r>
        <w:t xml:space="preserve">and</w:t>
      </w:r>
      <w:r>
        <w:t xml:space="preserve"> </w:t>
      </w:r>
      <w:r>
        <w:rPr>
          <w:rStyle w:val="VerbatimChar"/>
        </w:rPr>
        <w:t xml:space="preserve">inf-placement-event</w:t>
      </w:r>
      <w:r>
        <w:t xml:space="preserve">; the timing conclusion on</w:t>
      </w:r>
      <w:r>
        <w:t xml:space="preserve"> </w:t>
      </w:r>
      <w:r>
        <w:rPr>
          <w:rStyle w:val="VerbatimChar"/>
        </w:rPr>
        <w:t xml:space="preserve">inf-opinion-construes</w:t>
      </w:r>
      <w:r>
        <w:t xml:space="preserve">. The four steps the register marks contestable, weakest first, with what would defeat each:</w:t>
      </w:r>
      <w:r>
        <w:t xml:space="preserve"> </w:t>
      </w:r>
      <w:r>
        <w:rPr>
          <w:rStyle w:val="VerbatimChar"/>
        </w:rPr>
        <w:t xml:space="preserve">inf-placement-event</w:t>
      </w:r>
      <w:r>
        <w:t xml:space="preserve">—the record already denies one of its three routes, and Requests 2b and 4a are what would establish another;</w:t>
      </w:r>
      <w:r>
        <w:t xml:space="preserve"> </w:t>
      </w:r>
      <w:r>
        <w:rPr>
          <w:rStyle w:val="VerbatimChar"/>
        </w:rPr>
        <w:t xml:space="preserve">inf-union-nexus</w:t>
      </w:r>
      <w:r>
        <w:t xml:space="preserve">—nothing in the record addresses it, and a third-country provider is where it bites;</w:t>
      </w:r>
      <w:r>
        <w:t xml:space="preserve"> </w:t>
      </w:r>
      <w:r>
        <w:rPr>
          <w:rStyle w:val="VerbatimChar"/>
        </w:rPr>
        <w:t xml:space="preserve">inf-opinion-construes</w:t>
      </w:r>
      <w:r>
        <w:t xml:space="preserve">—the competing reading that Opinion ¶(33) summarises the Code rather than construes the Act, favoured by “may” and “typically”;</w:t>
      </w:r>
      <w:r>
        <w:t xml:space="preserve"> </w:t>
      </w:r>
      <w:r>
        <w:rPr>
          <w:rStyle w:val="VerbatimChar"/>
        </w:rPr>
        <w:t xml:space="preserve">inf-scaffolding-attribution</w:t>
      </w:r>
      <w:r>
        <w:t xml:space="preserve">—that the harness was another actor’s, blunted here by the provider’s own account and by “directly or indirectly” in every applicable instrument. The full list is</w:t>
      </w:r>
      <w:r>
        <w:t xml:space="preserve"> </w:t>
      </w:r>
      <w:r>
        <w:rPr>
          <w:rStyle w:val="VerbatimChar"/>
        </w:rPr>
        <w:t xml:space="preserve">instrument/what-the-provider-will-say.md</w:t>
      </w:r>
      <w:r>
        <w:t xml:space="preserve">.</w:t>
      </w:r>
    </w:p>
    <w:p>
      <w:pPr>
        <w:pStyle w:val="BodyText"/>
      </w:pPr>
      <w:r>
        <w:t xml:space="preserve">A second run exists:</w:t>
      </w:r>
      <w:r>
        <w:t xml:space="preserve"> </w:t>
      </w:r>
      <w:r>
        <w:rPr>
          <w:rStyle w:val="VerbatimChar"/>
        </w:rPr>
        <w:t xml:space="preserve">runs/anthropic-cyber-evals-2026/</w:t>
      </w:r>
      <w:r>
        <w:t xml:space="preserve"> </w:t>
      </w:r>
      <w:r>
        <w:t xml:space="preserve">applies the same apparatus, in one evening and on ten held documents, to a different provider’s incidents disclosed on 30 July and 9 September 2026, and its run report at</w:t>
      </w:r>
      <w:r>
        <w:t xml:space="preserve"> </w:t>
      </w:r>
      <w:r>
        <w:rPr>
          <w:rStyle w:val="VerbatimChar"/>
        </w:rPr>
        <w:t xml:space="preserve">runs/anthropic-cyber-evals-2026/docs/run-report.md</w:t>
      </w:r>
      <w:r>
        <w:t xml:space="preserve"> </w:t>
      </w:r>
      <w:r>
        <w:t xml:space="preserve">records what transferred and what did not. The internal-model scope question arrives unchanged; the scaffolding objection arrives at full strength exactly as the first run’s register predicted, then splits when the primary is opened; the date of awareness the Commission’s form does not ask is, for once, public; the facts-versus-characterisation split absorbed the provider’s own September revision of its July account without a row changing; and one evaluator’s misconfiguration turns out to have reached three providers’ models, which is a gap in the Act the first incident could not show. The run made the method’s signature error twice in its first hour and logged both. A month of follow-up would add: the affected organisations’ side of that run; whether the affected platform provides an essential service within a CER Annex sector; the Article 3(1)/3(63) bridging question; a source entry for the New York RAISE Act; and the revision history of the July disclosure.</w:t>
      </w:r>
    </w:p>
    <w:p>
      <w:pPr>
        <w:pStyle w:val="Heading2"/>
      </w:pPr>
      <w:bookmarkStart w:id="33" w:name="reference-list"/>
      <w:r>
        <w:t xml:space="preserve">Reference list</w:t>
      </w:r>
      <w:bookmarkEnd w:id="33"/>
    </w:p>
    <w:p>
      <w:pPr>
        <w:pStyle w:val="FirstParagraph"/>
      </w:pPr>
      <w:r>
        <w:t xml:space="preserve">Agence Europe (2026) ‘European Commission sends first requests for information to more than 30 AI providers’,</w:t>
      </w:r>
      <w:r>
        <w:t xml:space="preserve"> </w:t>
      </w:r>
      <w:r>
        <w:rPr>
          <w:i/>
        </w:rPr>
        <w:t xml:space="preserve">Europe Daily Bulletin</w:t>
      </w:r>
      <w:r>
        <w:t xml:space="preserve">, No. 13929, 3 September. Available at:</w:t>
      </w:r>
      <w:r>
        <w:t xml:space="preserve"> </w:t>
      </w:r>
      <w:hyperlink r:id="rId34">
        <w:r>
          <w:rPr>
            <w:rStyle w:val="Hyperlink"/>
          </w:rPr>
          <w:t xml:space="preserve">https://agenceurope.eu/en/bulletin/article/13929/31/european-commission-sends-first-requests-for-information-to-more-than-30-ai-providers</w:t>
        </w:r>
      </w:hyperlink>
      <w:r>
        <w:t xml:space="preserve"> </w:t>
      </w:r>
      <w:r>
        <w:t xml:space="preserve">(Accessed: 13 September 2026).</w:t>
      </w:r>
    </w:p>
    <w:p>
      <w:pPr>
        <w:pStyle w:val="BodyText"/>
      </w:pPr>
      <w:r>
        <w:t xml:space="preserve">Anthropic (2026)</w:t>
      </w:r>
      <w:r>
        <w:t xml:space="preserve"> </w:t>
      </w:r>
      <w:r>
        <w:rPr>
          <w:i/>
        </w:rPr>
        <w:t xml:space="preserve">Investigating real-world incidents in our cybersecurity evaluations</w:t>
      </w:r>
      <w:r>
        <w:t xml:space="preserve">. 30 July. Available at:</w:t>
      </w:r>
      <w:r>
        <w:t xml:space="preserve"> </w:t>
      </w:r>
      <w:hyperlink r:id="rId35">
        <w:r>
          <w:rPr>
            <w:rStyle w:val="Hyperlink"/>
          </w:rPr>
          <w:t xml:space="preserve">https://www.anthropic.com/research/investigating-incidents-cybersecurity-evals</w:t>
        </w:r>
      </w:hyperlink>
      <w:r>
        <w:t xml:space="preserve"> </w:t>
      </w:r>
      <w:r>
        <w:t xml:space="preserve">(Accessed: 11 September 2026).</w:t>
      </w:r>
    </w:p>
    <w:p>
      <w:pPr>
        <w:pStyle w:val="BodyText"/>
      </w:pPr>
      <w:r>
        <w:t xml:space="preserve">California (2025)</w:t>
      </w:r>
      <w:r>
        <w:t xml:space="preserve"> </w:t>
      </w:r>
      <w:r>
        <w:rPr>
          <w:i/>
        </w:rPr>
        <w:t xml:space="preserve">Senate Bill 53: Transparency in Frontier Artificial Intelligence Act</w:t>
      </w:r>
      <w:r>
        <w:t xml:space="preserve">. Sacramento: California State Legislature. Available at:</w:t>
      </w:r>
      <w:r>
        <w:t xml:space="preserve"> </w:t>
      </w:r>
      <w:hyperlink r:id="rId36">
        <w:r>
          <w:rPr>
            <w:rStyle w:val="Hyperlink"/>
          </w:rPr>
          <w:t xml:space="preserve">https://leginfo.legislature.ca.gov/faces/billTextClient.xhtml?bill_id=202520260SB53</w:t>
        </w:r>
      </w:hyperlink>
      <w:r>
        <w:t xml:space="preserve"> </w:t>
      </w:r>
      <w:r>
        <w:t xml:space="preserve">(Accessed: 11 September 2026).</w:t>
      </w:r>
    </w:p>
    <w:p>
      <w:pPr>
        <w:pStyle w:val="BodyText"/>
      </w:pPr>
      <w:r>
        <w:t xml:space="preserve">Cloud Security Alliance (2026)</w:t>
      </w:r>
      <w:r>
        <w:t xml:space="preserve"> </w:t>
      </w:r>
      <w:r>
        <w:rPr>
          <w:i/>
        </w:rPr>
        <w:t xml:space="preserve">Research note: AI incident disclosure gap, EU AI Act</w:t>
      </w:r>
      <w:r>
        <w:t xml:space="preserve">. Available at:</w:t>
      </w:r>
      <w:r>
        <w:t xml:space="preserve"> </w:t>
      </w:r>
      <w:hyperlink r:id="rId37">
        <w:r>
          <w:rPr>
            <w:rStyle w:val="Hyperlink"/>
          </w:rPr>
          <w:t xml:space="preserve">https://labs.cloudsecurityalliance.org/research/csa-research-note-ai-incident-disclosure-gap-eu-ai-act-20260/</w:t>
        </w:r>
      </w:hyperlink>
      <w:r>
        <w:t xml:space="preserve"> </w:t>
      </w:r>
      <w:r>
        <w:t xml:space="preserve">(Accessed: 11 September 2026).</w:t>
      </w:r>
    </w:p>
    <w:p>
      <w:pPr>
        <w:pStyle w:val="BodyText"/>
      </w:pPr>
      <w:r>
        <w:t xml:space="preserve">Directive (EU) 2022/2557 of the European Parliament and of the Council of 14 December 2022 on the resilience of critical entities, OJ L 333, 27.12.2022, p. 164. ELI:</w:t>
      </w:r>
      <w:r>
        <w:t xml:space="preserve"> </w:t>
      </w:r>
      <w:hyperlink r:id="rId38">
        <w:r>
          <w:rPr>
            <w:rStyle w:val="Hyperlink"/>
          </w:rPr>
          <w:t xml:space="preserve">http://data.europa.eu/eli/dir/2022/2557/oj</w:t>
        </w:r>
      </w:hyperlink>
    </w:p>
    <w:p>
      <w:pPr>
        <w:pStyle w:val="BodyText"/>
      </w:pPr>
      <w:r>
        <w:t xml:space="preserve">European Commission (2026a)</w:t>
      </w:r>
      <w:r>
        <w:t xml:space="preserve"> </w:t>
      </w:r>
      <w:r>
        <w:rPr>
          <w:i/>
        </w:rPr>
        <w:t xml:space="preserve">General-purpose AI models in the AI Act: questions and answers</w:t>
      </w:r>
      <w:r>
        <w:t xml:space="preserve">. Available at:</w:t>
      </w:r>
      <w:r>
        <w:t xml:space="preserve"> </w:t>
      </w:r>
      <w:hyperlink r:id="rId39">
        <w:r>
          <w:rPr>
            <w:rStyle w:val="Hyperlink"/>
          </w:rPr>
          <w:t xml:space="preserve">https://digital-strategy.ec.europa.eu/en/faqs/general-purpose-ai-models-ai-act-questions-answers</w:t>
        </w:r>
      </w:hyperlink>
      <w:r>
        <w:t xml:space="preserve"> </w:t>
      </w:r>
      <w:r>
        <w:t xml:space="preserve">(Accessed: 11 September 2026).</w:t>
      </w:r>
    </w:p>
    <w:p>
      <w:pPr>
        <w:pStyle w:val="BodyText"/>
      </w:pPr>
      <w:r>
        <w:t xml:space="preserve">European Commission (2025)</w:t>
      </w:r>
      <w:r>
        <w:t xml:space="preserve"> </w:t>
      </w:r>
      <w:r>
        <w:rPr>
          <w:i/>
        </w:rPr>
        <w:t xml:space="preserve">Commission guidelines on the scope of the obligations for providers of general-purpose AI models established by Regulation (EU) 2024/1689 (AI Act)</w:t>
      </w:r>
      <w:r>
        <w:t xml:space="preserve">. C(2025) 7719 final. Brussels, 19 November.</w:t>
      </w:r>
    </w:p>
    <w:p>
      <w:pPr>
        <w:pStyle w:val="BodyText"/>
      </w:pPr>
      <w:r>
        <w:t xml:space="preserve">European Commission (2026b) Statement of spokesperson T. Regnier on the DseWiki filing, 7 September. Reported in</w:t>
      </w:r>
      <w:r>
        <w:t xml:space="preserve"> </w:t>
      </w:r>
      <w:r>
        <w:rPr>
          <w:i/>
        </w:rPr>
        <w:t xml:space="preserve">International Business Times UK</w:t>
      </w:r>
      <w:r>
        <w:t xml:space="preserve">. Available at:</w:t>
      </w:r>
      <w:r>
        <w:t xml:space="preserve"> </w:t>
      </w:r>
      <w:hyperlink r:id="rId40">
        <w:r>
          <w:rPr>
            <w:rStyle w:val="Hyperlink"/>
          </w:rPr>
          <w:t xml:space="preserve">https://www.ibtimes.co.uk/openai-eu-scrutiny-dsewiki-incident-1818384</w:t>
        </w:r>
      </w:hyperlink>
      <w:r>
        <w:t xml:space="preserve"> </w:t>
      </w:r>
      <w:r>
        <w:t xml:space="preserve">(Accessed: 11 September 2026).</w:t>
      </w:r>
    </w:p>
    <w:p>
      <w:pPr>
        <w:pStyle w:val="BodyText"/>
      </w:pPr>
      <w:r>
        <w:t xml:space="preserve">Hugging Face (2026)</w:t>
      </w:r>
      <w:r>
        <w:t xml:space="preserve"> </w:t>
      </w:r>
      <w:r>
        <w:rPr>
          <w:i/>
        </w:rPr>
        <w:t xml:space="preserve">Anatomy of a frontier lab agent intrusion: a technical timeline of the July 2026 incident</w:t>
      </w:r>
      <w:r>
        <w:t xml:space="preserve">. 27 July. Available at:</w:t>
      </w:r>
      <w:r>
        <w:t xml:space="preserve"> </w:t>
      </w:r>
      <w:hyperlink r:id="rId41">
        <w:r>
          <w:rPr>
            <w:rStyle w:val="Hyperlink"/>
          </w:rPr>
          <w:t xml:space="preserve">https://huggingface.co/blog/agent-intrusion-technical-timeline</w:t>
        </w:r>
      </w:hyperlink>
      <w:r>
        <w:t xml:space="preserve"> </w:t>
      </w:r>
      <w:r>
        <w:t xml:space="preserve">(Accessed: 11 September 2026).</w:t>
      </w:r>
    </w:p>
    <w:p>
      <w:pPr>
        <w:pStyle w:val="BodyText"/>
      </w:pPr>
      <w:r>
        <w:t xml:space="preserve">METR and Redwood Research (2026)</w:t>
      </w:r>
      <w:r>
        <w:t xml:space="preserve"> </w:t>
      </w:r>
      <w:r>
        <w:rPr>
          <w:i/>
        </w:rPr>
        <w:t xml:space="preserve">Brief independent investigation of agents’ behavior, reasoning and collaboration in the OpenAI / Hugging Face hacking incident</w:t>
      </w:r>
      <w:r>
        <w:t xml:space="preserve">. 26 August. Available at:</w:t>
      </w:r>
      <w:r>
        <w:t xml:space="preserve"> </w:t>
      </w:r>
      <w:hyperlink r:id="rId42">
        <w:r>
          <w:rPr>
            <w:rStyle w:val="Hyperlink"/>
          </w:rPr>
          <w:t xml:space="preserve">https://metr.org/blog/2026-08-26-openai-hugging-face-incident-investigation/</w:t>
        </w:r>
      </w:hyperlink>
      <w:r>
        <w:t xml:space="preserve"> </w:t>
      </w:r>
      <w:r>
        <w:t xml:space="preserve">(Accessed: 11 September 2026).</w:t>
      </w:r>
    </w:p>
    <w:p>
      <w:pPr>
        <w:pStyle w:val="BodyText"/>
      </w:pPr>
      <w:r>
        <w:t xml:space="preserve">OpenAI (2026a)</w:t>
      </w:r>
      <w:r>
        <w:t xml:space="preserve"> </w:t>
      </w:r>
      <w:r>
        <w:rPr>
          <w:i/>
        </w:rPr>
        <w:t xml:space="preserve">OpenAI and Hugging Face partner to address security incident during model evaluation</w:t>
      </w:r>
      <w:r>
        <w:t xml:space="preserve">. 21 July, revised 28–29 July. Available at:</w:t>
      </w:r>
      <w:r>
        <w:t xml:space="preserve"> </w:t>
      </w:r>
      <w:hyperlink r:id="rId43">
        <w:r>
          <w:rPr>
            <w:rStyle w:val="Hyperlink"/>
          </w:rPr>
          <w:t xml:space="preserve">https://openai.com/index/hugging-face-model-evaluation-security-incident/</w:t>
        </w:r>
      </w:hyperlink>
      <w:r>
        <w:t xml:space="preserve"> </w:t>
      </w:r>
      <w:r>
        <w:t xml:space="preserve">(Accessed: 11 September 2026).</w:t>
      </w:r>
    </w:p>
    <w:p>
      <w:pPr>
        <w:pStyle w:val="BodyText"/>
      </w:pPr>
      <w:r>
        <w:t xml:space="preserve">OpenAI (2026b)</w:t>
      </w:r>
      <w:r>
        <w:t xml:space="preserve"> </w:t>
      </w:r>
      <w:r>
        <w:rPr>
          <w:i/>
        </w:rPr>
        <w:t xml:space="preserve">The Hugging Face incident and the road ahead</w:t>
      </w:r>
      <w:r>
        <w:t xml:space="preserve">. 26 August. Available at:</w:t>
      </w:r>
      <w:r>
        <w:t xml:space="preserve"> </w:t>
      </w:r>
      <w:hyperlink r:id="rId44">
        <w:r>
          <w:rPr>
            <w:rStyle w:val="Hyperlink"/>
          </w:rPr>
          <w:t xml:space="preserve">https://openai.com/index/hugging-face-incident-and-the-road-ahead/</w:t>
        </w:r>
      </w:hyperlink>
      <w:r>
        <w:t xml:space="preserve"> </w:t>
      </w:r>
      <w:r>
        <w:t xml:space="preserve">(Accessed: 11 September 2026).</w:t>
      </w:r>
    </w:p>
    <w:p>
      <w:pPr>
        <w:pStyle w:val="BodyText"/>
      </w:pPr>
      <w:r>
        <w:t xml:space="preserve">OpenAI (2026c) Public acknowledgment of the wiki incident, 5 September. Reported in</w:t>
      </w:r>
      <w:r>
        <w:t xml:space="preserve"> </w:t>
      </w:r>
      <w:r>
        <w:rPr>
          <w:i/>
        </w:rPr>
        <w:t xml:space="preserve">TechCrunch</w:t>
      </w:r>
      <w:r>
        <w:t xml:space="preserve">. Available at:</w:t>
      </w:r>
      <w:r>
        <w:t xml:space="preserve"> </w:t>
      </w:r>
      <w:hyperlink r:id="rId45">
        <w:r>
          <w:rPr>
            <w:rStyle w:val="Hyperlink"/>
          </w:rPr>
          <w:t xml:space="preserve">https://techcrunch.com/2026/09/05/openai-confirms-wiki-incident-says-its-working-on-a-framework-for-more-disclosure/</w:t>
        </w:r>
      </w:hyperlink>
      <w:r>
        <w:t xml:space="preserve"> </w:t>
      </w:r>
      <w:r>
        <w:t xml:space="preserve">(Accessed: 11 September 2026).</w:t>
      </w:r>
    </w:p>
    <w:p>
      <w:pPr>
        <w:pStyle w:val="BodyText"/>
      </w:pPr>
      <w:r>
        <w:t xml:space="preserve">Pistillo, M. (2026)</w:t>
      </w:r>
      <w:r>
        <w:t xml:space="preserve"> </w:t>
      </w:r>
      <w:r>
        <w:rPr>
          <w:i/>
        </w:rPr>
        <w:t xml:space="preserve">Internal deployment in the AI Act</w:t>
      </w:r>
      <w:r>
        <w:t xml:space="preserve">. Chapter for the</w:t>
      </w:r>
      <w:r>
        <w:t xml:space="preserve"> </w:t>
      </w:r>
      <w:r>
        <w:rPr>
          <w:i/>
        </w:rPr>
        <w:t xml:space="preserve">Cambridge Commentary on EU General-Purpose AI Law</w:t>
      </w:r>
      <w:r>
        <w:t xml:space="preserve">. arXiv:2512.05742 [v4, 10 August 2026]. doi: 10.48550/arXiv.2512.05742. First posted 5 December 2025; revised 26 January, 20 May and 10 August 2026. Cited at v4, the version consulted, identified by byte size; copy held, SHA-256</w:t>
      </w:r>
      <w:r>
        <w:t xml:space="preserve"> </w:t>
      </w:r>
      <w:r>
        <w:rPr>
          <w:rStyle w:val="VerbatimChar"/>
        </w:rPr>
        <w:t xml:space="preserve">00436de5…3e7472</w:t>
      </w:r>
      <w:r>
        <w:t xml:space="preserve">. Note that the title block of v4 reads “Submitted: May 2026”, which is the chapter’s submission date and not its posting date.</w:t>
      </w:r>
    </w:p>
    <w:p>
      <w:pPr>
        <w:pStyle w:val="BodyText"/>
      </w:pPr>
      <w:r>
        <w:t xml:space="preserve">Regulation (EU) 2024/1689 of the European Parliament and of the Council of 13 June 2024 laying down harmonised rules on artificial intelligence, OJ L, 2024/1689, 12.7.2024. Consolidated text CELEX 02024R1689-20260727, as amended by Regulation (EU) 2026/1744. ELI:</w:t>
      </w:r>
      <w:r>
        <w:t xml:space="preserve"> </w:t>
      </w:r>
      <w:hyperlink r:id="rId46">
        <w:r>
          <w:rPr>
            <w:rStyle w:val="Hyperlink"/>
          </w:rPr>
          <w:t xml:space="preserve">http://data.europa.eu/eli/reg/2024/1689/oj</w:t>
        </w:r>
      </w:hyperlink>
    </w:p>
    <w:p>
      <w:pPr>
        <w:pStyle w:val="BodyText"/>
      </w:pPr>
      <w:r>
        <w:t xml:space="preserve">UK AI Security Institute (2026) Findings on frontier model behaviour in cyber evaluations, July. Reported by Cloud Security Alliance. Available at:</w:t>
      </w:r>
      <w:r>
        <w:t xml:space="preserve"> </w:t>
      </w:r>
      <w:hyperlink r:id="rId47">
        <w:r>
          <w:rPr>
            <w:rStyle w:val="Hyperlink"/>
          </w:rPr>
          <w:t xml:space="preserve">https://cloudsecurityalliance.org/artifacts/every-frontier-model-cheated-what-aisi-s-findings-mean-for-trust</w:t>
        </w:r>
      </w:hyperlink>
      <w:r>
        <w:t xml:space="preserve"> </w:t>
      </w:r>
      <w:r>
        <w:t xml:space="preserve">(Accessed: 11 September 2026).</w:t>
      </w:r>
    </w:p>
    <w:p>
      <w:pPr>
        <w:pStyle w:val="BodyText"/>
      </w:pPr>
      <w:r>
        <w:t xml:space="preserve">Uuk, R. (2026) ‘The EU AI Act Newsletter #110: Powers in Practice’, 8 September. Future of Life Institute. Available at:</w:t>
      </w:r>
      <w:r>
        <w:t xml:space="preserve"> </w:t>
      </w:r>
      <w:hyperlink r:id="rId48">
        <w:r>
          <w:rPr>
            <w:rStyle w:val="Hyperlink"/>
          </w:rPr>
          <w:t xml:space="preserve">https://artificialintelligenceact.substack.com/p/the-eu-ai-act-newsletter-110-powers</w:t>
        </w:r>
      </w:hyperlink>
      <w:r>
        <w:t xml:space="preserve"> </w:t>
      </w:r>
      <w:r>
        <w:t xml:space="preserve">(Accessed: 13 September 2026).</w:t>
      </w:r>
    </w:p>
    <w:p>
      <w:pPr>
        <w:pStyle w:val="BodyText"/>
      </w:pPr>
      <w:r>
        <w:t xml:space="preserve">Von Arx, S. et al. (2026)</w:t>
      </w:r>
      <w:r>
        <w:t xml:space="preserve"> </w:t>
      </w:r>
      <w:r>
        <w:rPr>
          <w:i/>
        </w:rPr>
        <w:t xml:space="preserve">DseWiki incident analysis</w:t>
      </w:r>
      <w:r>
        <w:t xml:space="preserve">. 4 September. Available at:</w:t>
      </w:r>
      <w:r>
        <w:t xml:space="preserve"> </w:t>
      </w:r>
      <w:hyperlink r:id="rId49">
        <w:r>
          <w:rPr>
            <w:rStyle w:val="Hyperlink"/>
          </w:rPr>
          <w:t xml:space="preserve">https://collusion.wiki/</w:t>
        </w:r>
      </w:hyperlink>
      <w:r>
        <w:t xml:space="preserve"> </w:t>
      </w:r>
      <w:r>
        <w:t xml:space="preserve">(Accessed: 11 September 2026). Archived at:</w:t>
      </w:r>
      <w:r>
        <w:t xml:space="preserve"> </w:t>
      </w:r>
      <w:hyperlink r:id="rId50">
        <w:r>
          <w:rPr>
            <w:rStyle w:val="Hyperlink"/>
          </w:rPr>
          <w:t xml:space="preserve">https://web.archive.org/web/20260912133451/https://collusion.wiki/</w:t>
        </w:r>
      </w:hyperlink>
      <w:r>
        <w:t xml:space="preserve"> </w:t>
      </w:r>
      <w:r>
        <w:t xml:space="preserve">(Archived: 12 September 2026). The page was bylined 3 September when first captured on 4 September 2026; the figures cited here are identical in both captures.</w:t>
      </w:r>
    </w:p>
    <w:p>
      <w:pPr>
        <w:pStyle w:val="BodyText"/>
      </w:pPr>
      <w:r>
        <w:rPr>
          <w:i/>
        </w:rPr>
        <w:t xml:space="preserve">Pinpoint citations, source tiering and negative-search notes are held in</w:t>
      </w:r>
      <w:r>
        <w:rPr>
          <w:i/>
        </w:rPr>
        <w:t xml:space="preserve"> </w:t>
      </w:r>
      <w:r>
        <w:rPr>
          <w:rStyle w:val="VerbatimChar"/>
          <w:i/>
        </w:rPr>
        <w:t xml:space="preserve">data/sources.yaml</w:t>
      </w:r>
      <w:r>
        <w:rPr>
          <w:i/>
        </w:rPr>
        <w:t xml:space="preserve">.</w:t>
      </w:r>
    </w:p>
    <w:p>
      <w:r>
        <w:pict>
          <v:rect style="width:0;height:1.5pt" o:hralign="center" o:hrstd="t" o:hr="t"/>
        </w:pict>
      </w:r>
    </w:p>
    <w:p>
      <w:pPr>
        <w:pStyle w:val="Heading2"/>
      </w:pPr>
      <w:bookmarkStart w:id="51" w:name="Xd30e20a051985fc8e754502360db59eb120ca9e"/>
      <w:r>
        <w:t xml:space="preserve">Appendix A: Limitations and dual-use considerations</w:t>
      </w:r>
      <w:r>
        <w:t xml:space="preserve"> </w:t>
      </w:r>
      <w:r>
        <w:rPr>
          <w:i/>
        </w:rPr>
        <w:t xml:space="preserve">(required)</w:t>
      </w:r>
      <w:bookmarkEnd w:id="51"/>
    </w:p>
    <w:p>
      <w:pPr>
        <w:pStyle w:val="Heading3"/>
      </w:pPr>
      <w:bookmarkStart w:id="52" w:name="a1-what-this-cannot-establish"/>
      <w:r>
        <w:t xml:space="preserve">A.1 What this cannot establish</w:t>
      </w:r>
      <w:bookmarkEnd w:id="52"/>
    </w:p>
    <w:p>
      <w:pPr>
        <w:pStyle w:val="FirstParagraph"/>
      </w:pPr>
      <w:r>
        <w:t xml:space="preserve">It cannot establish what occurred. Every verdict is a claim about a disclosed record assembled by interested parties.</w:t>
      </w:r>
    </w:p>
    <w:p>
      <w:pPr>
        <w:pStyle w:val="BodyText"/>
      </w:pPr>
      <w:r>
        <w:t xml:space="preserve">It cannot establish contravention. No finding is made or invited.</w:t>
      </w:r>
    </w:p>
    <w:p>
      <w:pPr>
        <w:pStyle w:val="BodyText"/>
      </w:pPr>
      <w:r>
        <w:t xml:space="preserve">It cannot resolve the facts on which everything turns. The model’s training compute is known only to the provider; whether the model was ever integrated into an own system put into service, or shares a pre-training run with a model that was placed, is known only to the provider; and no account places any such system in the Union. If any of the three fails, most of this analysis falls away, and the report says so rather than hedging.</w:t>
      </w:r>
    </w:p>
    <w:p>
      <w:pPr>
        <w:pStyle w:val="BodyText"/>
      </w:pPr>
      <w:r>
        <w:t xml:space="preserve">It cannot settle the scope argument. A provider could run the textual reading, and the Commission’s Q&amp;A disclaims authority to interpret the Act.</w:t>
      </w:r>
    </w:p>
    <w:p>
      <w:pPr>
        <w:pStyle w:val="Heading3"/>
      </w:pPr>
      <w:bookmarkStart w:id="53" w:name="a2-access-asymmetry"/>
      <w:r>
        <w:t xml:space="preserve">A.2 Access asymmetry</w:t>
      </w:r>
      <w:bookmarkEnd w:id="53"/>
    </w:p>
    <w:p>
      <w:pPr>
        <w:pStyle w:val="FirstParagraph"/>
      </w:pPr>
      <w:r>
        <w:t xml:space="preserve">The parties able to resolve most rows are the ones whose conduct is in question. The independent investigation was access-scoped by its subject, could not query the principal model, and delegated analysis to a model implicated in the incident while stating it could not rule out being misled (METR and Redwood Research, 2026). Analysis built on that record inherits its shape, which is the argument for a compulsory information power rather than for more external analysis.</w:t>
      </w:r>
    </w:p>
    <w:p>
      <w:pPr>
        <w:pStyle w:val="Heading3"/>
      </w:pPr>
      <w:bookmarkStart w:id="54" w:name="Xe9b575d18f7190753dea57c3b0b08ecacf791fc"/>
      <w:r>
        <w:t xml:space="preserve">A.3 Dual use: aggregation rather than disclosure</w:t>
      </w:r>
      <w:bookmarkEnd w:id="54"/>
    </w:p>
    <w:p>
      <w:pPr>
        <w:pStyle w:val="FirstParagraph"/>
      </w:pPr>
      <w:r>
        <w:t xml:space="preserve">The exploit chain is already public (Hugging Face, 2026). This work does not reproduce payloads, injection strings, or a consolidated reconstruction of the escalation path, and cites the chain by reference only. The same facts scattered across a vendor post and an incident timeline are a different artifact from those facts assembled and annotated in one place; assembly adds the operational value, and regulatory analysis needs the category of vulnerability rather than the working detail.</w:t>
      </w:r>
    </w:p>
    <w:p>
      <w:pPr>
        <w:pStyle w:val="Heading3"/>
      </w:pPr>
      <w:bookmarkStart w:id="55" w:name="a4-dual-use-the-instrument"/>
      <w:r>
        <w:t xml:space="preserve">A.4 Dual use: the instrument</w:t>
      </w:r>
      <w:bookmarkEnd w:id="55"/>
    </w:p>
    <w:p>
      <w:pPr>
        <w:pStyle w:val="FirstParagraph"/>
      </w:pPr>
      <w:r>
        <w:t xml:space="preserve">A well-formed regulatory instrument can be misused, to lend false authority or to harass through procedurally correct but empty demands. Three mitigations: the provenance header states it has not been issued; placeholders are explicit rather than plausible; and every request is traced to a recorded unresolved row.</w:t>
      </w:r>
    </w:p>
    <w:p>
      <w:pPr>
        <w:pStyle w:val="Heading3"/>
      </w:pPr>
      <w:bookmarkStart w:id="56" w:name="a5-dual-use-the-scope-analysis"/>
      <w:r>
        <w:t xml:space="preserve">A.5 Dual use: the scope analysis</w:t>
      </w:r>
      <w:bookmarkEnd w:id="56"/>
    </w:p>
    <w:p>
      <w:pPr>
        <w:pStyle w:val="FirstParagraph"/>
      </w:pPr>
      <w:r>
        <w:t xml:space="preserve">§5.1 sets out the strongest textual argument available to a provider seeking to place a pre-market research model outside the Regulation. It is published anyway. The argument is derivable by anyone who reads Articles 2(1)(a), 3(9) to (11) and 3(63) together, and it is already in the literature (Pistillo, 2026), so publication confers no advantage a competent adviser does not hold. A fragility that regulators can see is less dangerous than one they cannot, and the amendment table at</w:t>
      </w:r>
      <w:r>
        <w:t xml:space="preserve"> </w:t>
      </w:r>
      <w:r>
        <w:rPr>
          <w:rStyle w:val="VerbatimChar"/>
        </w:rPr>
        <w:t xml:space="preserve">instrument/amendment-table.md</w:t>
      </w:r>
      <w:r>
        <w:t xml:space="preserve"> </w:t>
      </w:r>
      <w:r>
        <w:t xml:space="preserve">is narrow and available.</w:t>
      </w:r>
    </w:p>
    <w:p>
      <w:pPr>
        <w:pStyle w:val="Heading3"/>
      </w:pPr>
      <w:bookmarkStart w:id="57" w:name="a6-even-handedness"/>
      <w:r>
        <w:t xml:space="preserve">A.6 Even-handedness</w:t>
      </w:r>
      <w:bookmarkEnd w:id="57"/>
    </w:p>
    <w:p>
      <w:pPr>
        <w:pStyle w:val="FirstParagraph"/>
      </w:pPr>
      <w:r>
        <w:t xml:space="preserve">Two developers’ self-reports are registered at the same tier with the same reservations. The author has an application pending with one of them. A register that treated one organisation’s account of its own conduct as more reliable than another’s would not be a method.</w:t>
      </w:r>
    </w:p>
    <w:p>
      <w:pPr>
        <w:pStyle w:val="Heading2"/>
      </w:pPr>
      <w:bookmarkStart w:id="58" w:name="X513b2a492d4a07e874122f31255f7fe93a9508e"/>
      <w:r>
        <w:t xml:space="preserve">Appendix B: Comparative table, three regimes</w:t>
      </w:r>
      <w:bookmarkEnd w:id="58"/>
    </w:p>
    <w:p>
      <w:pPr>
        <w:pStyle w:val="FirstParagraph"/>
      </w:pPr>
      <w:r>
        <w:t xml:space="preserve">See the accompanying comparative appendix: thresholds, definitional gates, the three clocks and their triggers, and enforceable self-commitments.</w:t>
      </w:r>
    </w:p>
    <w:p>
      <w:pPr>
        <w:pStyle w:val="Heading2"/>
      </w:pPr>
      <w:bookmarkStart w:id="59" w:name="appendix-c-llm-usage-disclosure"/>
      <w:r>
        <w:t xml:space="preserve">Appendix C: LLM usage disclosure</w:t>
      </w:r>
      <w:bookmarkEnd w:id="59"/>
    </w:p>
    <w:p>
      <w:pPr>
        <w:pStyle w:val="FirstParagraph"/>
      </w:pPr>
      <w:r>
        <w:t xml:space="preserve">Claude (Anthropic) was used throughout as a research and drafting assistant: retrieving and extracting primary statutory text, cross-checking inherited factual claims, drafting and revising prose, and writing the checkers and the scripts in</w:t>
      </w:r>
      <w:r>
        <w:t xml:space="preserve"> </w:t>
      </w:r>
      <w:r>
        <w:rPr>
          <w:rStyle w:val="VerbatimChar"/>
        </w:rPr>
        <w:t xml:space="preserve">tools/</w:t>
      </w:r>
      <w:r>
        <w:t xml:space="preserve">. All analytical choices were directed and accepted by the author, who is responsible for every claim.</w:t>
      </w:r>
    </w:p>
    <w:p>
      <w:pPr>
        <w:pStyle w:val="BodyText"/>
      </w:pPr>
      <w:r>
        <w:t xml:space="preserve">Three disclosures follow. The tool is made by a developer whose own disclosed containment incidents appear in this analysis; that developer’s self-report is tiered identically to the other’s. The author has an application pending with that developer. And the assistant was used adversarially as well as generatively: two independent review passes were run over a finished draft with no sight of the reasoning that produced it, and a subsequent audit found a novelty misstatement and the omission of Recital 97. Prompts and findings are in the repository. A third pass was run over the model Article 91 request itself (</w:t>
      </w:r>
      <w:r>
        <w:rPr>
          <w:rStyle w:val="VerbatimChar"/>
        </w:rPr>
        <w:t xml:space="preserve">docs/instrument-review.md</w:t>
      </w:r>
      <w:r>
        <w:t xml:space="preserve">).</w:t>
      </w:r>
      <w:r>
        <w:t xml:space="preserve"> </w:t>
      </w:r>
      <w:r>
        <w:rPr>
          <w:b/>
        </w:rPr>
        <w:t xml:space="preserve">That reviewer was the same tool prompted to read the draft as a Commission lawyer. No lawyer was consulted and nobody real was contacted</w:t>
      </w:r>
      <w:r>
        <w:t xml:space="preserve">—an earlier version of that file and its commit message implied otherwise, and the correction is the fifteenth entry in the log. Its case-law references were later read and hold (the sixteenth entry); one of its assertions about the enacting text was wrong and was acted on before being checked (the fourteenth). The defects it found that could be checked against the text were checked, and several held; they are what the instrument was corrected against, and they are not offered as legal advice.</w:t>
      </w:r>
    </w:p>
    <w:p>
      <w:pPr>
        <w:pStyle w:val="BodyText"/>
      </w:pPr>
      <w:r>
        <w:t xml:space="preserve">A fourth disclosure, for the final day. The adversarial audit of 13 September, the enforcement pack, the six scripts and the second run were produced in one session with the same assistant, directed and accepted by the author; the audit’s findings are the twentieth to twenty-fourth log entries and the pack is what followed from them. The second run applies the method to incidents disclosed by the assistant’s own developer. Its rows were written from that developer’s account, tiered T1 with the same reservations as the first run’s, and from nine other held documents including the evaluation partner’s account and two press reports critical of it; the run’s own corrections log records the two errors it made and the one it did not, which is treating the developer’s September revision of its July account as a fact rather than a characterisation. A reader who thinks the assistant should not have been pointed at its maker’s incident has the run’s registers, hashes and checkers to disagree with, which is the only answer the method has to that objection for either provider.</w:t>
      </w:r>
    </w:p>
    <w:p>
      <w:pPr>
        <w:pStyle w:val="Heading2"/>
      </w:pPr>
      <w:bookmarkStart w:id="60" w:name="appendix-d-author-contributions"/>
      <w:r>
        <w:t xml:space="preserve">Appendix D: Author contributions</w:t>
      </w:r>
      <w:bookmarkEnd w:id="60"/>
    </w:p>
    <w:p>
      <w:pPr>
        <w:pStyle w:val="FirstParagraph"/>
      </w:pPr>
      <w:r>
        <w:t xml:space="preserve">Sole author. B.Q. conceived the approach, selected the regime and episodes, directed the research, made all analytical and drafting decisions, and is responsible for all errors.</w:t>
      </w:r>
    </w:p>
    <w:p>
      <w:pPr>
        <w:pStyle w:val="Heading2"/>
      </w:pPr>
      <w:bookmarkStart w:id="61" w:name="appendix-e-artifact"/>
      <w:r>
        <w:t xml:space="preserve">Appendix E: Artifact</w:t>
      </w:r>
      <w:bookmarkEnd w:id="61"/>
    </w:p>
    <w:p>
      <w:pPr>
        <w:pStyle w:val="FirstParagraph"/>
      </w:pPr>
      <w:r>
        <w:t xml:space="preserve">Repository: the enforcement pack at</w:t>
      </w:r>
      <w:r>
        <w:t xml:space="preserve"> </w:t>
      </w:r>
      <w:r>
        <w:rPr>
          <w:rStyle w:val="VerbatimChar"/>
        </w:rPr>
        <w:t xml:space="preserve">instrument/</w:t>
      </w:r>
      <w:r>
        <w:t xml:space="preserve"> </w:t>
      </w:r>
      <w:r>
        <w:t xml:space="preserve">(cover note, model Article 91 request, issuing note, answer matrix, amended serious-incident template as DOCX, amendment table); method; statutory foundation with amendment status and corrections log; source register with SHA-256 for every held document; cross-walk data; inference register; adversarial review findings. Six checkers run from one entry point,</w:t>
      </w:r>
      <w:r>
        <w:t xml:space="preserve"> </w:t>
      </w:r>
      <w:r>
        <w:rPr>
          <w:rStyle w:val="VerbatimChar"/>
        </w:rPr>
        <w:t xml:space="preserve">tools/check.py</w:t>
      </w:r>
      <w:r>
        <w:t xml:space="preserve">:</w:t>
      </w:r>
      <w:r>
        <w:t xml:space="preserve"> </w:t>
      </w:r>
      <w:r>
        <w:rPr>
          <w:rStyle w:val="VerbatimChar"/>
        </w:rPr>
        <w:t xml:space="preserve">validate.py</w:t>
      </w:r>
      <w:r>
        <w:t xml:space="preserve"> </w:t>
      </w:r>
      <w:r>
        <w:t xml:space="preserve">for the verdict discipline,</w:t>
      </w:r>
      <w:r>
        <w:t xml:space="preserve"> </w:t>
      </w:r>
      <w:r>
        <w:rPr>
          <w:rStyle w:val="VerbatimChar"/>
        </w:rPr>
        <w:t xml:space="preserve">citecheck.py</w:t>
      </w:r>
      <w:r>
        <w:t xml:space="preserve"> </w:t>
      </w:r>
      <w:r>
        <w:t xml:space="preserve">for citations,</w:t>
      </w:r>
      <w:r>
        <w:t xml:space="preserve"> </w:t>
      </w:r>
      <w:r>
        <w:rPr>
          <w:rStyle w:val="VerbatimChar"/>
        </w:rPr>
        <w:t xml:space="preserve">quotecheck.py</w:t>
      </w:r>
      <w:r>
        <w:t xml:space="preserve"> </w:t>
      </w:r>
      <w:r>
        <w:t xml:space="preserve">for quotations against the hashed source documents,</w:t>
      </w:r>
      <w:r>
        <w:t xml:space="preserve"> </w:t>
      </w:r>
      <w:r>
        <w:rPr>
          <w:rStyle w:val="VerbatimChar"/>
        </w:rPr>
        <w:t xml:space="preserve">infercheck.py</w:t>
      </w:r>
      <w:r>
        <w:t xml:space="preserve"> </w:t>
      </w:r>
      <w:r>
        <w:t xml:space="preserve">for the inference register, and</w:t>
      </w:r>
      <w:r>
        <w:t xml:space="preserve"> </w:t>
      </w:r>
      <w:r>
        <w:rPr>
          <w:rStyle w:val="VerbatimChar"/>
        </w:rPr>
        <w:t xml:space="preserve">housestyle.py</w:t>
      </w:r>
      <w:r>
        <w:t xml:space="preserve"> </w:t>
      </w:r>
      <w:r>
        <w:t xml:space="preserve">for prose conventions, repeated paragraphs and drifted counts.</w:t>
      </w:r>
      <w:r>
        <w:t xml:space="preserve"> </w:t>
      </w:r>
      <w:r>
        <w:rPr>
          <w:rStyle w:val="VerbatimChar"/>
        </w:rPr>
        <w:t xml:space="preserve">python3 tools/infercheck.py --attack</w:t>
      </w:r>
      <w:r>
        <w:t xml:space="preserve"> </w:t>
      </w:r>
      <w:r>
        <w:t xml:space="preserve">prints the load-bearing steps weakest first.</w:t>
      </w:r>
      <w:r>
        <w:t xml:space="preserve"> </w:t>
      </w:r>
      <w:r>
        <w:rPr>
          <w:rStyle w:val="VerbatimChar"/>
        </w:rPr>
        <w:t xml:space="preserve">python3 tools/new-incident.py PATH</w:t>
      </w:r>
      <w:r>
        <w:t xml:space="preserve"> </w:t>
      </w:r>
      <w:r>
        <w:t xml:space="preserve">stands up an empty repository with the schemas, the checkers and the verified statutory register for the next incident;</w:t>
      </w:r>
      <w:r>
        <w:t xml:space="preserve"> </w:t>
      </w:r>
      <w:r>
        <w:rPr>
          <w:rStyle w:val="VerbatimChar"/>
        </w:rPr>
        <w:t xml:space="preserve">tools/reverify.py</w:t>
      </w:r>
      <w:r>
        <w:t xml:space="preserve"> </w:t>
      </w:r>
      <w:r>
        <w:t xml:space="preserve">checks that register against a supplied consolidated text;</w:t>
      </w:r>
      <w:r>
        <w:t xml:space="preserve"> </w:t>
      </w:r>
      <w:r>
        <w:rPr>
          <w:rStyle w:val="VerbatimChar"/>
        </w:rPr>
        <w:t xml:space="preserve">tools/draft-request.py</w:t>
      </w:r>
      <w:r>
        <w:t xml:space="preserve"> </w:t>
      </w:r>
      <w:r>
        <w:t xml:space="preserve">drafts a request from the cross-walk;</w:t>
      </w:r>
      <w:r>
        <w:t xml:space="preserve"> </w:t>
      </w:r>
      <w:r>
        <w:rPr>
          <w:rStyle w:val="VerbatimChar"/>
        </w:rPr>
        <w:t xml:space="preserve">tools/formfill.py</w:t>
      </w:r>
      <w:r>
        <w:t xml:space="preserve"> </w:t>
      </w:r>
      <w:r>
        <w:t xml:space="preserve">renders a template filled from the record;</w:t>
      </w:r>
      <w:r>
        <w:t xml:space="preserve"> </w:t>
      </w:r>
      <w:r>
        <w:rPr>
          <w:rStyle w:val="VerbatimChar"/>
        </w:rPr>
        <w:t xml:space="preserve">tools/render-pack.py</w:t>
      </w:r>
      <w:r>
        <w:t xml:space="preserve"> </w:t>
      </w:r>
      <w:r>
        <w:t xml:space="preserve">renders the pack to DOCX. The README is the runbook. Prose and data CC BY 4.0; code MIT.</w:t>
      </w:r>
    </w:p>
    <w:p>
      <w:pPr>
        <w:pStyle w:val="Heading2"/>
      </w:pPr>
      <w:bookmarkStart w:id="62" w:name="X4295def80868e109c78cbced08dd63702449eb7"/>
      <w:r>
        <w:rPr>
          <w:b/>
        </w:rPr>
        <w:t xml:space="preserve">One thing the repository no longer contains.</w:t>
      </w:r>
      <w:r>
        <w:t xml:space="preserve"> </w:t>
      </w:r>
      <w:r>
        <w:t xml:space="preserve">An early draft carried a gating-structure figure. It drew the analysis as ending in a single open fact, and the analysis has since moved to three—a placement event, a Union nexus, and systemic risk—so the figure described a conclusion the report no longer reaches. It was withdrawn rather than redrawn, on the view that a stale diagram is worse than none, and removed from the working tree at this commit. It remains in the history at</w:t>
      </w:r>
      <w:r>
        <w:t xml:space="preserve"> </w:t>
      </w:r>
      <w:r>
        <w:rPr>
          <w:rStyle w:val="VerbatimChar"/>
        </w:rPr>
        <w:t xml:space="preserve">94c62f7</w:t>
      </w:r>
      <w:r>
        <w:t xml:space="preserve"> </w:t>
      </w:r>
      <w:r>
        <w:t xml:space="preserve">for anyone who wants to see what was superseded.</w:t>
      </w:r>
      <w:bookmarkEnd w:id="62"/>
    </w:p>
    <w:p>
      <w:pPr>
        <w:pStyle w:val="Heading2"/>
      </w:pPr>
      <w:bookmarkStart w:id="63" w:name="X6600875308730139880dbac9b1615afef6cde9b"/>
      <w:r>
        <w:t xml:space="preserve">Appendix F: the Commission’s serious-incident template, filled from the public record</w:t>
      </w:r>
      <w:bookmarkEnd w:id="63"/>
    </w:p>
    <w:p>
      <w:pPr>
        <w:pStyle w:val="FirstParagraph"/>
      </w:pPr>
      <w:r>
        <w:t xml:space="preserve">Every cell below is a cross-walk row re-presented in the regulator’s own form. The form is where the gaps become legible: a reader can disagree with an analysis, but a blank required field argues for itself. Full version, with the sourcing for each cell, at</w:t>
      </w:r>
      <w:r>
        <w:t xml:space="preserve"> </w:t>
      </w:r>
      <w:r>
        <w:rPr>
          <w:rStyle w:val="VerbatimChar"/>
        </w:rPr>
        <w:t xml:space="preserve">docs/appendix-forms.md</w:t>
      </w:r>
      <w:r>
        <w:t xml:space="preserve">.</w:t>
      </w:r>
    </w:p>
    <w:p>
      <w:pPr>
        <w:pStyle w:val="BodyText"/>
      </w:pPr>
      <w:r>
        <w:rPr>
          <w:i/>
        </w:rPr>
        <w:t xml:space="preserve">Report for Serious Incidents under the AI Act (General-Purpose AI Models with Systemic Risk)</w:t>
      </w:r>
      <w:r>
        <w:t xml:space="preserve">, published 4 November 2025, in DOCX and PDF. Both were read. The whole form is 1,884 characters: ten headings, ten placeholder prompts, six contact sub-fields.</w:t>
      </w:r>
    </w:p>
    <w:p>
      <w:pPr>
        <w:pStyle w:val="BodyText"/>
      </w:pPr>
      <w:r>
        <w:rPr>
          <w:b/>
        </w:rPr>
        <w:t xml:space="preserve">filled</w:t>
      </w:r>
      <w:r>
        <w:t xml:space="preserve">: the record supplies it.</w:t>
      </w:r>
      <w:r>
        <w:t xml:space="preserve"> </w:t>
      </w:r>
      <w:r>
        <w:rPr>
          <w:b/>
        </w:rPr>
        <w:t xml:space="preserve">partial</w:t>
      </w:r>
      <w:r>
        <w:t xml:space="preserve">: it supplies part, or supplies it from a source the form does not contemplate.</w:t>
      </w:r>
      <w:r>
        <w:t xml:space="preserve"> </w:t>
      </w:r>
      <w:r>
        <w:rPr>
          <w:b/>
        </w:rPr>
        <w:t xml:space="preserve">cannot fill</w:t>
      </w:r>
      <w:r>
        <w:t xml:space="preserve">: no public source supplies 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the public record gives</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Start and end dates</w:t>
            </w:r>
          </w:p>
        </w:tc>
        <w:tc>
          <w:p>
            <w:pPr>
              <w:pStyle w:val="Compact"/>
              <w:jc w:val="left"/>
            </w:pPr>
            <w:r>
              <w:t xml:space="preserve">An intrusion window at the victim, not of the containment failure</w:t>
            </w:r>
          </w:p>
        </w:tc>
        <w:tc>
          <w:p>
            <w:pPr>
              <w:pStyle w:val="Compact"/>
              <w:jc w:val="left"/>
            </w:pPr>
            <w:r>
              <w:t xml:space="preserve">partial</w:t>
            </w:r>
          </w:p>
        </w:tc>
      </w:tr>
      <w:tr>
        <w:tc>
          <w:p>
            <w:pPr>
              <w:pStyle w:val="Compact"/>
              <w:jc w:val="left"/>
            </w:pPr>
            <w:r>
              <w:t xml:space="preserve">2</w:t>
            </w:r>
          </w:p>
        </w:tc>
        <w:tc>
          <w:p>
            <w:pPr>
              <w:pStyle w:val="Compact"/>
              <w:jc w:val="left"/>
            </w:pPr>
            <w:r>
              <w:t xml:space="preserve">Resulting harm</w:t>
            </w:r>
          </w:p>
        </w:tc>
        <w:tc>
          <w:p>
            <w:pPr>
              <w:pStyle w:val="Compact"/>
              <w:jc w:val="left"/>
            </w:pPr>
            <w:r>
              <w:t xml:space="preserve">One cluster wiped and rebuilt, credentials rotated, five datasets touched—</w:t>
            </w:r>
            <w:r>
              <w:rPr>
                <w:b/>
              </w:rPr>
              <w:t xml:space="preserve">from the affected party</w:t>
            </w:r>
          </w:p>
        </w:tc>
        <w:tc>
          <w:p>
            <w:pPr>
              <w:pStyle w:val="Compact"/>
              <w:jc w:val="left"/>
            </w:pPr>
            <w:r>
              <w:t xml:space="preserve">filled</w:t>
            </w:r>
          </w:p>
        </w:tc>
      </w:tr>
      <w:tr>
        <w:tc>
          <w:p>
            <w:pPr>
              <w:pStyle w:val="Compact"/>
              <w:jc w:val="left"/>
            </w:pPr>
            <w:r>
              <w:t xml:space="preserve">3</w:t>
            </w:r>
          </w:p>
        </w:tc>
        <w:tc>
          <w:p>
            <w:pPr>
              <w:pStyle w:val="Compact"/>
              <w:jc w:val="left"/>
            </w:pPr>
            <w:r>
              <w:t xml:space="preserve">Chain of events</w:t>
            </w:r>
          </w:p>
        </w:tc>
        <w:tc>
          <w:p>
            <w:pPr>
              <w:pStyle w:val="Compact"/>
              <w:jc w:val="left"/>
            </w:pPr>
            <w:r>
              <w:t xml:space="preserve">Two chained vectors at the victim; egress by server-side request forgery</w:t>
            </w:r>
          </w:p>
        </w:tc>
        <w:tc>
          <w:p>
            <w:pPr>
              <w:pStyle w:val="Compact"/>
              <w:jc w:val="left"/>
            </w:pPr>
            <w:r>
              <w:t xml:space="preserve">filled</w:t>
            </w:r>
          </w:p>
        </w:tc>
      </w:tr>
      <w:tr>
        <w:tc>
          <w:p>
            <w:pPr>
              <w:pStyle w:val="Compact"/>
              <w:jc w:val="left"/>
            </w:pPr>
            <w:r>
              <w:t xml:space="preserve">4</w:t>
            </w:r>
          </w:p>
        </w:tc>
        <w:tc>
          <w:p>
            <w:pPr>
              <w:pStyle w:val="Compact"/>
              <w:jc w:val="left"/>
            </w:pPr>
            <w:r>
              <w:t xml:space="preserve">Model involved</w:t>
            </w:r>
          </w:p>
        </w:tc>
        <w:tc>
          <w:p>
            <w:pPr>
              <w:pStyle w:val="Compact"/>
              <w:jc w:val="left"/>
            </w:pPr>
            <w:r>
              <w:t xml:space="preserve">Two designations, never reconciled, and neither account says they are the same</w:t>
            </w:r>
          </w:p>
        </w:tc>
        <w:tc>
          <w:p>
            <w:pPr>
              <w:pStyle w:val="Compact"/>
              <w:jc w:val="left"/>
            </w:pPr>
            <w:r>
              <w:rPr>
                <w:b/>
              </w:rPr>
              <w:t xml:space="preserve">cannot fill</w:t>
            </w:r>
          </w:p>
        </w:tc>
      </w:tr>
      <w:tr>
        <w:tc>
          <w:p>
            <w:pPr>
              <w:pStyle w:val="Compact"/>
              <w:jc w:val="left"/>
            </w:pPr>
            <w:r>
              <w:t xml:space="preserve">5</w:t>
            </w:r>
          </w:p>
        </w:tc>
        <w:tc>
          <w:p>
            <w:pPr>
              <w:pStyle w:val="Compact"/>
              <w:jc w:val="left"/>
            </w:pPr>
            <w:r>
              <w:t xml:space="preserve">Evidence available</w:t>
            </w:r>
          </w:p>
        </w:tc>
        <w:tc>
          <w:p>
            <w:pPr>
              <w:pStyle w:val="Compact"/>
              <w:jc w:val="left"/>
            </w:pPr>
            <w:r>
              <w:t xml:space="preserve">An independent investigation conducted under access constraints imposed by its subject</w:t>
            </w:r>
          </w:p>
        </w:tc>
        <w:tc>
          <w:p>
            <w:pPr>
              <w:pStyle w:val="Compact"/>
              <w:jc w:val="left"/>
            </w:pPr>
            <w:r>
              <w:t xml:space="preserve">partial</w:t>
            </w:r>
          </w:p>
        </w:tc>
      </w:tr>
      <w:tr>
        <w:tc>
          <w:p>
            <w:pPr>
              <w:pStyle w:val="Compact"/>
              <w:jc w:val="left"/>
            </w:pPr>
            <w:r>
              <w:t xml:space="preserve">6</w:t>
            </w:r>
          </w:p>
        </w:tc>
        <w:tc>
          <w:p>
            <w:pPr>
              <w:pStyle w:val="Compact"/>
              <w:jc w:val="left"/>
            </w:pPr>
            <w:r>
              <w:t xml:space="preserve">Serious incident response</w:t>
            </w:r>
          </w:p>
        </w:tc>
        <w:tc>
          <w:p>
            <w:pPr>
              <w:pStyle w:val="Compact"/>
              <w:jc w:val="left"/>
            </w:pPr>
            <w:r>
              <w:t xml:space="preserve">Corrective measures described publicly; rotation performed by the victim</w:t>
            </w:r>
          </w:p>
        </w:tc>
        <w:tc>
          <w:p>
            <w:pPr>
              <w:pStyle w:val="Compact"/>
              <w:jc w:val="left"/>
            </w:pPr>
            <w:r>
              <w:t xml:space="preserve">partial</w:t>
            </w:r>
          </w:p>
        </w:tc>
      </w:tr>
      <w:tr>
        <w:tc>
          <w:p>
            <w:pPr>
              <w:pStyle w:val="Compact"/>
              <w:jc w:val="left"/>
            </w:pPr>
            <w:r>
              <w:t xml:space="preserve">7</w:t>
            </w:r>
          </w:p>
        </w:tc>
        <w:tc>
          <w:p>
            <w:pPr>
              <w:pStyle w:val="Compact"/>
              <w:jc w:val="left"/>
            </w:pPr>
            <w:r>
              <w:t xml:space="preserve">Recommendation to the AI Office</w:t>
            </w:r>
          </w:p>
        </w:tc>
        <w:tc>
          <w:p>
            <w:pPr>
              <w:pStyle w:val="Compact"/>
              <w:jc w:val="left"/>
            </w:pPr>
            <w:r>
              <w:t xml:space="preserve">Nothing</w:t>
            </w:r>
          </w:p>
        </w:tc>
        <w:tc>
          <w:p>
            <w:pPr>
              <w:pStyle w:val="Compact"/>
              <w:jc w:val="left"/>
            </w:pPr>
            <w:r>
              <w:rPr>
                <w:b/>
              </w:rPr>
              <w:t xml:space="preserve">cannot fill</w:t>
            </w:r>
          </w:p>
        </w:tc>
      </w:tr>
      <w:tr>
        <w:tc>
          <w:p>
            <w:pPr>
              <w:pStyle w:val="Compact"/>
              <w:jc w:val="left"/>
            </w:pPr>
            <w:r>
              <w:t xml:space="preserve">8</w:t>
            </w:r>
          </w:p>
        </w:tc>
        <w:tc>
          <w:p>
            <w:pPr>
              <w:pStyle w:val="Compact"/>
              <w:jc w:val="left"/>
            </w:pPr>
            <w:r>
              <w:t xml:space="preserve">Root cause analysis</w:t>
            </w:r>
          </w:p>
        </w:tc>
        <w:tc>
          <w:p>
            <w:pPr>
              <w:pStyle w:val="Compact"/>
              <w:jc w:val="left"/>
            </w:pPr>
            <w:r>
              <w:t xml:space="preserve">Safeguards named as not enabled, which is graver than a root cause and is not one</w:t>
            </w:r>
          </w:p>
        </w:tc>
        <w:tc>
          <w:p>
            <w:pPr>
              <w:pStyle w:val="Compact"/>
              <w:jc w:val="left"/>
            </w:pPr>
            <w:r>
              <w:t xml:space="preserve">partial</w:t>
            </w:r>
          </w:p>
        </w:tc>
      </w:tr>
      <w:tr>
        <w:tc>
          <w:p>
            <w:pPr>
              <w:pStyle w:val="Compact"/>
              <w:jc w:val="left"/>
            </w:pPr>
            <w:r>
              <w:t xml:space="preserve">9</w:t>
            </w:r>
          </w:p>
        </w:tc>
        <w:tc>
          <w:p>
            <w:pPr>
              <w:pStyle w:val="Compact"/>
              <w:jc w:val="left"/>
            </w:pPr>
            <w:r>
              <w:t xml:space="preserve">Patterns in post-market monitoring</w:t>
            </w:r>
          </w:p>
        </w:tc>
        <w:tc>
          <w:p>
            <w:pPr>
              <w:pStyle w:val="Compact"/>
              <w:jc w:val="left"/>
            </w:pPr>
            <w:r>
              <w:t xml:space="preserve">Only the victim’s monitoring, described failing</w:t>
            </w:r>
          </w:p>
        </w:tc>
        <w:tc>
          <w:p>
            <w:pPr>
              <w:pStyle w:val="Compact"/>
              <w:jc w:val="left"/>
            </w:pPr>
            <w:r>
              <w:rPr>
                <w:b/>
              </w:rPr>
              <w:t xml:space="preserve">cannot fill</w:t>
            </w:r>
          </w:p>
        </w:tc>
      </w:tr>
      <w:tr>
        <w:tc>
          <w:p>
            <w:pPr>
              <w:pStyle w:val="Compact"/>
              <w:jc w:val="left"/>
            </w:pPr>
            <w:r>
              <w:t xml:space="preserve">10</w:t>
            </w:r>
          </w:p>
        </w:tc>
        <w:tc>
          <w:p>
            <w:pPr>
              <w:pStyle w:val="Compact"/>
              <w:jc w:val="left"/>
            </w:pPr>
            <w:r>
              <w:t xml:space="preserve">Submitter information</w:t>
            </w:r>
          </w:p>
        </w:tc>
        <w:tc>
          <w:p>
            <w:pPr>
              <w:pStyle w:val="Compact"/>
              <w:jc w:val="left"/>
            </w:pPr>
            <w:r>
              <w:t xml:space="preserve">A filing on the wiki episode is confirmed received; the submitter’s organisation, contact and the date are not public</w:t>
            </w:r>
          </w:p>
        </w:tc>
        <w:tc>
          <w:p>
            <w:pPr>
              <w:pStyle w:val="Compact"/>
              <w:jc w:val="left"/>
            </w:pPr>
            <w:r>
              <w:t xml:space="preserve">partial</w:t>
            </w:r>
          </w:p>
        </w:tc>
      </w:tr>
    </w:tbl>
    <w:p>
      <w:pPr>
        <w:pStyle w:val="BodyText"/>
      </w:pPr>
      <w:r>
        <w:t xml:space="preserve">Two filled, five partial, three impossible.</w:t>
      </w:r>
    </w:p>
    <w:p>
      <w:pPr>
        <w:pStyle w:val="BodyText"/>
      </w:pPr>
      <w:r>
        <w:rPr>
          <w:b/>
        </w:rPr>
        <w:t xml:space="preserve">The fillable fields are filled by everyone except the party the form addresses.</w:t>
      </w:r>
      <w:r>
        <w:t xml:space="preserve"> </w:t>
      </w:r>
      <w:r>
        <w:t xml:space="preserve">Fields 2, 3 and 9 come substantially from the victim’s forensic timeline, field 5 from an investigator working under the subject’s constraints. A form designed to be completed by the provider is, on this record, completable only from sources the provider does not control.</w:t>
      </w:r>
    </w:p>
    <w:p>
      <w:pPr>
        <w:pStyle w:val="BodyText"/>
      </w:pPr>
      <w:r>
        <w:rPr>
          <w:b/>
        </w:rPr>
        <w:t xml:space="preserve">The field the Act most needs is the one that cannot be filled.</w:t>
      </w:r>
      <w:r>
        <w:t xml:space="preserve"> </w:t>
      </w:r>
      <w:r>
        <w:t xml:space="preserve">Every obligation in Chapter V is indexed to a model, and field 4 is model identity. That is Request 1 of the instrument, and it is first for this reason.</w:t>
      </w:r>
    </w:p>
    <w:p>
      <w:pPr>
        <w:pStyle w:val="BodyText"/>
      </w:pPr>
      <w:r>
        <w:rPr>
          <w:b/>
        </w:rPr>
        <w:t xml:space="preserve">And the form does not ask the one date its own clock runs from</w:t>
      </w:r>
      <w:r>
        <w:t xml:space="preserve">, which is §5.2 and is the finding this exercise was not looking for.</w:t>
      </w:r>
    </w:p>
    <w:p>
      <w:r>
        <w:pict>
          <v:rect style="width:0;height:1.5pt" o:hralign="center" o:hrstd="t" o:hr="t"/>
        </w:pict>
      </w:r>
    </w:p>
    <w:p>
      <w:pPr>
        <w:pStyle w:val="Heading2"/>
      </w:pPr>
      <w:bookmarkStart w:id="64" w:name="Xb09854c37ac5b84144064c0a1b18c4ef201ec68"/>
      <w:r>
        <w:t xml:space="preserve">Appendix G: notes on sourcing, the register, and bounded absences</w:t>
      </w:r>
      <w:bookmarkEnd w:id="64"/>
    </w:p>
    <w:p>
      <w:pPr>
        <w:pStyle w:val="FirstParagraph"/>
      </w:pPr>
      <w:r>
        <w:rPr>
          <w:b/>
        </w:rPr>
        <w:t xml:space="preserve">On sourcing.</w:t>
      </w:r>
      <w:r>
        <w:t xml:space="preserve"> </w:t>
      </w:r>
      <w:r>
        <w:t xml:space="preserve">The Guidelines were read in the published English text (C(2025) 7719 final, 19 November 2025) and are cited here by their own paragraph numbers. Worth recording as a negative finding: the Guidelines reproduce the Article 3, point (63) research exclusion when setting out the definition and nowhere condition or gloss it. The “sole purpose” qualifier appears in Recital 97 and not in the Guidelines, where the phrase does not occur at all.</w:t>
      </w:r>
    </w:p>
    <w:p>
      <w:pPr>
        <w:pStyle w:val="BodyText"/>
      </w:pPr>
      <w:r>
        <w:rPr>
          <w:b/>
        </w:rPr>
        <w:t xml:space="preserve">The absences that matter most, with their bounds.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Absence</w:t>
            </w:r>
          </w:p>
        </w:tc>
        <w:tc>
          <w:tcPr>
            <w:tcBorders>
              <w:bottom w:val="single"/>
            </w:tcBorders>
            <w:vAlign w:val="bottom"/>
          </w:tcPr>
          <w:p>
            <w:pPr>
              <w:pStyle w:val="Compact"/>
              <w:jc w:val="left"/>
            </w:pPr>
            <w:r>
              <w:t xml:space="preserve">As of</w:t>
            </w:r>
          </w:p>
        </w:tc>
        <w:tc>
          <w:tcPr>
            <w:tcBorders>
              <w:bottom w:val="single"/>
            </w:tcBorders>
            <w:vAlign w:val="bottom"/>
          </w:tcPr>
          <w:p>
            <w:pPr>
              <w:pStyle w:val="Compact"/>
              <w:jc w:val="left"/>
            </w:pPr>
            <w:r>
              <w:t xml:space="preserve">Corpus searched</w:t>
            </w:r>
          </w:p>
        </w:tc>
      </w:tr>
      <w:tr>
        <w:tc>
          <w:p>
            <w:pPr>
              <w:pStyle w:val="Compact"/>
              <w:jc w:val="left"/>
            </w:pPr>
            <w:r>
              <w:t xml:space="preserve">The research model’s training compute, and whether any Article 52(1) notification was made</w:t>
            </w:r>
          </w:p>
        </w:tc>
        <w:tc>
          <w:p>
            <w:pPr>
              <w:pStyle w:val="Compact"/>
              <w:jc w:val="left"/>
            </w:pPr>
            <w:r>
              <w:t xml:space="preserve">12 Sep 2026</w:t>
            </w:r>
          </w:p>
        </w:tc>
        <w:tc>
          <w:p>
            <w:pPr>
              <w:pStyle w:val="Compact"/>
              <w:jc w:val="left"/>
            </w:pPr>
            <w:r>
              <w:t xml:space="preserve">English-language web search on the provider, “Article 52”, “notification”, “AI Office”; the six incident-record documents</w:t>
            </w:r>
          </w:p>
        </w:tc>
      </w:tr>
      <w:tr>
        <w:tc>
          <w:p>
            <w:pPr>
              <w:pStyle w:val="Compact"/>
              <w:jc w:val="left"/>
            </w:pPr>
            <w:r>
              <w:t xml:space="preserve">Whether the model was ever integrated into an own system put into service, and where</w:t>
            </w:r>
          </w:p>
        </w:tc>
        <w:tc>
          <w:p>
            <w:pPr>
              <w:pStyle w:val="Compact"/>
              <w:jc w:val="left"/>
            </w:pPr>
            <w:r>
              <w:t xml:space="preserve">13 Sep 2026</w:t>
            </w:r>
          </w:p>
        </w:tc>
        <w:tc>
          <w:p>
            <w:pPr>
              <w:pStyle w:val="Compact"/>
              <w:jc w:val="left"/>
            </w:pPr>
            <w:r>
              <w:t xml:space="preserve">The six incident-record documents, searched for “deploy”, “internal”, “Union”, “Europe”; the Guidelines and Q&amp;A</w:t>
            </w:r>
          </w:p>
        </w:tc>
      </w:tr>
      <w:tr>
        <w:tc>
          <w:p>
            <w:pPr>
              <w:pStyle w:val="Compact"/>
              <w:jc w:val="left"/>
            </w:pPr>
            <w:r>
              <w:t xml:space="preserve">Whether, when and under what provision any report on either episode reached the AI Office</w:t>
            </w:r>
          </w:p>
        </w:tc>
        <w:tc>
          <w:p>
            <w:pPr>
              <w:pStyle w:val="Compact"/>
              <w:jc w:val="left"/>
            </w:pPr>
            <w:r>
              <w:t xml:space="preserve">12–13 Sep 2026</w:t>
            </w:r>
          </w:p>
        </w:tc>
        <w:tc>
          <w:p>
            <w:pPr>
              <w:pStyle w:val="Compact"/>
              <w:jc w:val="left"/>
            </w:pPr>
            <w:r>
              <w:t xml:space="preserve">The six incident-record documents; the spokesperson’s statement of 7 Sep as reported, which refuses the date and contents and is silent on the provision</w:t>
            </w:r>
          </w:p>
        </w:tc>
      </w:tr>
    </w:tbl>
    <w:p>
      <w:pPr>
        <w:pStyle w:val="BodyText"/>
      </w:pPr>
      <w:r>
        <w:rPr>
          <w:b/>
        </w:rPr>
        <w:t xml:space="preserve">On the negative-search notes.</w:t>
      </w:r>
      <w:r>
        <w:t xml:space="preserve"> </w:t>
      </w:r>
      <w:r>
        <w:t xml:space="preserve">Each carries an as-of date, and each now records the corpus searched—which sources, which terms, on what date—because “no published source states X” is a claim about everything ever published and nobody can make it. One of the six turned out not to be an absence at all: the Commission’s spokesperson was asked, on the record, and declined to say when the report was submitted or what it contained. That is a refusal, and a refusal is evidence. Whether the episode qualifies as a serious incident and which provision the filing relied on remain absences—the press report says only that the Commission “has not said”—and an earlier draft of this appendix had upgraded them to refusals, which is the distinction this note exists to keep. The other four remain bounded absences and say what they are bounded by.</w:t>
      </w:r>
    </w:p>
    <w:p>
      <w:pPr>
        <w:pStyle w:val="BodyText"/>
      </w:pPr>
      <w:r>
        <w:rPr>
          <w:b/>
        </w:rPr>
        <w:t xml:space="preserve">On the statutory register.</w:t>
      </w:r>
      <w:r>
        <w:t xml:space="preserve"> </w:t>
      </w:r>
      <w:r>
        <w:t xml:space="preserve">All forty-seven provisions of the Regulation, seven imported provisions of the CER Directive and four recitals behind this report have been verified against the EUR-Lex consolidated text at CELEX</w:t>
      </w:r>
      <w:r>
        <w:t xml:space="preserve"> </w:t>
      </w:r>
      <w:r>
        <w:rPr>
          <w:rStyle w:val="VerbatimChar"/>
        </w:rPr>
        <w:t xml:space="preserve">02024R1689-20260727</w:t>
      </w:r>
      <w:r>
        <w:t xml:space="preserve">. Amendment status is taken from the amending act’s own numbered instructions rather than from the consolidated text’s change markers: reading the markers alone had wrongly cleared Article 60, which instruction (24) of Regulation (EU) 2026/1744 replaces in part. Fourteen of them spent a day sourced from a published reproduction, while EUR-Lex was unreachable, and were marked as such rather than presented as equivalent; on rechecking, thirteen matched verbatim and the fourteenth differed by one stray full stop which proved to be the Regulation’s own. Of the fourteen, only Article 57(1) was touched by the Digital Omnibus.</w:t>
      </w:r>
    </w:p>
    <w:p>
      <w:pPr>
        <w:pStyle w:val="BodyText"/>
      </w:pPr>
      <w:r>
        <w:t xml:space="preserve">Two slips in the published Regulation are reproduced rather than corrected. Article 101(1) reads “whichever is higher., when the Commission finds”; its closing subparagraph reads “The Commission shall also into account commitments made”, missing a verb. Both appear in the authentic OJ text and the consolidated text alike. Neither is ambiguous, and neither changes anything here—they are recorded because this report claims to have read the enacting text rather than a summary of it.</w:t>
      </w:r>
    </w:p>
    <w:p>
      <w:r>
        <w:pict>
          <v:rect style="width:0;height:1.5pt" o:hralign="center" o:hrstd="t" o:hr="t"/>
        </w:pict>
      </w:r>
    </w:p>
    <w:p>
      <w:pPr>
        <w:pStyle w:val="Heading2"/>
      </w:pPr>
      <w:bookmarkStart w:id="65" w:name="X09d5e2bfdb67fe9ae4669d2f79f1834b11b30a3"/>
      <w:r>
        <w:t xml:space="preserve">Appendix H: the method, the corrections log, and what transfers</w:t>
      </w:r>
      <w:bookmarkEnd w:id="65"/>
    </w:p>
    <w:p>
      <w:pPr>
        <w:pStyle w:val="FirstParagraph"/>
      </w:pPr>
      <w:r>
        <w:rPr>
          <w:b/>
        </w:rPr>
        <w:t xml:space="preserve">The ceiling, stated in advance.</w:t>
      </w:r>
      <w:r>
        <w:t xml:space="preserve"> </w:t>
      </w:r>
      <w:r>
        <w:t xml:space="preserve">The method answers one question: does the discloser’s own account, taken on its own terms, resolve this obligation? It cannot answer what happened, and once it pretends to it loses the property that made it usable. Every verdict takes one of three forms—</w:t>
      </w:r>
      <w:r>
        <w:rPr>
          <w:i/>
        </w:rPr>
        <w:t xml:space="preserve">on the provider’s own account, this appears met</w:t>
      </w:r>
      <w:r>
        <w:t xml:space="preserve">;</w:t>
      </w:r>
      <w:r>
        <w:t xml:space="preserve"> </w:t>
      </w:r>
      <w:r>
        <w:rPr>
          <w:i/>
        </w:rPr>
        <w:t xml:space="preserve">appears unmet</w:t>
      </w:r>
      <w:r>
        <w:t xml:space="preserve">; or</w:t>
      </w:r>
      <w:r>
        <w:t xml:space="preserve"> </w:t>
      </w:r>
      <w:r>
        <w:rPr>
          <w:i/>
        </w:rPr>
        <w:t xml:space="preserve">the disclosed record does not resolve this</w:t>
      </w:r>
      <w:r>
        <w:t xml:space="preserve">—and</w:t>
      </w:r>
      <w:r>
        <w:t xml:space="preserve"> </w:t>
      </w:r>
      <w:r>
        <w:rPr>
          <w:rStyle w:val="VerbatimChar"/>
        </w:rPr>
        <w:t xml:space="preserve">tools/validate.py</w:t>
      </w:r>
      <w:r>
        <w:t xml:space="preserve"> </w:t>
      </w:r>
      <w:r>
        <w:t xml:space="preserve">rejects any cell that drifts out of that register or states a conclusion of law inside it. Full protocol at</w:t>
      </w:r>
      <w:r>
        <w:t xml:space="preserve"> </w:t>
      </w:r>
      <w:r>
        <w:rPr>
          <w:rStyle w:val="VerbatimChar"/>
        </w:rPr>
        <w:t xml:space="preserve">protocol/00-method.md</w:t>
      </w:r>
      <w:r>
        <w:t xml:space="preserve">.</w:t>
      </w:r>
    </w:p>
    <w:p>
      <w:pPr>
        <w:pStyle w:val="BodyText"/>
      </w:pPr>
      <w:r>
        <w:rPr>
          <w:b/>
        </w:rPr>
        <w:t xml:space="preserve">Primary sources.</w:t>
      </w:r>
      <w:r>
        <w:t xml:space="preserve"> </w:t>
      </w:r>
      <w:r>
        <w:t xml:space="preserve">Statutory text comes from the EUR-Lex consolidated version (CELEX 02024R1689-20260727), recitals from the authentic Official Journal text. Amendment status is taken from the amending act’s own numbered instructions, not the consolidated text’s change markers: reading the markers alone had wrongly cleared Article 60.</w:t>
      </w:r>
      <w:r>
        <w:t xml:space="preserve"> </w:t>
      </w:r>
      <w:r>
        <w:rPr>
          <w:b/>
        </w:rPr>
        <w:t xml:space="preserve">Evidence is tiered by relationship, not prestige</w:t>
      </w:r>
      <w:r>
        <w:t xml:space="preserve">: the provider’s own account of its own conduct is T1 for what it admits and weak for everything else; the affected party’s forensic timeline is stronger than the provider’s account for what happened at the victim.</w:t>
      </w:r>
      <w:r>
        <w:t xml:space="preserve"> </w:t>
      </w:r>
      <w:r>
        <w:rPr>
          <w:b/>
        </w:rPr>
        <w:t xml:space="preserve">Facts are separated from characterisation</w:t>
      </w:r>
      <w:r>
        <w:t xml:space="preserve">, because a provider’s framing is where its position enters an analysis as though it were a finding.</w:t>
      </w:r>
      <w:r>
        <w:t xml:space="preserve"> </w:t>
      </w:r>
      <w:r>
        <w:rPr>
          <w:b/>
        </w:rPr>
        <w:t xml:space="preserve">Absences are proved, not asserted</w:t>
      </w:r>
      <w:r>
        <w:t xml:space="preserve">: each negative-search note carries a date and the corpus searched, and a refusal is kept apart from an absence, including where a press report blurs them (Appendix G).</w:t>
      </w:r>
      <w:r>
        <w:t xml:space="preserve"> </w:t>
      </w:r>
      <w:r>
        <w:rPr>
          <w:b/>
        </w:rPr>
        <w:t xml:space="preserve">The inferences are enumerated</w:t>
      </w:r>
      <w:r>
        <w:t xml:space="preserve">:</w:t>
      </w:r>
      <w:r>
        <w:t xml:space="preserve"> </w:t>
      </w:r>
      <w:r>
        <w:rPr>
          <w:rStyle w:val="VerbatimChar"/>
        </w:rPr>
        <w:t xml:space="preserve">data/inferences.yaml</w:t>
      </w:r>
      <w:r>
        <w:t xml:space="preserve"> </w:t>
      </w:r>
      <w:r>
        <w:t xml:space="preserve">states each argumentative step so it could be denied, names what would defeat it, and ranks it.</w:t>
      </w:r>
    </w:p>
    <w:p>
      <w:pPr>
        <w:pStyle w:val="BodyText"/>
      </w:pPr>
      <w:r>
        <w:rPr>
          <w:b/>
        </w:rPr>
        <w:t xml:space="preserve">The corrections log.</w:t>
      </w:r>
      <w:r>
        <w:t xml:space="preserve"> </w:t>
      </w:r>
      <w:r>
        <w:t xml:space="preserve">This analysis has been materially wrong</w:t>
      </w:r>
      <w:r>
        <w:t xml:space="preserve"> </w:t>
      </w:r>
      <w:r>
        <w:rPr>
          <w:b/>
        </w:rPr>
        <w:t xml:space="preserve">twenty-nine times</w:t>
      </w:r>
      <w:r>
        <w:t xml:space="preserve">, and the log of those errors ships with it (</w:t>
      </w:r>
      <w:r>
        <w:rPr>
          <w:rStyle w:val="VerbatimChar"/>
        </w:rPr>
        <w:t xml:space="preserve">protocol/01-statutory-foundation.md</w:t>
      </w:r>
      <w:r>
        <w:t xml:space="preserve">). Twenty of the twenty-six are one failure wearing different clothes: a source characterised without being opened—a recital summarised from a mirror, a directive read through a summary, an opinion described from its landing page, a document held from the first day and searched for one question but never another, a phrase carried in quotation marks that appeared in no held source, a scope verdict resting on a premise the provider’s own account denies. A clean board means the mechanical failures are absent and nothing more;</w:t>
      </w:r>
      <w:r>
        <w:t xml:space="preserve"> </w:t>
      </w:r>
      <w:r>
        <w:rPr>
          <w:rStyle w:val="VerbatimChar"/>
        </w:rPr>
        <w:t xml:space="preserve">tools/check.py</w:t>
      </w:r>
      <w:r>
        <w:t xml:space="preserve"> </w:t>
      </w:r>
      <w:r>
        <w:t xml:space="preserve">says so on every run.</w:t>
      </w:r>
    </w:p>
    <w:p>
      <w:pPr>
        <w:pStyle w:val="BodyText"/>
      </w:pPr>
      <w:r>
        <w:rPr>
          <w:b/>
        </w:rPr>
        <w:t xml:space="preserve">What transfers.</w:t>
      </w:r>
      <w:r>
        <w:t xml:space="preserve"> </w:t>
      </w:r>
      <w:r>
        <w:t xml:space="preserve">The verification layer—the verdict discipline, the six checkers, the register schemas, the corrections-log convention with its count sweep, the negative-search rule—knows nothing about this incident and runs unchanged on the next one;</w:t>
      </w:r>
      <w:r>
        <w:t xml:space="preserve"> </w:t>
      </w:r>
      <w:r>
        <w:rPr>
          <w:rStyle w:val="VerbatimChar"/>
        </w:rPr>
        <w:t xml:space="preserve">tools/new-incident.py</w:t>
      </w:r>
      <w:r>
        <w:t xml:space="preserve"> </w:t>
      </w:r>
      <w:r>
        <w:t xml:space="preserve">stands it up in a minute, with the verified statutory register included. The Article 91 request is roughly 60% boilerplate that survives any incident; the answer matrix and decision tree are written for the “internal model” fact pattern generally; the amended template is universal. What does not transfer, and should not, is the content: the cross-walk rows, the scope working, the characterisation table and the inferences are the product of a person opening documents and making judgements. The second run at</w:t>
      </w:r>
      <w:r>
        <w:t xml:space="preserve"> </w:t>
      </w:r>
      <w:r>
        <w:rPr>
          <w:rStyle w:val="VerbatimChar"/>
        </w:rPr>
        <w:t xml:space="preserve">runs/anthropic-cyber-evals-2026/</w:t>
      </w:r>
      <w:r>
        <w:t xml:space="preserve"> </w:t>
      </w:r>
      <w:r>
        <w:t xml:space="preserve">took about three hours from ten held documents, most of it reading, and its report says which findings survived the change of incident, which the change of incident produced, and which two errors the run made on the way.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data.europa.eu/eli/dir/2022/2557/oj" TargetMode="External" /><Relationship Type="http://schemas.openxmlformats.org/officeDocument/2006/relationships/hyperlink" Id="rId46" Target="http://data.europa.eu/eli/reg/2024/1689/oj" TargetMode="External" /><Relationship Type="http://schemas.openxmlformats.org/officeDocument/2006/relationships/hyperlink" Id="rId34" Target="https://agenceurope.eu/en/bulletin/article/13929/31/european-commission-sends-first-requests-for-information-to-more-than-30-ai-providers" TargetMode="External" /><Relationship Type="http://schemas.openxmlformats.org/officeDocument/2006/relationships/hyperlink" Id="rId48" Target="https://artificialintelligenceact.substack.com/p/the-eu-ai-act-newsletter-110-powers" TargetMode="External" /><Relationship Type="http://schemas.openxmlformats.org/officeDocument/2006/relationships/hyperlink" Id="rId47" Target="https://cloudsecurityalliance.org/artifacts/every-frontier-model-cheated-what-aisi-s-findings-mean-for-trust" TargetMode="External" /><Relationship Type="http://schemas.openxmlformats.org/officeDocument/2006/relationships/hyperlink" Id="rId49" Target="https://collusion.wiki/" TargetMode="External" /><Relationship Type="http://schemas.openxmlformats.org/officeDocument/2006/relationships/hyperlink" Id="rId39" Target="https://digital-strategy.ec.europa.eu/en/faqs/general-purpose-ai-models-ai-act-questions-answers" TargetMode="External" /><Relationship Type="http://schemas.openxmlformats.org/officeDocument/2006/relationships/hyperlink" Id="rId41" Target="https://huggingface.co/blog/agent-intrusion-technical-timeline" TargetMode="External" /><Relationship Type="http://schemas.openxmlformats.org/officeDocument/2006/relationships/hyperlink" Id="rId37" Target="https://labs.cloudsecurityalliance.org/research/csa-research-note-ai-incident-disclosure-gap-eu-ai-act-20260/" TargetMode="External" /><Relationship Type="http://schemas.openxmlformats.org/officeDocument/2006/relationships/hyperlink" Id="rId36" Target="https://leginfo.legislature.ca.gov/faces/billTextClient.xhtml?bill_id=202520260SB53" TargetMode="External" /><Relationship Type="http://schemas.openxmlformats.org/officeDocument/2006/relationships/hyperlink" Id="rId42" Target="https://metr.org/blog/2026-08-26-openai-hugging-face-incident-investigation/" TargetMode="External" /><Relationship Type="http://schemas.openxmlformats.org/officeDocument/2006/relationships/hyperlink" Id="rId44" Target="https://openai.com/index/hugging-face-incident-and-the-road-ahead/" TargetMode="External" /><Relationship Type="http://schemas.openxmlformats.org/officeDocument/2006/relationships/hyperlink" Id="rId43" Target="https://openai.com/index/hugging-face-model-evaluation-security-incident/" TargetMode="External" /><Relationship Type="http://schemas.openxmlformats.org/officeDocument/2006/relationships/hyperlink" Id="rId45" Target="https://techcrunch.com/2026/09/05/openai-confirms-wiki-incident-says-its-working-on-a-framework-for-more-disclosure/" TargetMode="External" /><Relationship Type="http://schemas.openxmlformats.org/officeDocument/2006/relationships/hyperlink" Id="rId50" Target="https://web.archive.org/web/20260912133451/https://collusion.wiki/" TargetMode="External" /><Relationship Type="http://schemas.openxmlformats.org/officeDocument/2006/relationships/hyperlink" Id="rId35" Target="https://www.anthropic.com/research/investigating-incidents-cybersecurity-evals" TargetMode="External" /><Relationship Type="http://schemas.openxmlformats.org/officeDocument/2006/relationships/hyperlink" Id="rId40" Target="https://www.ibtimes.co.uk/openai-eu-scrutiny-dsewiki-incident-1818384" TargetMode="External" /></Relationships>
</file>

<file path=word/_rels/footnotes.xml.rels><?xml version="1.0" encoding="UTF-8"?>
<Relationships xmlns="http://schemas.openxmlformats.org/package/2006/relationships"><Relationship Type="http://schemas.openxmlformats.org/officeDocument/2006/relationships/hyperlink" Id="rId38" Target="http://data.europa.eu/eli/dir/2022/2557/oj" TargetMode="External" /><Relationship Type="http://schemas.openxmlformats.org/officeDocument/2006/relationships/hyperlink" Id="rId46" Target="http://data.europa.eu/eli/reg/2024/1689/oj" TargetMode="External" /><Relationship Type="http://schemas.openxmlformats.org/officeDocument/2006/relationships/hyperlink" Id="rId34" Target="https://agenceurope.eu/en/bulletin/article/13929/31/european-commission-sends-first-requests-for-information-to-more-than-30-ai-providers" TargetMode="External" /><Relationship Type="http://schemas.openxmlformats.org/officeDocument/2006/relationships/hyperlink" Id="rId48" Target="https://artificialintelligenceact.substack.com/p/the-eu-ai-act-newsletter-110-powers" TargetMode="External" /><Relationship Type="http://schemas.openxmlformats.org/officeDocument/2006/relationships/hyperlink" Id="rId47" Target="https://cloudsecurityalliance.org/artifacts/every-frontier-model-cheated-what-aisi-s-findings-mean-for-trust" TargetMode="External" /><Relationship Type="http://schemas.openxmlformats.org/officeDocument/2006/relationships/hyperlink" Id="rId49" Target="https://collusion.wiki/" TargetMode="External" /><Relationship Type="http://schemas.openxmlformats.org/officeDocument/2006/relationships/hyperlink" Id="rId39" Target="https://digital-strategy.ec.europa.eu/en/faqs/general-purpose-ai-models-ai-act-questions-answers" TargetMode="External" /><Relationship Type="http://schemas.openxmlformats.org/officeDocument/2006/relationships/hyperlink" Id="rId41" Target="https://huggingface.co/blog/agent-intrusion-technical-timeline" TargetMode="External" /><Relationship Type="http://schemas.openxmlformats.org/officeDocument/2006/relationships/hyperlink" Id="rId37" Target="https://labs.cloudsecurityalliance.org/research/csa-research-note-ai-incident-disclosure-gap-eu-ai-act-20260/" TargetMode="External" /><Relationship Type="http://schemas.openxmlformats.org/officeDocument/2006/relationships/hyperlink" Id="rId36" Target="https://leginfo.legislature.ca.gov/faces/billTextClient.xhtml?bill_id=202520260SB53" TargetMode="External" /><Relationship Type="http://schemas.openxmlformats.org/officeDocument/2006/relationships/hyperlink" Id="rId42" Target="https://metr.org/blog/2026-08-26-openai-hugging-face-incident-investigation/" TargetMode="External" /><Relationship Type="http://schemas.openxmlformats.org/officeDocument/2006/relationships/hyperlink" Id="rId44" Target="https://openai.com/index/hugging-face-incident-and-the-road-ahead/" TargetMode="External" /><Relationship Type="http://schemas.openxmlformats.org/officeDocument/2006/relationships/hyperlink" Id="rId43" Target="https://openai.com/index/hugging-face-model-evaluation-security-incident/" TargetMode="External" /><Relationship Type="http://schemas.openxmlformats.org/officeDocument/2006/relationships/hyperlink" Id="rId45" Target="https://techcrunch.com/2026/09/05/openai-confirms-wiki-incident-says-its-working-on-a-framework-for-more-disclosure/" TargetMode="External" /><Relationship Type="http://schemas.openxmlformats.org/officeDocument/2006/relationships/hyperlink" Id="rId50" Target="https://web.archive.org/web/20260912133451/https://collusion.wiki/" TargetMode="External" /><Relationship Type="http://schemas.openxmlformats.org/officeDocument/2006/relationships/hyperlink" Id="rId35" Target="https://www.anthropic.com/research/investigating-incidents-cybersecurity-evals" TargetMode="External" /><Relationship Type="http://schemas.openxmlformats.org/officeDocument/2006/relationships/hyperlink" Id="rId40" Target="https://www.ibtimes.co.uk/openai-eu-scrutiny-dsewiki-incident-18183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Reached by Recital</dc:title>
  <dc:creator/>
  <cp:keywords/>
  <dcterms:created xsi:type="dcterms:W3CDTF">2026-09-14T07:26:50Z</dcterms:created>
  <dcterms:modified xsi:type="dcterms:W3CDTF">2026-09-14T07:26:50Z</dcterms:modified>
</cp:coreProperties>
</file>

<file path=docProps/custom.xml><?xml version="1.0" encoding="utf-8"?>
<Properties xmlns="http://schemas.openxmlformats.org/officeDocument/2006/custom-properties" xmlns:vt="http://schemas.openxmlformats.org/officeDocument/2006/docPropsVTypes"/>
</file>