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Part B, paragraph 6.</w:t>
      </w:r>
      <w:r>
        <w:t xml:space="preserve"> </w:t>
      </w:r>
      <w:r>
        <w:t xml:space="preserve">An earlier draft set out in the request itself the Commission’s reading of Recital 97 (deemed placement on integration into an own system made available or put into service, three cumulative conditions, the third unavailable to a model with systemic risk), Article 2(1), point (a) and Article 3, point (11) on the Union nexus, and Guidelines ¶22 on lifecycle. That is the reasoning behind Section I and it belongs here: stated in the request it reads as the Commission’s interpretation presented as settled law, which the Guidelines themselves (¶9) say it is not. The request now states the facts it needs and leaves the reading to the assessment.</w:t>
      </w:r>
    </w:p>
    <w:p>
      <w:pPr>
        <w:pStyle w:val="BodyText"/>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An earlier draft listed the possible bases—Guidelines ¶(100)’s cybersecurity-breach reading, the Article 3, point (49) route, or another—in a way that implied one was correct; the request now asks the basis neutrally and offers the two readings as an invitation. The reason for asking at all: the guidelines’ first route does not pass through Article 3, point (49), and a Provider answering only the Article 3, point (49) question could answer accurately and leave the operative question untouched. 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2026-09-14T07:26:50Z</dcterms:created>
  <dcterms:modified xsi:type="dcterms:W3CDTF">2026-09-14T07:26:50Z</dcterms:modified>
</cp:coreProperties>
</file>

<file path=docProps/custom.xml><?xml version="1.0" encoding="utf-8"?>
<Properties xmlns="http://schemas.openxmlformats.org/officeDocument/2006/custom-properties" xmlns:vt="http://schemas.openxmlformats.org/officeDocument/2006/docPropsVTypes"/>
</file>