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 and, the Provider being established in a third country, its authorised representative established in the Union appointed under Article 54, on whom this request is also served</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excludes pre-market research, testing and development activity. Public accounts describe the model principally involved in the episode at paragraph 4(a) as an internal research model not intended for release. Whether that model was placed on the market, in the Union, and carries systemic risk are facts on which the application of Chapter V depends, and they are asked first, at Section I.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model publicly designated GPT-5.6 Sol. The label is for the purposes of this request only; it is not a determination that the model is a general-purpose AI model with systemic risk within Article 51, which Requests 2 and 5 ask about.</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State whether, and on what date, the Provider appointed an authorised representative under Article 54 in respect of the Research Model or of any model developed downstream of the same large pre-training run.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and on what basis the Provider considered Article 55(1), point (c) to apply to it, and where the Provider considered that it did not apply, the reasoning. The Provider is invited, not required, to say whether it applied the reading of that provision set out at paragraph (100) of the Commission guidelines of 19 November 2025 (C(2025) 7719 final), or the definition at Article 3, point (49), or another basis.</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