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the provider will say</w:t>
      </w:r>
    </w:p>
    <w:p>
      <w:pPr>
        <w:pStyle w:val="Heading1"/>
      </w:pPr>
      <w:bookmarkStart w:id="20" w:name="what-the-provider-will-say"/>
      <w:r>
        <w:t xml:space="preserve">What the provider will say</w:t>
      </w:r>
      <w:bookmarkEnd w:id="20"/>
    </w:p>
    <w:p>
      <w:pPr>
        <w:pStyle w:val="FirstParagraph"/>
      </w:pPr>
      <w:r>
        <w:rPr>
          <w:i/>
        </w:rPr>
        <w:t xml:space="preserve">For the AI Office. Rendered by</w:t>
      </w:r>
      <w:r>
        <w:rPr>
          <w:i/>
        </w:rPr>
        <w:t xml:space="preserve"> </w:t>
      </w:r>
      <w:r>
        <w:rPr>
          <w:rStyle w:val="VerbatimChar"/>
          <w:i/>
        </w:rPr>
        <w:t xml:space="preserve">tools/objections.py</w:t>
      </w:r>
      <w:r>
        <w:rPr>
          <w:i/>
        </w:rPr>
        <w:t xml:space="preserve"> </w:t>
      </w:r>
      <w:r>
        <w:rPr>
          <w:i/>
        </w:rPr>
        <w:t xml:space="preserve">on 2026-09-13 from</w:t>
      </w:r>
      <w:r>
        <w:rPr>
          <w:i/>
        </w:rPr>
        <w:t xml:space="preserve"> </w:t>
      </w:r>
      <w:r>
        <w:rPr>
          <w:rStyle w:val="VerbatimChar"/>
          <w:i/>
        </w:rPr>
        <w:t xml:space="preserve">data/inferences.yaml</w:t>
      </w:r>
      <w:r>
        <w:rPr>
          <w:i/>
        </w:rPr>
        <w:t xml:space="preserve">: every load-bearing step in the analysis, weakest first, with the objection its own author recorded against it. A provider’s counsel will reach for these in roughly this order. Each row says where the step is stated so the answer can be found; the register itself, and</w:t>
      </w:r>
      <w:r>
        <w:rPr>
          <w:i/>
        </w:rPr>
        <w:t xml:space="preserve"> </w:t>
      </w:r>
      <w:r>
        <w:rPr>
          <w:rStyle w:val="VerbatimChar"/>
          <w:i/>
        </w:rPr>
        <w:t xml:space="preserve">python3 tools/infercheck.py --attack</w:t>
      </w:r>
      <w:r>
        <w:rPr>
          <w:i/>
        </w:rPr>
        <w:t xml:space="preserve">, are the source. Not a document of any Union body.</w:t>
      </w:r>
    </w:p>
    <w:p>
      <w:pPr>
        <w:pStyle w:val="BodyText"/>
      </w:pPr>
      <w:r>
        <w:t xml:space="preserve">A</w:t>
      </w:r>
      <w:r>
        <w:t xml:space="preserve"> </w:t>
      </w:r>
      <w:r>
        <w:rPr>
          <w:b/>
        </w:rPr>
        <w:t xml:space="preserve">step</w:t>
      </w:r>
      <w:r>
        <w:t xml:space="preserve"> </w:t>
      </w:r>
      <w:r>
        <w:t xml:space="preserve">inference flips wholly on one fact; a</w:t>
      </w:r>
      <w:r>
        <w:t xml:space="preserve"> </w:t>
      </w:r>
      <w:r>
        <w:rPr>
          <w:b/>
        </w:rPr>
        <w:t xml:space="preserve">graded</w:t>
      </w:r>
      <w:r>
        <w:t xml:space="preserve"> </w:t>
      </w:r>
      <w:r>
        <w:t xml:space="preserve">one moves the conclusion rather than breaking it. Strength is the author’s own estimate and is the softest thing here.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Strength</w:t>
            </w:r>
          </w:p>
        </w:tc>
        <w:tc>
          <w:tcPr>
            <w:tcBorders>
              <w:bottom w:val="single"/>
            </w:tcBorders>
            <w:vAlign w:val="bottom"/>
          </w:tcPr>
          <w:p>
            <w:pPr>
              <w:pStyle w:val="Compact"/>
              <w:jc w:val="left"/>
            </w:pPr>
            <w:r>
              <w:t xml:space="preserve">The objection, in the register’s words</w:t>
            </w:r>
          </w:p>
        </w:tc>
        <w:tc>
          <w:tcPr>
            <w:tcBorders>
              <w:bottom w:val="single"/>
            </w:tcBorders>
            <w:vAlign w:val="bottom"/>
          </w:tcPr>
          <w:p>
            <w:pPr>
              <w:pStyle w:val="Compact"/>
              <w:jc w:val="left"/>
            </w:pPr>
            <w:r>
              <w:t xml:space="preserve">Stated at</w:t>
            </w:r>
          </w:p>
        </w:tc>
      </w:tr>
      <w:tr>
        <w:tc>
          <w:p>
            <w:pPr>
              <w:pStyle w:val="Compact"/>
              <w:jc w:val="left"/>
            </w:pPr>
            <w:r>
              <w:t xml:space="preserve">1</w:t>
            </w:r>
          </w:p>
        </w:tc>
        <w:tc>
          <w:p>
            <w:pPr>
              <w:pStyle w:val="Compact"/>
              <w:jc w:val="left"/>
            </w:pPr>
            <w:r>
              <w:rPr>
                <w:rStyle w:val="VerbatimChar"/>
              </w:rPr>
              <w:t xml:space="preserve">inf-placement-event</w:t>
            </w:r>
            <w:r>
              <w:t xml:space="preserve">—The research model was, or is to be treated as, placed on the market - by integration into an own AI system put into service (Recital 97), by being intended for placement (the Q&amp;A), or by sharing a large pre-training run with a model that was placed (Guidelines para. 22) - so that its development was not activity ‘prior to’ placement.</w:t>
            </w:r>
          </w:p>
        </w:tc>
        <w:tc>
          <w:p>
            <w:pPr>
              <w:pStyle w:val="Compact"/>
              <w:jc w:val="left"/>
            </w:pPr>
            <w:r>
              <w:t xml:space="preserve">contestable / step</w:t>
            </w:r>
          </w:p>
        </w:tc>
        <w:tc>
          <w:p>
            <w:pPr>
              <w:pStyle w:val="Compact"/>
              <w:jc w:val="left"/>
            </w:pPr>
            <w:r>
              <w:t xml:space="preserve">THE RECORD ALREADY SUPPLIES ONE. The provider says the model was one of several “research models that were not intended for public release” and that its weights were quarantined after the incident; the investigators call it “a research model which was not intended for production”. The only system it is recorded as running in is the evaluation harness, and testing before putting into service is what Article 2(8) excludes. So on the disclosed record this step is not established, and one of its three routes is denied. What would establish it: use of the model in any own system put into service (Request 4a), or a shared large pre-training run with a placed model (Request 2b). Added 13 September 2026 after an external audit found the scope verdict stating one open condition where the route needs three.</w:t>
            </w:r>
          </w:p>
        </w:tc>
        <w:tc>
          <w:p>
            <w:pPr>
              <w:pStyle w:val="Compact"/>
              <w:jc w:val="left"/>
            </w:pPr>
            <w:r>
              <w:t xml:space="preserve">docs/report-draft.md §5.1 and §7</w:t>
            </w:r>
          </w:p>
        </w:tc>
      </w:tr>
      <w:tr>
        <w:tc>
          <w:p>
            <w:pPr>
              <w:pStyle w:val="Compact"/>
              <w:jc w:val="left"/>
            </w:pPr>
            <w:r>
              <w:t xml:space="preserve">2</w:t>
            </w:r>
          </w:p>
        </w:tc>
        <w:tc>
          <w:p>
            <w:pPr>
              <w:pStyle w:val="Compact"/>
              <w:jc w:val="left"/>
            </w:pPr>
            <w:r>
              <w:rPr>
                <w:rStyle w:val="VerbatimChar"/>
              </w:rPr>
              <w:t xml:space="preserve">inf-union-nexus</w:t>
            </w:r>
            <w:r>
              <w:t xml:space="preserve">—Any placement event under inf-placement-event occurred ‘in the Union’ within Article 2(1), point (a) and Article 3, point (11).</w:t>
            </w:r>
          </w:p>
        </w:tc>
        <w:tc>
          <w:p>
            <w:pPr>
              <w:pStyle w:val="Compact"/>
              <w:jc w:val="left"/>
            </w:pPr>
            <w:r>
              <w:t xml:space="preserve">contestable / step</w:t>
            </w:r>
          </w:p>
        </w:tc>
        <w:tc>
          <w:p>
            <w:pPr>
              <w:pStyle w:val="Compact"/>
              <w:jc w:val="left"/>
            </w:pPr>
            <w:r>
              <w:t xml:space="preserve">Nothing in the record addresses it, and the provider is established in a third country. The Guidelines’ internal-use example at para. 51 requires processes essential to third-party provision “or that affect the rights of natural persons in the Union”; Pistillo records that how ‘in the Union’ will be read remains unclear. Request 4a asks where any own system incorporating the model was put into service. This inference is recorded as unestablished rather than as probable.</w:t>
            </w:r>
          </w:p>
        </w:tc>
        <w:tc>
          <w:p>
            <w:pPr>
              <w:pStyle w:val="Compact"/>
              <w:jc w:val="left"/>
            </w:pPr>
            <w:r>
              <w:t xml:space="preserve">docs/report-draft.md §5.1 and §7</w:t>
            </w:r>
          </w:p>
        </w:tc>
      </w:tr>
      <w:tr>
        <w:tc>
          <w:p>
            <w:pPr>
              <w:pStyle w:val="Compact"/>
              <w:jc w:val="left"/>
            </w:pPr>
            <w:r>
              <w:t xml:space="preserve">3</w:t>
            </w:r>
          </w:p>
        </w:tc>
        <w:tc>
          <w:p>
            <w:pPr>
              <w:pStyle w:val="Compact"/>
              <w:jc w:val="left"/>
            </w:pPr>
            <w:r>
              <w:rPr>
                <w:rStyle w:val="VerbatimChar"/>
              </w:rPr>
              <w:t xml:space="preserve">inf-opinion-construes</w:t>
            </w:r>
            <w:r>
              <w:t xml:space="preserve">—Commission Opinion C(2025) 5361 final at paragraph 33, in saying the Code sets out ‘what without undue delay typically requires of reporting timelines’, is stating what the statutory phrase in Article 55(1), point (c) requires, not merely describing what Commitment 9 contains.</w:t>
            </w:r>
          </w:p>
        </w:tc>
        <w:tc>
          <w:p>
            <w:pPr>
              <w:pStyle w:val="Compact"/>
              <w:jc w:val="left"/>
            </w:pPr>
            <w:r>
              <w:t xml:space="preserve">contestable / graded</w:t>
            </w:r>
          </w:p>
        </w:tc>
        <w:tc>
          <w:p>
            <w:pPr>
              <w:pStyle w:val="Compact"/>
              <w:jc w:val="left"/>
            </w:pPr>
            <w:r>
              <w:t xml:space="preserve">The competing reading, that the paragraph summarises a chapter of the Code rather than construing the Act. The sentence sits in a passage framed as compliance ‘pursuant to Article 55(1), point (c)‘, which favours this reading but does not settle it. FLAGGED BY THE AUTHOR AS THE MOST ARGUABLE STEP HERE.</w:t>
            </w:r>
          </w:p>
        </w:tc>
        <w:tc>
          <w:p>
            <w:pPr>
              <w:pStyle w:val="Compact"/>
              <w:jc w:val="left"/>
            </w:pPr>
            <w:r>
              <w:t xml:space="preserve">docs/report-draft.md §5.2; protocol/01-statutory-foundation.md §5a</w:t>
            </w:r>
          </w:p>
        </w:tc>
      </w:tr>
      <w:tr>
        <w:tc>
          <w:p>
            <w:pPr>
              <w:pStyle w:val="Compact"/>
              <w:jc w:val="left"/>
            </w:pPr>
            <w:r>
              <w:t xml:space="preserve">4</w:t>
            </w:r>
          </w:p>
        </w:tc>
        <w:tc>
          <w:p>
            <w:pPr>
              <w:pStyle w:val="Compact"/>
              <w:jc w:val="left"/>
            </w:pPr>
            <w:r>
              <w:rPr>
                <w:rStyle w:val="VerbatimChar"/>
              </w:rPr>
              <w:t xml:space="preserve">inf-scaffolding-attribution</w:t>
            </w:r>
            <w:r>
              <w:t xml:space="preserve">—The conduct in the incident is attributable to the general-purpose AI MODEL and so to its provider, rather than to downstream scaffolding - the harness, memory, execution loop and tool access - which is where agentic behaviour largely resides and which may be another actor’s.</w:t>
            </w:r>
          </w:p>
        </w:tc>
        <w:tc>
          <w:p>
            <w:pPr>
              <w:pStyle w:val="Compact"/>
              <w:jc w:val="left"/>
            </w:pPr>
            <w:r>
              <w:t xml:space="preserve">contestable / graded</w:t>
            </w:r>
          </w:p>
        </w:tc>
        <w:tc>
          <w:p>
            <w:pPr>
              <w:pStyle w:val="Compact"/>
              <w:jc w:val="left"/>
            </w:pPr>
            <w:r>
              <w:t xml:space="preserve">THE OBJECTION THAT OUTLIVES A SCOPE FINDING, though not the provider’s strongest - scope and territory defeat everything, where this defeats attribution under Article 55(1), points (c) and (d) alone and leaves Article 52(1) and Article 55(1), point (b) untouched. It attacks attribution rather than definition, so it survives even if scope resolves against them. One reply the earlier version of this entry missed: Article 3, point (49), Measure 9.3 of the Code and Guidelines para. (100) all reach involvement that is the model’s “directly or indirectly”, which is the language a harness objection has to get past. Persistent goal-seeking, memory and tool invocation are properties of scaffolding rather than of raw weights; if the scaffolding was built by a different actor, the conduct may not be the model provider’s at all. What blunts it here, and only partly, is that the provider’s own account describes the evaluation environment as its own and names the absent safeguards as its own - “system prompts, harnesses, and control mechanisms” - so on these facts the scaffolding appears to be the same undertaking’s. ARTICLE 75(1), POINT (a) BLUNTS IT FURTHER, AND NOT COMPLETELY. The AI Office is exclusively competent for the supervision and enforcement of AI systems “based on general-purpose AI models where the model and the system are developed by the same provider, or by providers forming part of the same undertaking as that provider”, and Art. 75(1a) routes those systems’ serious-incident reports to the AI Office with Art. 73(2) to (9) applying mutatis mutandis. So the Act already contemplates model plus own scaffolding as a regulated unit under one authority, and the “same undertaking” limb defeats the corporate-structure version of the objection, where a subsidiary built the harness. BE PRECISE ABOUT WHAT THAT DOES: it is a JURISDICTIONAL answer, not an ATTRIBUTION one. It shows the objection opens no regulatory gap - the provider cannot say “that was the system, not the model” and thereby leave the AI Office’s competence. It does not show that the scaffolded system’s conduct is the model’s for Art. 55 purposes. And where the scaffolding IS a third party’s, Art. 75(1), point (a) says so by its own terms and the objection keeps its full force. That is a fact about this incident, not a general answer, and a cross-walk run on a different incident should expect this to be the first thing a provider says.</w:t>
            </w:r>
          </w:p>
        </w:tc>
        <w:tc>
          <w:p>
            <w:pPr>
              <w:pStyle w:val="Compact"/>
              <w:jc w:val="left"/>
            </w:pPr>
            <w:r>
              <w:t xml:space="preserve">docs/report-draft.md §5.1</w:t>
            </w:r>
          </w:p>
        </w:tc>
      </w:tr>
      <w:tr>
        <w:tc>
          <w:p>
            <w:pPr>
              <w:pStyle w:val="Compact"/>
              <w:jc w:val="left"/>
            </w:pPr>
            <w:r>
              <w:t xml:space="preserve">5</w:t>
            </w:r>
          </w:p>
        </w:tc>
        <w:tc>
          <w:p>
            <w:pPr>
              <w:pStyle w:val="Compact"/>
              <w:jc w:val="left"/>
            </w:pPr>
            <w:r>
              <w:rPr>
                <w:rStyle w:val="VerbatimChar"/>
              </w:rPr>
              <w:t xml:space="preserve">inf-relocation</w:t>
            </w:r>
            <w:r>
              <w:t xml:space="preserve">—Recital 97 does not except Article 2(8); it relocates the moment of placement, so that the development was never activity ‘prior to’ placing on the market and Article 2(8) never engages.</w:t>
            </w:r>
          </w:p>
        </w:tc>
        <w:tc>
          <w:p>
            <w:pPr>
              <w:pStyle w:val="Compact"/>
              <w:jc w:val="left"/>
            </w:pPr>
            <w:r>
              <w:t xml:space="preserve">moderate / step</w:t>
            </w:r>
          </w:p>
        </w:tc>
        <w:tc>
          <w:p>
            <w:pPr>
              <w:pStyle w:val="Compact"/>
              <w:jc w:val="left"/>
            </w:pPr>
            <w:r>
              <w:t xml:space="preserve">A reading on which Article 2(8) still bites after deemed placement, which would put the recital in conflict with the enacting text rather than in sequence with it. The Commission’s Q&amp;A treats development-phase duties as applying, which is evidence against that reading but is not enacting text.</w:t>
            </w:r>
          </w:p>
        </w:tc>
        <w:tc>
          <w:p>
            <w:pPr>
              <w:pStyle w:val="Compact"/>
              <w:jc w:val="left"/>
            </w:pPr>
            <w:r>
              <w:t xml:space="preserve">docs/report-draft.md §5.1; protocol/01-statutory-foundation.md §1.3a</w:t>
            </w:r>
          </w:p>
        </w:tc>
      </w:tr>
      <w:tr>
        <w:tc>
          <w:p>
            <w:pPr>
              <w:pStyle w:val="Compact"/>
              <w:jc w:val="left"/>
            </w:pPr>
            <w:r>
              <w:t xml:space="preserve">6</w:t>
            </w:r>
          </w:p>
        </w:tc>
        <w:tc>
          <w:p>
            <w:pPr>
              <w:pStyle w:val="Compact"/>
              <w:jc w:val="left"/>
            </w:pPr>
            <w:r>
              <w:rPr>
                <w:rStyle w:val="VerbatimChar"/>
              </w:rPr>
              <w:t xml:space="preserve">inf-product-oriented</w:t>
            </w:r>
            <w:r>
              <w:t xml:space="preserve">—A frontier developer’s cyber-capability evaluation, run on its own account “to determine the appropriate safeguards for deployment”, is ‘product-oriented’ research within Recital 25 rather than scientific research within Article 2(6), so the research provisions postpone rather than exempt - and a postponement only matters for a model that is later placed.</w:t>
            </w:r>
          </w:p>
        </w:tc>
        <w:tc>
          <w:p>
            <w:pPr>
              <w:pStyle w:val="Compact"/>
              <w:jc w:val="left"/>
            </w:pPr>
            <w:r>
              <w:t xml:space="preserve">moderate / graded</w:t>
            </w:r>
          </w:p>
        </w:tc>
        <w:tc>
          <w:p>
            <w:pPr>
              <w:pStyle w:val="Compact"/>
              <w:jc w:val="left"/>
            </w:pPr>
            <w:r>
              <w:t xml:space="preserve">Evidence that the evaluation was conducted for the sole purpose of scientific research and development. An earlier version of this inference rested on “a model it intends to ship”, with no source premise; the provider’s own account, quoted at §1 of the report, says the model was “not intended for public release”, which is why the placement question is now its own inference (inf-placement-event) rather than an assumption inside this one.</w:t>
            </w:r>
          </w:p>
        </w:tc>
        <w:tc>
          <w:p>
            <w:pPr>
              <w:pStyle w:val="Compact"/>
              <w:jc w:val="left"/>
            </w:pPr>
            <w:r>
              <w:t xml:space="preserve">docs/report-draft.md §5.1</w:t>
            </w:r>
          </w:p>
        </w:tc>
      </w:tr>
      <w:tr>
        <w:tc>
          <w:p>
            <w:pPr>
              <w:pStyle w:val="Compact"/>
              <w:jc w:val="left"/>
            </w:pPr>
            <w:r>
              <w:t xml:space="preserve">7</w:t>
            </w:r>
          </w:p>
        </w:tc>
        <w:tc>
          <w:p>
            <w:pPr>
              <w:pStyle w:val="Compact"/>
              <w:jc w:val="left"/>
            </w:pPr>
            <w:r>
              <w:rPr>
                <w:rStyle w:val="VerbatimChar"/>
              </w:rPr>
              <w:t xml:space="preserve">inf-attach</w:t>
            </w:r>
            <w:r>
              <w:t xml:space="preserve">—On the Commission’s reading the Chapter V obligations attach to the internal research model, by deemed placement under Recital 97 with the internal-use exception unavailable to a model carrying systemic risk.</w:t>
            </w:r>
          </w:p>
        </w:tc>
        <w:tc>
          <w:p>
            <w:pPr>
              <w:pStyle w:val="Compact"/>
              <w:jc w:val="left"/>
            </w:pPr>
            <w:r>
              <w:t xml:space="preserve">moderate / step</w:t>
            </w:r>
          </w:p>
        </w:tc>
        <w:tc>
          <w:p>
            <w:pPr>
              <w:pStyle w:val="Compact"/>
              <w:jc w:val="left"/>
            </w:pPr>
            <w:r>
              <w:t xml:space="preserve">A holding that a recital cannot supply a deeming rule the enacting definition withholds: Nilsson, C-162/97, para. 54, and in the sharper form Deutsches Milch-Kontor, C-136/04, para. 32 - a preamble cannot be relied on “either as a ground for derogating from the actual provisions of the act in question or for interpreting those provisions in a manner clearly contrary to their wording”. The second limb is what a challenge would be argued from, AND IT BITES UNEVENLY. Recital 97 has two limbs: an own system MADE AVAILABLE ON THE MARKET, where the embedded model is supplied for use on the Union market in the course of a commercial activity and Article 3, points (9) and (10) are arguably just being applied; and an own system merely PUT INTO SERVICE, where nothing is supplied to anyone and putting into service is the trigger Article 2(1), point (a) withholds from models. A never-released model can only use the second limb. The Commission does not rest the second limb on the recital alone - Guidelines para. 51 lists essential internal use among its examples of placing on the market, read with the Blue Guide - so a challenge is really against that reading of ‘making available’, which is Pistillo’s second pathway. Whether own use can be a supply is the question, and the enacting text does not settle it.</w:t>
            </w:r>
          </w:p>
        </w:tc>
        <w:tc>
          <w:p>
            <w:pPr>
              <w:pStyle w:val="Compact"/>
              <w:jc w:val="left"/>
            </w:pPr>
            <w:r>
              <w:t xml:space="preserve">docs/report-draft.md §5.1 and §7</w:t>
            </w:r>
          </w:p>
        </w:tc>
      </w:tr>
      <w:tr>
        <w:tc>
          <w:p>
            <w:pPr>
              <w:pStyle w:val="Compact"/>
              <w:jc w:val="left"/>
            </w:pPr>
            <w:r>
              <w:t xml:space="preserve">8</w:t>
            </w:r>
          </w:p>
        </w:tc>
        <w:tc>
          <w:p>
            <w:pPr>
              <w:pStyle w:val="Compact"/>
              <w:jc w:val="left"/>
            </w:pPr>
            <w:r>
              <w:rPr>
                <w:rStyle w:val="VerbatimChar"/>
              </w:rPr>
              <w:t xml:space="preserve">inf-asymmetry</w:t>
            </w:r>
            <w:r>
              <w:t xml:space="preserve">—Article 2(1), point (a) catches AI systems on placing on the market OR putting into service, but general-purpose AI models on placing on the market alone, and that difference is on the face of the enacting text rather than an artefact of reading.</w:t>
            </w:r>
          </w:p>
        </w:tc>
        <w:tc>
          <w:p>
            <w:pPr>
              <w:pStyle w:val="Compact"/>
              <w:jc w:val="left"/>
            </w:pPr>
            <w:r>
              <w:t xml:space="preserve">strong / step</w:t>
            </w:r>
          </w:p>
        </w:tc>
        <w:tc>
          <w:p>
            <w:pPr>
              <w:pStyle w:val="Compact"/>
              <w:jc w:val="left"/>
            </w:pPr>
            <w:r>
              <w:t xml:space="preserve">Any enacting provision applying a putting-into-service trigger to models. Article 2(1), points (b) to (g) were read for this and none does.</w:t>
            </w:r>
          </w:p>
        </w:tc>
        <w:tc>
          <w:p>
            <w:pPr>
              <w:pStyle w:val="Compact"/>
              <w:jc w:val="left"/>
            </w:pPr>
            <w:r>
              <w:t xml:space="preserve">docs/report-draft.md §5.1 step one</w:t>
            </w:r>
          </w:p>
        </w:tc>
      </w:tr>
      <w:tr>
        <w:tc>
          <w:p>
            <w:pPr>
              <w:pStyle w:val="Compact"/>
              <w:jc w:val="left"/>
            </w:pPr>
            <w:r>
              <w:t xml:space="preserve">9</w:t>
            </w:r>
          </w:p>
        </w:tc>
        <w:tc>
          <w:p>
            <w:pPr>
              <w:pStyle w:val="Compact"/>
              <w:jc w:val="left"/>
            </w:pPr>
            <w:r>
              <w:rPr>
                <w:rStyle w:val="VerbatimChar"/>
              </w:rPr>
              <w:t xml:space="preserve">inf-form-cannot-evidence</w:t>
            </w:r>
            <w:r>
              <w:t xml:space="preserve">—The Commission’s serious-incident template cannot evidence compliance with the Code’s own reporting periods, because the template states on its face that it demonstrates compliance with Article 55(1), point (c) “as part of Commitment 9”, every INITIAL-REPORT period in Measure 9.3 runs from the date a Signatory becomes aware of its model’s involvement (the intermediate and final periods run from the initial report and from resolution), and the template asks for no date but the incident’s own start and end. The omission is inherited: fields 1 to 9 transcribe Measure 9.2 item for item, and Measure 9.2 has no awareness item either.</w:t>
            </w:r>
          </w:p>
        </w:tc>
        <w:tc>
          <w:p>
            <w:pPr>
              <w:pStyle w:val="Compact"/>
              <w:jc w:val="left"/>
            </w:pPr>
            <w:r>
              <w:t xml:space="preserve">strong / step</w:t>
            </w:r>
          </w:p>
        </w:tc>
        <w:tc>
          <w:p>
            <w:pPr>
              <w:pStyle w:val="Compact"/>
              <w:jc w:val="left"/>
            </w:pPr>
            <w:r>
              <w:t xml:space="preserve">A field, an instruction or accompanying guidance requiring the date of awareness. The form was searched in both published renditions, at the level of the DOCX’s own stored field labels rather than a PDF text layer, and the library page was read; neither contains one. The EU SEND submission channel has NOT been seen, and a portal could capture a receipt timestamp the form does not - which would answer the date of submission but still not the date of awareness.</w:t>
            </w:r>
          </w:p>
        </w:tc>
        <w:tc>
          <w:p>
            <w:pPr>
              <w:pStyle w:val="Compact"/>
              <w:jc w:val="left"/>
            </w:pPr>
            <w:r>
              <w:t xml:space="preserve">docs/report-draft.md §5.2; docs/appendix-forms.md §3</w:t>
            </w:r>
          </w:p>
        </w:tc>
      </w:tr>
      <w:tr>
        <w:tc>
          <w:p>
            <w:pPr>
              <w:pStyle w:val="Compact"/>
              <w:jc w:val="left"/>
            </w:pPr>
            <w:r>
              <w:t xml:space="preserve">10</w:t>
            </w:r>
          </w:p>
        </w:tc>
        <w:tc>
          <w:p>
            <w:pPr>
              <w:pStyle w:val="Compact"/>
              <w:jc w:val="left"/>
            </w:pPr>
            <w:r>
              <w:rPr>
                <w:rStyle w:val="VerbatimChar"/>
              </w:rPr>
              <w:t xml:space="preserve">inf-cyber-covered</w:t>
            </w:r>
            <w:r>
              <w:t xml:space="preserve">—A serious cybersecurity breach involving a model with systemic risk falls within the Article 55(1), point (c) obligation itself, and not only within the Code, because the AI Office says so at paragraph (100) of the GPAI Guidelines and anchors it in Article 55(1), points (b) and (d).</w:t>
            </w:r>
          </w:p>
        </w:tc>
        <w:tc>
          <w:p>
            <w:pPr>
              <w:pStyle w:val="Compact"/>
              <w:jc w:val="left"/>
            </w:pPr>
            <w:r>
              <w:t xml:space="preserve">strong / step</w:t>
            </w:r>
          </w:p>
        </w:tc>
        <w:tc>
          <w:p>
            <w:pPr>
              <w:pStyle w:val="Compact"/>
              <w:jc w:val="left"/>
            </w:pPr>
            <w:r>
              <w:t xml:space="preserve">That the Guidelines bind nobody and disclaim authority to interpret the Act, which their own para. 9 says in terms. What survives that objection is enforcement posture: the body that would bring proceedings has published the reading on which it will act. A holding that Article 55(1), point (c) is confined to Article 3(49) events would defeat it outright, and nothing in the enacting text compels the wider reading.</w:t>
            </w:r>
          </w:p>
        </w:tc>
        <w:tc>
          <w:p>
            <w:pPr>
              <w:pStyle w:val="Compact"/>
              <w:jc w:val="left"/>
            </w:pPr>
            <w:r>
              <w:t xml:space="preserve">docs/report-draft.md §5.2</w:t>
            </w:r>
          </w:p>
        </w:tc>
      </w:tr>
      <w:tr>
        <w:tc>
          <w:p>
            <w:pPr>
              <w:pStyle w:val="Compact"/>
              <w:jc w:val="left"/>
            </w:pPr>
            <w:r>
              <w:t xml:space="preserve">11</w:t>
            </w:r>
          </w:p>
        </w:tc>
        <w:tc>
          <w:p>
            <w:pPr>
              <w:pStyle w:val="Compact"/>
              <w:jc w:val="left"/>
            </w:pPr>
            <w:r>
              <w:rPr>
                <w:rStyle w:val="VerbatimChar"/>
              </w:rPr>
              <w:t xml:space="preserve">inf-instrument-selection</w:t>
            </w:r>
            <w:r>
              <w:t xml:space="preserve">—Which serious-incident regime applies to one undertaking’s own model running inside its own system is selected by whether the thing pointed at is the model or the system, and not by the severity of what happened - so the regime governing models with systemic risk carries the thinner instrument, no statutory period, no classification and no awareness field, while the system regime carries Article 73’s periods and a seven-page form.</w:t>
            </w:r>
          </w:p>
        </w:tc>
        <w:tc>
          <w:p>
            <w:pPr>
              <w:pStyle w:val="Compact"/>
              <w:jc w:val="left"/>
            </w:pPr>
            <w:r>
              <w:t xml:space="preserve">strong / step</w:t>
            </w:r>
          </w:p>
        </w:tc>
        <w:tc>
          <w:p>
            <w:pPr>
              <w:pStyle w:val="Compact"/>
              <w:jc w:val="left"/>
            </w:pPr>
            <w:r>
              <w:t xml:space="preserve">Any provision or guidance making the choice of regime turn on severity, or applying Article 73’s periods to a model directly. None found. The nearest thing running the other way is that Article 75(1a) only reaches providers of HIGH-RISK AI systems, so on facts where the own-system is not high-risk the regimes do not both apply at all - which does not defeat the claim, it is the claim: a non-high-risk system carrying a systemic-risk model is reported under the lighter regime alone. What WOULD defeat it is a final Article 73 guidance extending to Article 55(1), point (c), or a general-purpose template revised to carry the structural fields; the draft guidance at para. (4) excludes general-purpose models by name, and the template was published in that state. TWO LIMITS THE FIRST VERSION OF THIS ENTRY DID NOT STATE. This is a claim about structure, and as structure it needs nothing from the scope inferences; applied to THIS incident it needs inf-attach (the model must be one with systemic risk for the Article 55(1), point (c) regime to be the applicable one) and inf-scaffolding-attribution (the system must be the same undertaking’s). And it is prospective: Article 73 has applied only since 2 August 2026, Article 75(1a) since 27 July 2026, the high-risk classification both depend on is deferred to 2 December 2027 and 2 August 2028, and the seven-page form is a consultation draft. The comparison is between two drafting choices, not two live regimes. Also: the general-purpose template’s omission is not the Commission’s drafting choice but the Code’s - fields 1 to 9 transcribe Measure 9.2 item for item - so the report no longer calls the bifurcation the omission’s “cause”.</w:t>
            </w:r>
          </w:p>
        </w:tc>
        <w:tc>
          <w:p>
            <w:pPr>
              <w:pStyle w:val="Compact"/>
              <w:jc w:val="left"/>
            </w:pPr>
            <w:r>
              <w:t xml:space="preserve">docs/report-draft.md §5.2</w:t>
            </w:r>
          </w:p>
        </w:tc>
      </w:tr>
    </w:tbl>
    <w:p>
      <w:pPr>
        <w:pStyle w:val="BodyText"/>
      </w:pPr>
      <w:r>
        <w:rPr>
          <w:b/>
        </w:rPr>
        <w:t xml:space="preserve">How to read it.</w:t>
      </w:r>
      <w:r>
        <w:t xml:space="preserve"> </w:t>
      </w:r>
      <w:r>
        <w:t xml:space="preserve">The first rows are where the analysis expects to be attacked and where a reply should be prepared before the response to the request is opened. Rows marked</w:t>
      </w:r>
      <w:r>
        <w:t xml:space="preserve"> </w:t>
      </w:r>
      <w:r>
        <w:rPr>
          <w:i/>
        </w:rPr>
        <w:t xml:space="preserve">strong</w:t>
      </w:r>
      <w:r>
        <w:t xml:space="preserve"> </w:t>
      </w:r>
      <w:r>
        <w:t xml:space="preserve">are where a provider’s objection would have to be argued from something the register has not seen; the register names what that would be. Nothing above is a prediction of what any provider will in fact say.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provider will say</dc:title>
  <dc:creator/>
  <cp:keywords/>
  <dcterms:created xsi:type="dcterms:W3CDTF">2026-09-14T07:26:50Z</dcterms:created>
  <dcterms:modified xsi:type="dcterms:W3CDTF">2026-09-14T07:26:50Z</dcterms:modified>
</cp:coreProperties>
</file>

<file path=docProps/custom.xml><?xml version="1.0" encoding="utf-8"?>
<Properties xmlns="http://schemas.openxmlformats.org/officeDocument/2006/custom-properties" xmlns:vt="http://schemas.openxmlformats.org/officeDocument/2006/docPropsVTypes"/>
</file>