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provides that the Regulation does not apply to research, testing or development activity prior to placing on the market or putting into service, save for testing in real-world conditions within the meaning of Article 3, point (57). Public accounts describe the model principally involved in the episode at paragraph 4(a) as an internal research model not intended for release. Recital 97 provides that a model integrated into its provider’s own AI system made available on the market or put into service is to be considered placed on the market, subject to three cumulative conditions the third of which is unavailable to a model with systemic risk; Article 2(1), point (a) and Article 3, point (11) locate placing on the market and own use in the Union; and the Commission’s guidelines of 19 November 2025 (C(2025) 7719 final) at paragraph 22 treat a model’s lifecycle as beginning at the start of its large pre-training run, so that different stages of development are not different models. The facts those provisions turn on are asked at Section I, and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general-purpose AI model publicly designated GPT-5.6 Sol.</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the Provider treated the episode as falling within Article 55(1), point (c)</w:t>
      </w:r>
      <w:r>
        <w:t xml:space="preserve"> </w:t>
      </w:r>
      <w:r>
        <w:rPr>
          <w:b/>
        </w:rPr>
        <w:t xml:space="preserve">as a serious cybersecurity breach related to the model or its physical infrastructure</w:t>
      </w:r>
      <w:r>
        <w:t xml:space="preserve">, within the meaning given at paragraph (100) of the Commission guidelines of 19 November 2025 (C(2025) 7719 final), that reading being anchored in Article 55(1), points (b) and (d) and not requiring any of the events listed in Article 3, point (49); or, alternatively, as an incident or malfunctioning of the model leading directly or indirectly to an event listed in Article 3, point (49), points (a) to (d); or on some other basis, which should be stated. Where the Provider considers that no such route applies, state the reasoning.</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2026-09-13T13:02:35Z</dcterms:created>
  <dcterms:modified xsi:type="dcterms:W3CDTF">2026-09-13T13:02:35Z</dcterms:modified>
</cp:coreProperties>
</file>

<file path=docProps/custom.xml><?xml version="1.0" encoding="utf-8"?>
<Properties xmlns="http://schemas.openxmlformats.org/officeDocument/2006/custom-properties" xmlns:vt="http://schemas.openxmlformats.org/officeDocument/2006/docPropsVTypes"/>
</file>