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Reached by Recital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reached-by-recital"/>
      <w:r>
        <w:t xml:space="preserve">Reached by Recital</w:t>
      </w:r>
      <w:bookmarkEnd w:id="20"/>
    </w:p>
    <w:p>
      <w:pPr>
        <w:pStyle w:val="Heading3"/>
      </w:pPr>
      <w:bookmarkStart w:id="21" w:name="X03be4cf417ec6a4b1a077a0b55a25562be9506e"/>
      <w:r>
        <w:t xml:space="preserve">An enforcement pack for a pre-market research model under the EU AI Act, and the three facts it turns on</w:t>
      </w:r>
      <w:bookmarkEnd w:id="21"/>
    </w:p>
    <w:p>
      <w:pPr>
        <w:pStyle w:val="FirstParagraph"/>
      </w:pPr>
      <w:r>
        <w:rPr>
          <w:b/>
        </w:rPr>
        <w:t xml:space="preserve">Bradley Quinlan</w:t>
      </w:r>
      <w:r>
        <w:t xml:space="preserve">, University of Essex</w:t>
      </w:r>
      <w:r>
        <w:t xml:space="preserve"> </w:t>
      </w:r>
      <w:r>
        <w:t xml:space="preserve">Track 3, Regulatory Response · Apart Research / CeSIA AI Incident Response Sprint, 11–13 September 2026</w:t>
      </w:r>
    </w:p>
    <w:p>
      <w:r>
        <w:pict>
          <v:rect style="width:0;height:1.5pt" o:hralign="center" o:hrstd="t" o:hr="t"/>
        </w:pict>
      </w:r>
    </w:p>
    <w:p>
      <w:pPr>
        <w:pStyle w:val="Heading2"/>
      </w:pPr>
      <w:bookmarkStart w:id="22" w:name="abstract"/>
      <w:r>
        <w:t xml:space="preserve">Abstract</w:t>
      </w:r>
      <w:bookmarkEnd w:id="22"/>
    </w:p>
    <w:p>
      <w:pPr>
        <w:pStyle w:val="FirstParagraph"/>
      </w:pPr>
      <w: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On the Commission’s reading the obligations attach, but by a route through Recital 97 and non-binding guidance rather than the enacting definition, and the route needs three facts the public record does not supply—one of which the provider’s own account denies. This report delivers the documents a regulator and a legislator would need rather than an analysis of them: a model Article 91 request that asks the three facts, an issuing note and an answer matrix that say what each answer does, the Commission’s serious-incident template rebuilt with the two fields it lacks, and three amendments to the Regulation drafted in current-text/amended-text form. A second finding needs none of the scope reading: the template never asks when the provider became aware, though every initial-report period in the Code runs from awareness, because the template transcribes the Code’s list of contents and the list omits it. Every document is derived only from text held and verified in the accompanying repository, whose checkers and corrections log are the method.</w:t>
      </w:r>
    </w:p>
    <w:p>
      <w:r>
        <w:pict>
          <v:rect style="width:0;height:1.5pt" o:hralign="center" o:hrstd="t" o:hr="t"/>
        </w:pict>
      </w:r>
    </w:p>
    <w:p>
      <w:pPr>
        <w:pStyle w:val="Heading2"/>
      </w:pPr>
      <w:bookmarkStart w:id="23" w:name="X9b8c9eead3e26f7a0de100704a614590ce76b17"/>
      <w:r>
        <w:t xml:space="preserve">1. The question, and the answer</w:t>
      </w:r>
      <w:bookmarkEnd w:id="23"/>
    </w:p>
    <w:p>
      <w:pPr>
        <w:pStyle w:val="FirstParagraph"/>
      </w:pPr>
      <w: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2026). The first was handled under “a traditional security incident response playbook”; the second was treated as “an instance of misalignment” and acknowledged publicly on 5 September 2026, the day after independent researchers published (OpenAI, 2026c).</w:t>
      </w:r>
    </w:p>
    <w:p>
      <w:pPr>
        <w:pStyle w:val="BodyText"/>
      </w:pPr>
      <w: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 threshold question.</w:t>
      </w:r>
    </w:p>
    <w:p>
      <w:pPr>
        <w:pStyle w:val="BodyText"/>
      </w:pPr>
      <w:r>
        <w:rPr>
          <w:b/>
        </w:rPr>
        <w:t xml:space="preserve">The answer.</w:t>
      </w:r>
      <w:r>
        <w:t xml:space="preserve"> </w:t>
      </w:r>
      <w:r>
        <w:t xml:space="preserve">On the Commission’s reading they attach, and the route is the finding. Recital 97 supplies a “sole purpose” qualifier and three conditions that Article 3, point (63) does not contain, and deems a model integrated into its provider’s own AI system put into service to be placed on the market, with the internal-use exception unavailable to a model carrying systemic risk. That route needs three facts. That the model carries systemic risk, which turns on a training-compute figure nobody outside the provider knows. That there was a placement event—integration into an own system put into service, an intention to place, or a shared pre-training run with a model that was placed—where the provider says the model was “not intended for public release”. And that the placement was in the Union, which no account addresses. If all three hold, a two-week notification duty under Article 52(1) was engaged during development. If any fails, the research model is outside Chapter V on the Commission’s own reading and the case is a legislative one. Nobody outside the provider can say which, and the Regulation contains the instrument for asking.</w:t>
      </w:r>
    </w:p>
    <w:p>
      <w:pPr>
        <w:pStyle w:val="Heading2"/>
      </w:pPr>
      <w:bookmarkStart w:id="24" w:name="X038f17a73cda6b5a688d239ed2c3f77fdf76150"/>
      <w:r>
        <w:t xml:space="preserve">2. What was built</w:t>
      </w:r>
      <w:bookmarkEnd w:id="24"/>
    </w:p>
    <w:p>
      <w:pPr>
        <w:pStyle w:val="FirstParagraph"/>
      </w:pPr>
      <w:r>
        <w:t xml:space="preserve">An enforcement pack, in</w:t>
      </w:r>
      <w:r>
        <w:t xml:space="preserve"> </w:t>
      </w:r>
      <w:r>
        <w:rPr>
          <w:rStyle w:val="VerbatimChar"/>
        </w:rPr>
        <w:t xml:space="preserve">instrument/</w:t>
      </w:r>
      <w:r>
        <w:t xml:space="preserve">, each document in the form its addressee would issue or adopt. A reader with twenty minutes takes the first four in order; the rest is the working behind them.</w:t>
      </w:r>
    </w:p>
    <w:p>
      <w:pPr>
        <w:numPr>
          <w:ilvl w:val="0"/>
          <w:numId w:val="1001"/>
        </w:numPr>
        <w:pStyle w:val="Compact"/>
      </w:pPr>
      <w:r>
        <w:rPr>
          <w:b/>
        </w:rPr>
        <w:t xml:space="preserve">A cover note</w:t>
      </w:r>
      <w:r>
        <w:t xml:space="preserve"> </w:t>
      </w:r>
      <w:r>
        <w:t xml:space="preserve">to the AI Office: what the record establishes, what it does not, what one request settles, what one form change fixes.</w:t>
      </w:r>
    </w:p>
    <w:p>
      <w:pPr>
        <w:numPr>
          <w:ilvl w:val="0"/>
          <w:numId w:val="1001"/>
        </w:numPr>
        <w:pStyle w:val="Compact"/>
      </w:pPr>
      <w:r>
        <w:rPr>
          <w:b/>
        </w:rPr>
        <w:t xml:space="preserve">A model Article 91 request</w:t>
      </w:r>
      <w:r>
        <w:t xml:space="preserve">, in Article 91(4)’s required form, issued in the Commission’s name, asking the three facts first and the documentation and reporting questions after.</w:t>
      </w:r>
    </w:p>
    <w:p>
      <w:pPr>
        <w:numPr>
          <w:ilvl w:val="0"/>
          <w:numId w:val="1001"/>
        </w:numPr>
        <w:pStyle w:val="Compact"/>
      </w:pPr>
      <w:r>
        <w:rPr>
          <w:b/>
        </w:rPr>
        <w:t xml:space="preserve">An issuing note</w:t>
      </w:r>
      <w:r>
        <w:t xml:space="preserve">, for the AI Office rather than the addressee, carrying the reasoning behind each request so the request itself does not pre-grade answers.</w:t>
      </w:r>
    </w:p>
    <w:p>
      <w:pPr>
        <w:numPr>
          <w:ilvl w:val="0"/>
          <w:numId w:val="1001"/>
        </w:numPr>
        <w:pStyle w:val="Compact"/>
      </w:pPr>
      <w:r>
        <w:rPr>
          <w:b/>
        </w:rPr>
        <w:t xml:space="preserve">An answer matrix</w:t>
      </w:r>
      <w:r>
        <w:t xml:space="preserve">: for each answer the provider could give, where it puts the model and what the Commission does next, every cell a held provision.</w:t>
      </w:r>
    </w:p>
    <w:p>
      <w:pPr>
        <w:numPr>
          <w:ilvl w:val="0"/>
          <w:numId w:val="1001"/>
        </w:numPr>
        <w:pStyle w:val="Compact"/>
      </w:pPr>
      <w:r>
        <w:rPr>
          <w:b/>
        </w:rPr>
        <w:t xml:space="preserve">The Commission’s serious-incident template rebuilt as a DOCX</w:t>
      </w:r>
      <w:r>
        <w:t xml:space="preserve"> </w:t>
      </w:r>
      <w:r>
        <w:t xml:space="preserve">with two fields added—date of awareness, date of submission—and nothing else changed.</w:t>
      </w:r>
    </w:p>
    <w:p>
      <w:pPr>
        <w:numPr>
          <w:ilvl w:val="0"/>
          <w:numId w:val="1001"/>
        </w:numPr>
        <w:pStyle w:val="Compact"/>
      </w:pPr>
      <w:r>
        <w:rPr>
          <w:b/>
        </w:rPr>
        <w:t xml:space="preserve">An amendment table</w:t>
      </w:r>
      <w:r>
        <w:t xml:space="preserve">: three amendments to the Regulation in current-text/amended-text form, every added word traced to the recital, Commission act or provision it is lifted from.</w:t>
      </w:r>
    </w:p>
    <w:p>
      <w:pPr>
        <w:numPr>
          <w:ilvl w:val="0"/>
          <w:numId w:val="1001"/>
        </w:numPr>
        <w:pStyle w:val="Compact"/>
      </w:pPr>
      <w:r>
        <w:rPr>
          <w:b/>
        </w:rPr>
        <w:t xml:space="preserve">What the provider will say</w:t>
      </w:r>
      <w:r>
        <w:t xml:space="preserve">: the analysis’s load-bearing steps weakest first with the objection recorded against each, rendered from the inference register; and</w:t>
      </w:r>
      <w:r>
        <w:t xml:space="preserve"> </w:t>
      </w:r>
      <w:r>
        <w:rPr>
          <w:b/>
        </w:rPr>
        <w:t xml:space="preserve">the template filled from the public record</w:t>
      </w:r>
      <w:r>
        <w:t xml:space="preserve">, each field carrying its status. Every document is also rendered to DOCX, because light edits happen in Word.</w:t>
      </w:r>
    </w:p>
    <w:p>
      <w:pPr>
        <w:pStyle w:val="FirstParagraph"/>
      </w:pPr>
      <w:r>
        <w:t xml:space="preserve">Behind the pack is a method and a repository (§6, Appendix H): a statutory register of forty-seven provisions verified against the consolidated text; a cross-walk of the disclosed record against the obligations, with facts kept apart from the provider’s characterisation and every verdict confined to one of three forms; an inference register that states each argumentative step so it can be denied; five checkers; and a corrections log with twenty-six entries. Six scripts make the structure repeatable: one stands up an empty repository with the checkers and the verified register; one re-verifies the register against a supplied consolidated text and dates what it finds; one drafts an Article 91 request from the cross-walk’s unresolved rows; one renders a regulator’s template filled from the record, from a data file that names the rows and sources behind every cell; one renders the objections page from the inference register; one renders the pack to DOCX.</w:t>
      </w:r>
    </w:p>
    <w:p>
      <w:pPr>
        <w:pStyle w:val="Heading2"/>
      </w:pPr>
      <w:bookmarkStart w:id="25" w:name="Xd88bc355d3a04a204423522d0b75d8d7910e7c4"/>
      <w:r>
        <w:t xml:space="preserve">3. What a regulator can do now</w:t>
      </w:r>
      <w:bookmarkEnd w:id="25"/>
    </w:p>
    <w:p>
      <w:pPr>
        <w:pStyle w:val="FirstParagraph"/>
      </w:pPr>
      <w:r>
        <w:rPr>
          <w:b/>
        </w:rPr>
        <w:t xml:space="preserve">The power is already in use, and on this ground.</w:t>
      </w:r>
      <w:r>
        <w:t xml:space="preserve"> </w:t>
      </w:r>
      <w:r>
        <w:t xml:space="preserve">On 1 September 2026 the Commission stated that the AI Office had sent its first requests for information to more than 30 providers; they come, the reporting agency records, “after several incidents involving AI models that occurred this summer”, and its spokesperson described two strands, the first of which “concerns safety and security, notably the use of and the most advanced AI models” (Agence Europe, 2026). Article 91 is therefore not a route proposed here in the abstract: it is the instrument the AI Office reached for first, on this subject, weeks after the episodes analysed in this report.</w:t>
      </w:r>
    </w:p>
    <w:p>
      <w:pPr>
        <w:pStyle w:val="BodyText"/>
      </w:pPr>
      <w:r>
        <w:t xml:space="preserve">What the attached request adds is specificity. On the only public account of what those requests ask—how providers prevent their models being stolen, how much access external evaluators get, how usage is monitored once a model is public—none of the three reaches the question this analysis turns on, which is whether the model was ever integrated into an own AI system put into service. A request written across thirty providers cannot ask that. An incident-specific one can, and it is the first thing this one asks.</w:t>
      </w:r>
    </w:p>
    <w:p>
      <w:pPr>
        <w:pStyle w:val="BodyText"/>
      </w:pPr>
      <w:r>
        <w:rPr>
          <w:b/>
        </w:rPr>
        <w:t xml:space="preserve">Ask the three facts, in order.</w:t>
      </w:r>
      <w:r>
        <w:t xml:space="preserve"> </w:t>
      </w:r>
      <w:r>
        <w:t xml:space="preserve">The request asks them at Section I. Request 4a: was the model integrated into an own AI system made available on the market or put into service, when, and where. Request 2b: does it share a large pre-training run with a model already placed, or was it at any time intended for placement. Request 2: its cumulative training compute, estimated by the approach in the Guidelines’ own annex. The order is the Act’s: without a placement event the definition is not met and nothing else in Chapter V is reached; without a Union nexus Article 2(1), point (a) is not engaged; only then does systemic risk matter. Article 91 has applied since 2 August 2026 (Guidelines ¶103), and Article 101(1), point (b) stands behind it.</w:t>
      </w:r>
    </w:p>
    <w:p>
      <w:pPr>
        <w:pStyle w:val="BodyText"/>
      </w:pPr>
      <w:r>
        <w:rPr>
          <w:b/>
        </w:rPr>
        <w:t xml:space="preserve">Read the answers off the matrix.</w:t>
      </w:r>
      <w:r>
        <w:t xml:space="preserve"> </w:t>
      </w:r>
      <w:r>
        <w:t xml:space="preserve">If the model was integrated into an own system put into service in the Union, or shares a pre-training run with a placed model, it is within the definition on the Commission’s reading and Chapter V applies from the placement date, with the development-phase duties the Commission names applying before it. If it was never integrated, shares no lineage and was never intended for placement, it is outside Chapter V on the Commission’s own reading; nothing attaches to it, and the regulatory response is the amendment table. If the answer is silence or evasion, Article 101(1), point (b) and Article 92 are the next steps. Every cell of the matrix is a provision held and verified in the register—Articles 2(1), point (a), 2(8), 3 points (11) and (63), 51, 52, 53, 55, 90, 91, 92 and 101, Annex XIII, Recital 97—or a numbered paragraph of the Guidelines or the Q&amp;A, and nothing else.</w:t>
      </w:r>
    </w:p>
    <w:p>
      <w:pPr>
        <w:pStyle w:val="BodyText"/>
      </w:pPr>
      <w:r>
        <w:rPr>
          <w:b/>
        </w:rPr>
        <w:t xml:space="preserve">Use the designation power, within its gate.</w:t>
      </w:r>
      <w:r>
        <w:t xml:space="preserve"> </w:t>
      </w:r>
      <w:r>
        <w:t xml:space="preserve">Article 52(1) closes: “If the Commission becomes aware of a general-purpose AI model presenting systemic risks of which it has not been notified, it may decide to designate it as a model with systemic risk.” Annex XIII criterion (e)—“its level of autonomy and scalability, the tools it has access to”—is what this incident documented from outside the provider. The power presupposes “a general-purpose AI model”, so it does not escape the placement question; within it, the unanswerable compute figure is a reason to use a power rather than a reason to be stuck.</w:t>
      </w:r>
    </w:p>
    <w:p>
      <w:pPr>
        <w:pStyle w:val="BodyText"/>
      </w:pPr>
      <w:r>
        <w:rPr>
          <w:b/>
        </w:rPr>
        <w:t xml:space="preserve">Pursue the deployed model regardless.</w:t>
      </w:r>
      <w:r>
        <w:t xml:space="preserve"> </w:t>
      </w:r>
      <w:r>
        <w:t xml:space="preserve">Article 55(1), point (b) obliges providers of models with systemic risk to assess risks “that may stem from</w:t>
      </w:r>
      <w:r>
        <w:t xml:space="preserve"> </w:t>
      </w:r>
      <w:r>
        <w:rPr>
          <w:b/>
        </w:rPr>
        <w:t xml:space="preserve">the development</w:t>
      </w:r>
      <w:r>
        <w:t xml:space="preserve">, the placing on the market, or the use” of such models. The word is in the enacting text. The investigators put the deployed model’s agents at approximately 5% of the attacking population and record that its cyber classifiers “were intentionally off for the cyber evaluations” (METR and Redwood Research, 2026); the provider states that those agents “also reproduced an exploit” (OpenAI, 2026b). Request 8 asks whether loss of containment during internal evaluation was identified as a source before July 2026. That question is live whichever way scope resolves.</w:t>
      </w:r>
    </w:p>
    <w:p>
      <w:pPr>
        <w:pStyle w:val="BodyText"/>
      </w:pPr>
      <w:r>
        <w:rPr>
          <w:b/>
        </w:rPr>
        <w:t xml:space="preserve">Adopt the two fields.</w:t>
      </w:r>
      <w:r>
        <w:t xml:space="preserve"> </w:t>
      </w:r>
      <w:r>
        <w:t xml:space="preserve">The template is the Commission’s to change and the DOCX is ready. §5.2 says why.</w:t>
      </w:r>
    </w:p>
    <w:p>
      <w:pPr>
        <w:pStyle w:val="Heading2"/>
      </w:pPr>
      <w:bookmarkStart w:id="26" w:name="X1543228c74cf1e69e32916e5526e4746fd194b8"/>
      <w:r>
        <w:t xml:space="preserve">4. What a legislator can do</w:t>
      </w:r>
      <w:bookmarkEnd w:id="26"/>
    </w:p>
    <w:p>
      <w:pPr>
        <w:pStyle w:val="FirstParagraph"/>
      </w:pPr>
      <w:r>
        <w:t xml:space="preserve">Three amendments, drafted at</w:t>
      </w:r>
      <w:r>
        <w:t xml:space="preserve"> </w:t>
      </w:r>
      <w:r>
        <w:rPr>
          <w:rStyle w:val="VerbatimChar"/>
        </w:rPr>
        <w:t xml:space="preserve">instrument/amendment-table.md</w:t>
      </w:r>
      <w:r>
        <w:t xml:space="preserve">.</w:t>
      </w:r>
      <w:r>
        <w:t xml:space="preserve"> </w:t>
      </w:r>
      <w:r>
        <w:rPr>
          <w:b/>
        </w:rPr>
        <w:t xml:space="preserve">Article 3, point (9)</w:t>
      </w:r>
      <w:r>
        <w:t xml:space="preserve">: the deemed-placement rule, its internal-use exception and its systemic-risk carve-out, lifted from Recital 97 with “in the Union” added from Article 3, point (11), and the carve-out expressed by reference to the condition in Article 51(1), point (a) to avoid a circular defined term.</w:t>
      </w:r>
      <w:r>
        <w:t xml:space="preserve"> </w:t>
      </w:r>
      <w:r>
        <w:rPr>
          <w:b/>
        </w:rPr>
        <w:t xml:space="preserve">Article 3, point (63)</w:t>
      </w:r>
      <w:r>
        <w:t xml:space="preserve">: the “sole purpose” qualifier and the “without prejudice” proviso the recital states and the definition does not carry.</w:t>
      </w:r>
      <w:r>
        <w:t xml:space="preserve"> </w:t>
      </w:r>
      <w:r>
        <w:rPr>
          <w:b/>
        </w:rPr>
        <w:t xml:space="preserve">Article 55(1), point (c)</w:t>
      </w:r>
      <w:r>
        <w:t xml:space="preserve">: a determinate period on Measure 9.3’s trigger, in Article 52(1)’s own drafting form, with the number bracketed as the policy choice it is. Each row says which held text every added word comes from. The reason for all three is §5.1: the rule the Commission applies sits in a recital and in guidance that disclaims its own authority, and a preamble cannot be relied on “for interpreting those provisions in a manner clearly contrary to their wording” (</w:t>
      </w:r>
      <w:r>
        <w:rPr>
          <w:i/>
        </w:rPr>
        <w:t xml:space="preserve">Deutsches Milch-Kontor</w:t>
      </w:r>
      <w:r>
        <w:t xml:space="preserve">, C-136/04, ¶32).</w:t>
      </w:r>
    </w:p>
    <w:p>
      <w:pPr>
        <w:pStyle w:val="Heading2"/>
      </w:pPr>
      <w:bookmarkStart w:id="27" w:name="X7aa2b5ec28c78d8154f83009e432f61322381ac"/>
      <w:r>
        <w:t xml:space="preserve">5. The legal working</w:t>
      </w:r>
      <w:bookmarkEnd w:id="27"/>
    </w:p>
    <w:p>
      <w:pPr>
        <w:pStyle w:val="Heading3"/>
      </w:pPr>
      <w:bookmarkStart w:id="28" w:name="Xb89082dcd70ca32f498d6040cb37aaa4b354d82"/>
      <w:r>
        <w:t xml:space="preserve">5.1 Scope: the route, and the three facts it needs</w:t>
      </w:r>
      <w:bookmarkEnd w:id="28"/>
    </w:p>
    <w:p>
      <w:pPr>
        <w:pStyle w:val="FirstParagraph"/>
      </w:pPr>
      <w:r>
        <w:t xml:space="preserve">Full working at</w:t>
      </w:r>
      <w:r>
        <w:t xml:space="preserve"> </w:t>
      </w:r>
      <w:r>
        <w:rPr>
          <w:rStyle w:val="VerbatimChar"/>
        </w:rPr>
        <w:t xml:space="preserve">protocol/01-statutory-foundation.md</w:t>
      </w:r>
      <w:r>
        <w:t xml:space="preserve"> </w:t>
      </w:r>
      <w:r>
        <w:t xml:space="preserve">§§1.1–1.8.</w:t>
      </w:r>
    </w:p>
    <w:p>
      <w:pPr>
        <w:pStyle w:val="BodyText"/>
      </w:pPr>
      <w:r>
        <w:rPr>
          <w:b/>
        </w:rPr>
        <w:t xml:space="preserve">The enacting text points away from scope.</w:t>
      </w:r>
      <w:r>
        <w:t xml:space="preserve"> </w:t>
      </w:r>
      <w:r>
        <w:t xml:space="preserve">Article 2(1), point (a) applies the Regulation to providers “placing on the market</w:t>
      </w:r>
      <w:r>
        <w:t xml:space="preserve"> </w:t>
      </w:r>
      <w:r>
        <w:rPr>
          <w:b/>
        </w:rPr>
        <w:t xml:space="preserve">or putting into service</w:t>
      </w:r>
      <w:r>
        <w:t xml:space="preserve"> </w:t>
      </w:r>
      <w:r>
        <w:t xml:space="preserve">AI systems</w:t>
      </w:r>
      <w:r>
        <w:t xml:space="preserve"> </w:t>
      </w:r>
      <w:r>
        <w:rPr>
          <w:b/>
        </w:rPr>
        <w:t xml:space="preserve">or placing on the market</w:t>
      </w:r>
      <w:r>
        <w:t xml:space="preserve"> </w:t>
      </w:r>
      <w:r>
        <w:t xml:space="preserve">general-purpose AI models”. The halves differ: ‘putting into service’ at Article 3, point (11) expressly includes supply “for</w:t>
      </w:r>
      <w:r>
        <w:t xml:space="preserve"> </w:t>
      </w:r>
      <w:r>
        <w:rPr>
          <w:b/>
        </w:rPr>
        <w:t xml:space="preserve">own use</w:t>
      </w:r>
      <w:r>
        <w:t xml:space="preserve"> </w:t>
      </w:r>
      <w:r>
        <w:t xml:space="preserve">in the Union for its intended purpose”, and models have no equivalent limb. Article 3, point (63) then ends: “except AI models that are used for research, development or prototyping activities before they are placed on the market”—no “sole purpose” qualifier and no conditions, though Article 2(6) shows the formula was available. And Article 2(8) excludes pre-market research and development activity, with its single carve-back unreachable, since ‘testing in real-world conditions’ at Article 3, point (57) is defined by reference to an AI</w:t>
      </w:r>
      <w:r>
        <w:t xml:space="preserve"> </w:t>
      </w:r>
      <w:r>
        <w:rPr>
          <w:b/>
        </w:rPr>
        <w:t xml:space="preserve">system</w:t>
      </w:r>
      <w:r>
        <w:t xml:space="preserve"> </w:t>
      </w:r>
      <w:r>
        <w:t xml:space="preserve">and conditioned on regimes confined to high-risk systems. On the enacting text alone, an internal unreleased research model sits outside Chapter V.</w:t>
      </w:r>
    </w:p>
    <w:p>
      <w:pPr>
        <w:pStyle w:val="BodyText"/>
      </w:pPr>
      <w:r>
        <w:rPr>
          <w:b/>
        </w:rPr>
        <w:t xml:space="preserve">Recital 97 moves the moment of placement.</w:t>
      </w:r>
      <w:r>
        <w:t xml:space="preserve"> </w:t>
      </w:r>
      <w:r>
        <w:t xml:space="preserve">A model integrated into its provider’s own system put into service “should be</w:t>
      </w:r>
      <w:r>
        <w:t xml:space="preserve"> </w:t>
      </w:r>
      <w:r>
        <w:rPr>
          <w:b/>
        </w:rPr>
        <w:t xml:space="preserve">considered to be placed on the market</w:t>
      </w:r>
      <w:r>
        <w:t xml:space="preserve">”—so the development was never activity “prior to” placement and Article 2(8) never engages. The Commission reproduces the rule at paragraph 54 of its Guidelines (C(2025) 7719 final), and its Q&amp;A consolidates it into three cumulative conditions, of which the third is decisive: the exception is unavailable where “</w:t>
      </w:r>
      <w:r>
        <w:rPr>
          <w:b/>
        </w:rPr>
        <w:t xml:space="preserve">the model is not a general-purpose AI model with systemic risk</w:t>
      </w:r>
      <w:r>
        <w:t xml:space="preserve">”. Paragraph 22 treats a model’s lifecycle as beginning “at the start of the large pre-training run” and holds that “different stages of the development of a model are not considered to constitute different models”—so the exclusion protects a model never placed on the market, not the development phase of one that is. Asked directly whether the obligations apply in the development phase, the Q&amp;A accepts Article 2(8) “as a general matter”, then holds that certain obligations “explicitly or implicitly pertain to the development phase of models</w:t>
      </w:r>
      <w:r>
        <w:t xml:space="preserve"> </w:t>
      </w:r>
      <w:r>
        <w:rPr>
          <w:b/>
        </w:rPr>
        <w:t xml:space="preserve">intended for, but prior to</w:t>
      </w:r>
      <w:r>
        <w:t xml:space="preserve">, the placing on the market”—while disclaiming that it constitutes “an official position of the Commission”.</w:t>
      </w:r>
    </w:p>
    <w:p>
      <w:pPr>
        <w:pStyle w:val="BodyText"/>
      </w:pPr>
      <w:r>
        <w:rPr>
          <w:b/>
        </w:rPr>
        <w:t xml:space="preserve">What the route needs, and what the record gives it.</w:t>
      </w:r>
      <w:r>
        <w:t xml:space="preserve"> </w:t>
      </w:r>
      <w:r>
        <w:t xml:space="preserve">Three facts.</w:t>
      </w:r>
      <w:r>
        <w:t xml:space="preserve"> </w:t>
      </w:r>
      <w:r>
        <w:rPr>
          <w:i/>
        </w:rPr>
        <w:t xml:space="preserve">Systemic risk</w:t>
      </w:r>
      <w:r>
        <w:t xml:space="preserve">: Article 51(2) presumes it above 10²⁵ FLOP, and nobody outside the provider knows the figure.</w:t>
      </w:r>
      <w:r>
        <w:t xml:space="preserve"> </w:t>
      </w:r>
      <w:r>
        <w:rPr>
          <w:i/>
        </w:rPr>
        <w:t xml:space="preserve">A placement event</w:t>
      </w:r>
      <w:r>
        <w:t xml:space="preserve">: every version of the Commission’s reading runs from one—Recital 97 from integration into an own system “made available on the market or put into service”; the Q&amp;A from a model “intended for” placement; paragraph 22 from a placed model’s pre-training run. The provider’s account says the model was one of several “research models that were not intended for public release”, and that its weights were quarantined after the incident (OpenAI, 2026b). The only system it is recorded as running in is the evaluation harness, and testing before putting into service is exactly what Article 2(8) excludes. So the record supplies none of the three routes, and denies one.</w:t>
      </w:r>
      <w:r>
        <w:t xml:space="preserve"> </w:t>
      </w:r>
      <w:r>
        <w:rPr>
          <w:i/>
        </w:rPr>
        <w:t xml:space="preserve">The Union</w:t>
      </w:r>
      <w:r>
        <w:t xml:space="preserve">: Article 2(1), point (a) reaches placing on the market “in the Union”; Article 3, point (11), “own use in the Union”; the Guidelines’ internal-use example at paragraph 51 requires processes essential to third-party provision “or that affect the rights of natural persons in the Union”. Pistillo (2026) says as much: “It remains unclear how ‘in the Union’ will be interpreted”. No account places any own system incorporating this model in the Union.</w:t>
      </w:r>
    </w:p>
    <w:p>
      <w:pPr>
        <w:pStyle w:val="BodyText"/>
      </w:pPr>
      <w:r>
        <w:rPr>
          <w:b/>
        </w:rPr>
        <w:t xml:space="preserve">The fragility, stated.</w:t>
      </w:r>
      <w:r>
        <w:t xml:space="preserve"> </w:t>
      </w:r>
      <w:r>
        <w:t xml:space="preserve">The weight-bearing step is a recital and non-binding guidance. A preamble “has no binding legal force and cannot be relied on as a ground for derogating from the actual provisions of the act in question” (</w:t>
      </w:r>
      <w:r>
        <w:rPr>
          <w:i/>
        </w:rPr>
        <w:t xml:space="preserve">Nilsson</w:t>
      </w:r>
      <w:r>
        <w:t xml:space="preserve">, C-162/97, ¶54), nor for interpreting them contrary to their wording (</w:t>
      </w:r>
      <w:r>
        <w:rPr>
          <w:i/>
        </w:rPr>
        <w:t xml:space="preserve">Deutsches Milch-Kontor</w:t>
      </w:r>
      <w:r>
        <w:t xml:space="preserve">, ¶32). The second limb bites unevenly, because Recital 97 has two limbs of its own. Where the own system is</w:t>
      </w:r>
      <w:r>
        <w:t xml:space="preserve"> </w:t>
      </w:r>
      <w:r>
        <w:rPr>
          <w:i/>
        </w:rPr>
        <w:t xml:space="preserve">made available on the market</w:t>
      </w:r>
      <w:r>
        <w:t xml:space="preserve">, the embedded model is supplied for use on the Union market in the course of a commercial activity, which is what Article 3, points (9) and (10) say placing means; that reads as interpretation. Where the own system is merely</w:t>
      </w:r>
      <w:r>
        <w:t xml:space="preserve"> </w:t>
      </w:r>
      <w:r>
        <w:rPr>
          <w:i/>
        </w:rPr>
        <w:t xml:space="preserve">put into service</w:t>
      </w:r>
      <w:r>
        <w:t xml:space="preserve">, nothing is supplied to anyone, and putting into service is the trigger Article 2(1), point (a) withholds from models; that is where a challenge would be argued, and it is the only limb a never-released model could use. The Commission does not rest it on the recital alone—paragraph 51 lists essential internal use among its examples of placing on the market, read with the Blue Guide and Articles 3(9) and (10), which is the extensive reading of ‘making available’ that Pistillo (2026) runs as his second pathway—but whether own use can be a supply is the question, and the enacting text does not settle it. Paragraph 9 of the Guidelines says they are “not binding” but set out the interpretation “</w:t>
      </w:r>
      <w:r>
        <w:rPr>
          <w:b/>
        </w:rPr>
        <w:t xml:space="preserve">on which it will base its enforcement action</w:t>
      </w:r>
      <w:r>
        <w:t xml:space="preserve">”: the reading governs what the Commission will do and remains open to a provider prepared to litigate. Pistillo’s subject is a model deployed internally; this record describes a model never deployed at all, and that is the difference the three facts exist to close.</w:t>
      </w:r>
    </w:p>
    <w:p>
      <w:pPr>
        <w:pStyle w:val="BodyText"/>
      </w:pPr>
      <w:r>
        <w:rPr>
          <w:b/>
        </w:rPr>
        <w:t xml:space="preserve">The objection that outlives a scope finding.</w:t>
      </w:r>
      <w:r>
        <w:t xml:space="preserve"> </w:t>
      </w:r>
      <w:r>
        <w:t xml:space="preserve">Agentic behaviour—persistent goal-seeking, memory, tool invocation—is largely a property of the scaffolding around a model rather than of the weights, and a provider can accept everything above and still say the conduct was the harness’s. It is not the provider’s strongest objection—scope and territory defeat everything, where this defeats attribution under Article 55(1), points (c) and (d) alone—but it survives a scope finding intact. Two things blunt it here. The provider’s own account names the absent safeguards as its own—“system prompts, harnesses, and control mechanisms such as our auto-review models and safety classifiers”</w:t>
      </w:r>
      <w:r>
        <w:t xml:space="preserve"> </w:t>
      </w:r>
      <w:r>
        <w:rPr>
          <w:b/>
        </w:rPr>
        <w:t xml:space="preserve">[T1]</w:t>
      </w:r>
      <w:r>
        <w:t xml:space="preserve">. And Article 3, point (49), Measure 9.3 of the Code and paragraph (100) of the Guidelines all reach involvement that is the model’s “directly or indirectly”. Recorded as</w:t>
      </w:r>
      <w:r>
        <w:t xml:space="preserve"> </w:t>
      </w:r>
      <w:r>
        <w:rPr>
          <w:rStyle w:val="VerbatimChar"/>
        </w:rPr>
        <w:t xml:space="preserve">inf-scaffolding-attribution</w:t>
      </w:r>
      <w:r>
        <w:t xml:space="preserve">, marked contestable.</w:t>
      </w:r>
    </w:p>
    <w:p>
      <w:pPr>
        <w:pStyle w:val="Heading3"/>
      </w:pPr>
      <w:bookmarkStart w:id="29" w:name="X698dc6b171f0d28c195905a5afe79e4fd1ad357"/>
      <w:r>
        <w:t xml:space="preserve">5.2 Timing: the form, and why it cannot show what the clock needs</w:t>
      </w:r>
      <w:bookmarkEnd w:id="29"/>
    </w:p>
    <w:p>
      <w:pPr>
        <w:pStyle w:val="FirstParagraph"/>
      </w:pPr>
      <w: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w:t>
      </w:r>
      <w:r>
        <w:t xml:space="preserve"> </w:t>
      </w:r>
      <w:r>
        <w:rPr>
          <w:b/>
        </w:rPr>
        <w:t xml:space="preserve">five days for “a serious cybersecurity breach, including the (self-)exfiltration of model weights and cyberattacks”</w:t>
      </w:r>
      <w:r>
        <w:t xml:space="preserve">, 10 days for a death, 15 days otherwise; intermediate reports follow “at least every four weeks after the initial report” and a final report “not later than 60 days after the serious incident has been resolved”. The second trigger has</w:t>
      </w:r>
      <w:r>
        <w:t xml:space="preserve"> </w:t>
      </w:r>
      <w:r>
        <w:rPr>
          <w:b/>
        </w:rPr>
        <w:t xml:space="preserve">no counterpart in Article 3, point (49)</w:t>
      </w:r>
      <w:r>
        <w:t xml:space="preserve">, and a model that escapes containment into a third party’s production infrastructure sits inside it far more naturally than inside the property limb. Paragraph (100) of the Guidelines—in the enforcement section—records that the AI Office “considers that this obligation covers serious cybersecurity breaches related to the model or its physical infrastructure, including the (self-)exfiltration of model parameters and cyberattacks”, anchoring it in</w:t>
      </w:r>
      <w:r>
        <w:t xml:space="preserve"> </w:t>
      </w:r>
      <w:r>
        <w:rPr>
          <w:b/>
        </w:rPr>
        <w:t xml:space="preserve">Article 55(1), points (b) and (d)</w:t>
      </w:r>
      <w:r>
        <w:t xml:space="preserve">, so the Article 3(49) limbs need not be reached at all. By Opinion C(2025) 5361 final the Commission concluded that the Code “adequately covers the obligations provided for in</w:t>
      </w:r>
      <w:r>
        <w:t xml:space="preserve"> </w:t>
      </w:r>
      <w:r>
        <w:rPr>
          <w:b/>
        </w:rPr>
        <w:t xml:space="preserve">Articles 53 and 55</w:t>
      </w:r>
      <w:r>
        <w:t xml:space="preserve">”, and at paragraph (33) said Commitment 9 specifies how providers “may” comply, setting out “what</w:t>
      </w:r>
      <w:r>
        <w:t xml:space="preserve"> </w:t>
      </w:r>
      <w:r>
        <w:rPr>
          <w:b/>
        </w:rPr>
        <w:t xml:space="preserve">‘without undue delay’ typically requires</w:t>
      </w:r>
      <w:r>
        <w:t xml:space="preserve"> </w:t>
      </w:r>
      <w:r>
        <w:t xml:space="preserve">of reporting timelines (Measure 9.3)”; “may” and “typically” favour the reading on which it describes the Code rather than construes the Act, which is why</w:t>
      </w:r>
      <w:r>
        <w:t xml:space="preserve"> </w:t>
      </w:r>
      <w:r>
        <w:rPr>
          <w:rStyle w:val="VerbatimChar"/>
        </w:rPr>
        <w:t xml:space="preserve">inf-opinion-construes</w:t>
      </w:r>
      <w:r>
        <w:t xml:space="preserve"> </w:t>
      </w:r>
      <w:r>
        <w:t xml:space="preserve">is marked contestable. The provider is a Signatory—the Commission’s own Vademecum of the Signatory Taskforce lists it—so Measure 9.3’s periods are the ones a report would be measured against; for a provider that was not, only “without undue delay” would apply, with no period at all, which is what Amendment 3 answers.</w:t>
      </w:r>
    </w:p>
    <w:p>
      <w:pPr>
        <w:pStyle w:val="BodyText"/>
      </w:pPr>
      <w:r>
        <w:rPr>
          <w:b/>
        </w:rPr>
        <w:t xml:space="preserve">The form omits the date its clock runs from, because the Code’s list omits it.</w:t>
      </w:r>
      <w:r>
        <w:t xml:space="preserve"> </w:t>
      </w:r>
      <w:r>
        <w:t xml:space="preserve">Appendix F fills the official template of 4 November 2025 from the public record: two fields filled, five partial, three impossible. The template asks the start and end dates of the incident and no other date; “aware”, “awareness”, “deadline” and “timeline” do not occur in it, in either published rendition, checked at the level of the DOCX’s own stored field labels. Fields 1 to 9 transcribe Measure 9.2 item for item, and Measure 9.2 has no awareness item either; paragraph (33) describes that Measure as setting out “which information is relevant for a given serious incident”. The narrower claim needs nothing from paragraph (33): the template says on its face that it demonstrates compliance “</w:t>
      </w:r>
      <w:r>
        <w:rPr>
          <w:b/>
        </w:rPr>
        <w:t xml:space="preserve">as part of Commitment 9</w:t>
      </w:r>
      <w:r>
        <w:t xml:space="preserve">”, every initial-report period in Measure 9.3 runs from awareness, and the form has no awareness field—so on the Code’s own terms it cannot evidence the Code’s own periods. This is not hypothetical: a report on the wiki episode has been filed, the Commission has confirmed receipt, and its spokesperson has declined to disclose the date or the contents.</w:t>
      </w:r>
    </w:p>
    <w:p>
      <w:pPr>
        <w:pStyle w:val="BodyText"/>
      </w:pPr>
      <w:r>
        <w:rPr>
          <w:b/>
        </w:rPr>
        <w:t xml:space="preserve">The Commission has already drafted both fields, for the other regime.</w:t>
      </w:r>
      <w:r>
        <w:t xml:space="preserve"> </w:t>
      </w:r>
      <w:r>
        <w:t xml:space="preserve">Its draft template for</w:t>
      </w:r>
      <w:r>
        <w:t xml:space="preserve"> </w:t>
      </w:r>
      <w:r>
        <w:rPr>
          <w:b/>
        </w:rPr>
        <w:t xml:space="preserve">high-risk AI systems</w:t>
      </w:r>
      <w:r>
        <w:t xml:space="preserve">—which the accompanying draft guidance says expressly is “not dealing with” general-purpose models—asks in section 1.2 for the date of report submission, the date of the incident, the date and time of detection, and the “Manufacturer awareness date of reportability”, and runs to seven pages against two (Appendix F). Three qualifications. The high-risk field asks for awareness of</w:t>
      </w:r>
      <w:r>
        <w:t xml:space="preserve"> </w:t>
      </w:r>
      <w:r>
        <w:rPr>
          <w:i/>
        </w:rPr>
        <w:t xml:space="preserve">reportability</w:t>
      </w:r>
      <w:r>
        <w:t xml:space="preserve">, tracking Article 73(2), where Measure 9.3 runs from awareness of the model’s involvement. Both high-risk documents are consultation drafts of 26 September 2025 with no final version linked as of 12 September 2026. And the regime they serve is not yet in application: Article 73 has applied only since 2 August 2026, Article 75(1a) since 27 July 2026, and the Omnibus deferred the high-risk classification both depend on to 2 December 2027 and 2 August 2028. Article 75(1), point (a)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As a claim about structure that needs nothing from §5.1; as a claim about this incident it needs both the scope finding and the attribution step, and the report keeps the two apart. The comparison is between two drafting choices, not two live regimes—and the amended template closes it from the model side without waiting for either.</w:t>
      </w:r>
    </w:p>
    <w:p>
      <w:pPr>
        <w:pStyle w:val="Heading3"/>
      </w:pPr>
      <w:bookmarkStart w:id="30" w:name="X2d008d3db192e22988d8c9173e3d3320b1f2662"/>
      <w:r>
        <w:t xml:space="preserve">5.3 Classification and characterisation</w:t>
      </w:r>
      <w:bookmarkEnd w:id="30"/>
    </w:p>
    <w:p>
      <w:pPr>
        <w:pStyle w:val="FirstParagraph"/>
      </w:pPr>
      <w:r>
        <w:t xml:space="preserve">For the wider Article 3, point (49) route, limb (b) requires disruption that is “serious</w:t>
      </w:r>
      <w:r>
        <w:t xml:space="preserve"> </w:t>
      </w:r>
      <w:r>
        <w:rPr>
          <w:b/>
        </w:rPr>
        <w:t xml:space="preserve">and irreversible</w:t>
      </w:r>
      <w: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(Hugging Face, 2026). On the disclosed facts limb (b) appears unmet and limb (d) does not resolve: whether a precautionary rebuild is harm to</w:t>
      </w:r>
      <w:r>
        <w:t xml:space="preserve"> </w:t>
      </w:r>
      <w:r>
        <w:rPr>
          <w:i/>
        </w:rPr>
        <w:t xml:space="preserve">property</w:t>
      </w:r>
      <w:r>
        <w:t xml:space="preserve"> </w:t>
      </w:r>
      <w:r>
        <w:t xml:space="preserve">rather than remediation cost is unsettled, and the affected party’s own word for it is the provider-favourable reading. Article 3, point (49) defines ‘serious incident’ by reference to an AI</w:t>
      </w:r>
      <w:r>
        <w:t xml:space="preserve"> </w:t>
      </w:r>
      <w:r>
        <w:rPr>
          <w:b/>
        </w:rPr>
        <w:t xml:space="preserve">system</w:t>
      </w:r>
      <w:r>
        <w:t xml:space="preserve"> </w:t>
      </w:r>
      <w:r>
        <w:t xml:space="preserve">while Article 55(1)(c) binds providers of</w:t>
      </w:r>
      <w:r>
        <w:t xml:space="preserve"> </w:t>
      </w:r>
      <w:r>
        <w:rPr>
          <w:b/>
        </w:rPr>
        <w:t xml:space="preserve">models</w:t>
      </w:r>
      <w:r>
        <w:t xml:space="preserve">; paragraph (100) bridges that in guidance and the enacting text does not.</w:t>
      </w:r>
    </w:p>
    <w:p>
      <w:pPr>
        <w:pStyle w:val="BodyText"/>
      </w:pPr>
      <w:r>
        <w:t xml:space="preserve">The provider’s own account pairs two classifications with two disclosure outcomes—“a traditional security incident response playbook” and disclosure within days for the intrusion; “an instance of misalignment” and disclosure the day after independent publication for the wiki episode—and records no other stated reason for the difference (OpenAI, 2026c). The Regulation does not employ that distinction. On Article 55(1), point (d), the record establishes that containment was circumvented twice, once after a rebuild (OpenAI, 2026b), and not what protection was in place beforehand, which is what “adequate” is measured against. California’s SB 53 §22757.11(c)(1)(B)–(C) describes this conduct closely and its magnitude floor excludes it (California, 2025); those provisions were re-read on 13 September 2026 against the Legislature’s own bill-text page, held and hashed, and the pinpoints hold. The New York RAISE Act is described in the comparative appendix, registered nowhere, and not relied on.</w:t>
      </w:r>
    </w:p>
    <w:p>
      <w:pPr>
        <w:pStyle w:val="Heading2"/>
      </w:pPr>
      <w:bookmarkStart w:id="31" w:name="Xa523fc76f966b9d1dcbf8b02471b9d4d7e45683"/>
      <w:r>
        <w:t xml:space="preserve">6. How it was tested</w:t>
      </w:r>
      <w:bookmarkEnd w:id="31"/>
    </w:p>
    <w:p>
      <w:pPr>
        <w:pStyle w:val="FirstParagraph"/>
      </w:pPr>
      <w:r>
        <w:t xml:space="preserve">Every statutory citation resolves to text verified against the consolidated Regulation (CELEX 02024R1689-20260727), with amendment status taken from the amending act’s own instructions; every quotation of a held document is found in it; every verdict cell is confined to one of three permitted forms and may not state a conclusion of law; every count in prose matches the register it describes; every inference names its premises and its defeater and the graph is acyclic. Five checkers enforce that on every run, and</w:t>
      </w:r>
      <w:r>
        <w:t xml:space="preserve"> </w:t>
      </w:r>
      <w:r>
        <w:rPr>
          <w:rStyle w:val="VerbatimChar"/>
        </w:rPr>
        <w:t xml:space="preserve">python3 tools/infercheck.py --attack</w:t>
      </w:r>
      <w:r>
        <w:t xml:space="preserve"> </w:t>
      </w:r>
      <w:r>
        <w:t xml:space="preserve">prints the load-bearing steps weakest first. Two adversarial passes were run over a finished draft by a model with no sight of the reasoning, a third over the instrument, and a fourth, on the final day, over the whole repository with the held sources open. That last pass found five errors, the largest of them a scope verdict stating one open fact where the route needs three, resting on a premise—a model built to ship—that the provider’s account quoted at §1 denies. A re-verifier for the statutory register (</w:t>
      </w:r>
      <w:r>
        <w:rPr>
          <w:rStyle w:val="VerbatimChar"/>
        </w:rPr>
        <w:t xml:space="preserve">tools/reverify.py</w:t>
      </w:r>
      <w:r>
        <w:t xml:space="preserve">), written the same evening and run once against the consolidated and OJ text layers, found four extracts that were not verbatim in a register whose header said they were; all 55 checkable entries now match, and each carries the date of the check. And a checker for the method’s first rule—no fact may rest on a source nobody holds—written after the second run broke that rule twice in an hour, found three such facts in this run and five sources characterised from pages never fixed; all are now held, and the twenty-sixth log entry records it.</w:t>
      </w:r>
    </w:p>
    <w:p>
      <w:pPr>
        <w:pStyle w:val="BodyText"/>
      </w:pPr>
      <w:r>
        <w:t xml:space="preserve">What is automated is checking, not judgement. The tools will say a citation does not resolve, a quotation is not in the document, a count has drifted, an inference has no named defeater; they will never say an inference is wrong. Every one of the twenty-seven errors in the log passed every check that existed when it was made, and that will remain true on the next incident. What the corrections did to the findings is uneven and should be said: the instrumentation finding—the form has no awareness field—has not moved through any of them; the scope finding has narrowed twice, from “attach” to “attach by a recital” to “attach if three facts hold”, and the narrowing is the finding. The method, the log and the reusable layer are at Appendix H.</w:t>
      </w:r>
    </w:p>
    <w:p>
      <w:pPr>
        <w:pStyle w:val="Heading2"/>
      </w:pPr>
      <w:bookmarkStart w:id="32" w:name="Xe4cc2199386e3b15b08c0c8fc2821fc279926c5"/>
      <w:r>
        <w:t xml:space="preserve">7. Limits, and what comes next</w:t>
      </w:r>
      <w:bookmarkEnd w:id="32"/>
    </w:p>
    <w:p>
      <w:pPr>
        <w:pStyle w:val="FirstParagraph"/>
      </w:pPr>
      <w:r>
        <w:t xml:space="preserve">The method’s ceiling is real: nothing here establishes what happened or that any obligation was contravened, and the three facts the pack turns on are known only to the provider. The author is not a lawyer. The central question is contested and a specialist has published on it (Pistillo, 2026); this report agrees with his conclusion for internal deployment, shares one of his two pathways, and says at §5.1 what his subject and this record do not have in common. The scope conclusion turns on</w:t>
      </w:r>
      <w:r>
        <w:t xml:space="preserve"> </w:t>
      </w:r>
      <w:r>
        <w:rPr>
          <w:rStyle w:val="VerbatimChar"/>
        </w:rPr>
        <w:t xml:space="preserve">inf-attach</w:t>
      </w:r>
      <w:r>
        <w:t xml:space="preserve">,</w:t>
      </w:r>
      <w:r>
        <w:t xml:space="preserve"> </w:t>
      </w:r>
      <w:r>
        <w:rPr>
          <w:rStyle w:val="VerbatimChar"/>
        </w:rPr>
        <w:t xml:space="preserve">inf-relocation</w:t>
      </w:r>
      <w:r>
        <w:t xml:space="preserve"> </w:t>
      </w:r>
      <w:r>
        <w:t xml:space="preserve">and</w:t>
      </w:r>
      <w:r>
        <w:t xml:space="preserve"> </w:t>
      </w:r>
      <w:r>
        <w:rPr>
          <w:rStyle w:val="VerbatimChar"/>
        </w:rPr>
        <w:t xml:space="preserve">inf-placement-event</w:t>
      </w:r>
      <w:r>
        <w:t xml:space="preserve">; the timing conclusion on</w:t>
      </w:r>
      <w:r>
        <w:t xml:space="preserve"> </w:t>
      </w:r>
      <w:r>
        <w:rPr>
          <w:rStyle w:val="VerbatimChar"/>
        </w:rPr>
        <w:t xml:space="preserve">inf-opinion-construes</w:t>
      </w:r>
      <w:r>
        <w:t xml:space="preserve">. The four steps the register marks contestable, weakest first, with what would defeat each:</w:t>
      </w:r>
      <w:r>
        <w:t xml:space="preserve"> </w:t>
      </w:r>
      <w:r>
        <w:rPr>
          <w:rStyle w:val="VerbatimChar"/>
        </w:rPr>
        <w:t xml:space="preserve">inf-placement-event</w:t>
      </w:r>
      <w:r>
        <w:t xml:space="preserve">—the record already denies one of its three routes, and Requests 2b and 4a are what would establish another;</w:t>
      </w:r>
      <w:r>
        <w:t xml:space="preserve"> </w:t>
      </w:r>
      <w:r>
        <w:rPr>
          <w:rStyle w:val="VerbatimChar"/>
        </w:rPr>
        <w:t xml:space="preserve">inf-union-nexus</w:t>
      </w:r>
      <w:r>
        <w:t xml:space="preserve">—nothing in the record addresses it, and a third-country provider is where it bites;</w:t>
      </w:r>
      <w:r>
        <w:t xml:space="preserve"> </w:t>
      </w:r>
      <w:r>
        <w:rPr>
          <w:rStyle w:val="VerbatimChar"/>
        </w:rPr>
        <w:t xml:space="preserve">inf-opinion-construes</w:t>
      </w:r>
      <w:r>
        <w:t xml:space="preserve">—the competing reading that Opinion ¶(33) summarises the Code rather than construes the Act, favoured by “may” and “typically”;</w:t>
      </w:r>
      <w:r>
        <w:t xml:space="preserve"> </w:t>
      </w:r>
      <w:r>
        <w:rPr>
          <w:rStyle w:val="VerbatimChar"/>
        </w:rPr>
        <w:t xml:space="preserve">inf-scaffolding-attribution</w:t>
      </w:r>
      <w:r>
        <w:t xml:space="preserve">—that the harness was another actor’s, blunted here by the provider’s own account and by “directly or indirectly” in every applicable instrument. The full list is</w:t>
      </w:r>
      <w:r>
        <w:t xml:space="preserve"> </w:t>
      </w:r>
      <w:r>
        <w:rPr>
          <w:rStyle w:val="VerbatimChar"/>
        </w:rPr>
        <w:t xml:space="preserve">instrument/what-the-provider-will-say.md</w:t>
      </w:r>
      <w:r>
        <w:t xml:space="preserve">.</w:t>
      </w:r>
    </w:p>
    <w:p>
      <w:pPr>
        <w:pStyle w:val="BodyText"/>
      </w:pPr>
      <w:r>
        <w:t xml:space="preserve">A second run exists:</w:t>
      </w:r>
      <w:r>
        <w:t xml:space="preserve"> </w:t>
      </w:r>
      <w:r>
        <w:rPr>
          <w:rStyle w:val="VerbatimChar"/>
        </w:rPr>
        <w:t xml:space="preserve">runs/anthropic-cyber-evals-2026/</w:t>
      </w:r>
      <w:r>
        <w:t xml:space="preserve"> </w:t>
      </w:r>
      <w:r>
        <w:t xml:space="preserve">applies the same apparatus, in one evening and on ten held documents, to a different provider’s incidents disclosed on 30 July and 9 September 2026, and its</w:t>
      </w:r>
      <w:r>
        <w:t xml:space="preserve"> </w:t>
      </w:r>
      <w:r>
        <w:rPr>
          <w:rStyle w:val="VerbatimChar"/>
        </w:rPr>
        <w:t xml:space="preserve">docs/run-report.md</w:t>
      </w:r>
      <w:r>
        <w:t xml:space="preserve"> </w:t>
      </w:r>
      <w:r>
        <w:t xml:space="preserve">records what transferred and what did not. The internal-model scope question arrives unchanged; the scaffolding objection arrives at full strength exactly as the first run’s register predicted, then splits when the primary is opened; the date of awareness the Commission’s form does not ask is, for once, public; the facts-versus-characterisation split absorbed the provider’s own September revision of its July account without a row changing; and one evaluator’s misconfiguration turns out to have reached three providers’ models, which is a gap in the Act the first incident could not show. The run made the method’s signature error twice in its first hour and logged both. A month of follow-up would add: the affected organisations’ side of that run; whether the affected platform provides an essential service within a CER Annex sector; the Article 3(1)/3(63) bridging question; a source entry for the New York RAISE Act; and the revision history of the July disclosure.</w:t>
      </w:r>
    </w:p>
    <w:p>
      <w:pPr>
        <w:pStyle w:val="Heading2"/>
      </w:pPr>
      <w:bookmarkStart w:id="33" w:name="reference-list"/>
      <w:r>
        <w:t xml:space="preserve">Reference list</w:t>
      </w:r>
      <w:bookmarkEnd w:id="33"/>
    </w:p>
    <w:p>
      <w:pPr>
        <w:pStyle w:val="FirstParagraph"/>
      </w:pPr>
      <w:r>
        <w:t xml:space="preserve">Agence Europe (2026) ‘European Commission sends first requests for information to more than 30 AI providers’,</w:t>
      </w:r>
      <w:r>
        <w:t xml:space="preserve"> </w:t>
      </w:r>
      <w:r>
        <w:rPr>
          <w:i/>
        </w:rPr>
        <w:t xml:space="preserve">Europe Daily Bulletin</w:t>
      </w:r>
      <w:r>
        <w:t xml:space="preserve">, No. 13929, 3 September. Available at:</w:t>
      </w:r>
      <w:r>
        <w:t xml:space="preserve"> </w:t>
      </w:r>
      <w:hyperlink r:id="rId34">
        <w:r>
          <w:rPr>
            <w:rStyle w:val="Hyperlink"/>
          </w:rPr>
          <w:t xml:space="preserve">https://agenceurope.eu/en/bulletin/article/13929/31/european-commission-sends-first-requests-for-information-to-more-than-30-ai-providers</w:t>
        </w:r>
      </w:hyperlink>
      <w:r>
        <w:t xml:space="preserve"> </w:t>
      </w:r>
      <w:r>
        <w:t xml:space="preserve">(Accessed: 13 September 2026).</w:t>
      </w:r>
    </w:p>
    <w:p>
      <w:pPr>
        <w:pStyle w:val="BodyText"/>
      </w:pPr>
      <w:r>
        <w:t xml:space="preserve">Anthropic (2026)</w:t>
      </w:r>
      <w:r>
        <w:t xml:space="preserve"> </w:t>
      </w:r>
      <w:r>
        <w:rPr>
          <w:i/>
        </w:rPr>
        <w:t xml:space="preserve">Investigating real-world incidents in our cybersecurity evaluations</w:t>
      </w:r>
      <w:r>
        <w:t xml:space="preserve">. 30 July. Available at:</w:t>
      </w:r>
      <w:r>
        <w:t xml:space="preserve"> </w:t>
      </w:r>
      <w:hyperlink r:id="rId35">
        <w:r>
          <w:rPr>
            <w:rStyle w:val="Hyperlink"/>
          </w:rPr>
          <w:t xml:space="preserve">https://www.anthropic.com/research/investigating-incidents-cybersecurity-evals</w:t>
        </w:r>
      </w:hyperlink>
      <w:r>
        <w:t xml:space="preserve"> </w:t>
      </w:r>
      <w:r>
        <w:t xml:space="preserve">(Accessed: 11 September 2026).</w:t>
      </w:r>
    </w:p>
    <w:p>
      <w:pPr>
        <w:pStyle w:val="BodyText"/>
      </w:pPr>
      <w:r>
        <w:t xml:space="preserve">California (2025)</w:t>
      </w:r>
      <w:r>
        <w:t xml:space="preserve"> </w:t>
      </w:r>
      <w:r>
        <w:rPr>
          <w:i/>
        </w:rPr>
        <w:t xml:space="preserve">Senate Bill 53: Transparency in Frontier Artificial Intelligence Act</w:t>
      </w:r>
      <w:r>
        <w:t xml:space="preserve">. Sacramento: California State Legislature. Available at:</w:t>
      </w:r>
      <w:r>
        <w:t xml:space="preserve"> </w:t>
      </w:r>
      <w:hyperlink r:id="rId36">
        <w:r>
          <w:rPr>
            <w:rStyle w:val="Hyperlink"/>
          </w:rPr>
          <w:t xml:space="preserve">https://leginfo.legislature.ca.gov/faces/billTextClient.xhtml?bill_id=202520260SB53</w:t>
        </w:r>
      </w:hyperlink>
      <w:r>
        <w:t xml:space="preserve"> </w:t>
      </w:r>
      <w:r>
        <w:t xml:space="preserve">(Accessed: 11 September 2026).</w:t>
      </w:r>
    </w:p>
    <w:p>
      <w:pPr>
        <w:pStyle w:val="BodyText"/>
      </w:pPr>
      <w:r>
        <w:t xml:space="preserve">Cloud Security Alliance (2026)</w:t>
      </w:r>
      <w:r>
        <w:t xml:space="preserve"> </w:t>
      </w:r>
      <w:r>
        <w:rPr>
          <w:i/>
        </w:rPr>
        <w:t xml:space="preserve">Research note: AI incident disclosure gap, EU AI Act</w:t>
      </w:r>
      <w:r>
        <w:t xml:space="preserve">. Available at:</w:t>
      </w:r>
      <w:r>
        <w:t xml:space="preserve"> </w:t>
      </w:r>
      <w:hyperlink r:id="rId37">
        <w:r>
          <w:rPr>
            <w:rStyle w:val="Hyperlink"/>
          </w:rPr>
          <w:t xml:space="preserve">https://labs.cloudsecurityalliance.org/research/csa-research-note-ai-incident-disclosure-gap-eu-ai-act-20260/</w:t>
        </w:r>
      </w:hyperlink>
      <w:r>
        <w:t xml:space="preserve"> </w:t>
      </w:r>
      <w:r>
        <w:t xml:space="preserve">(Accessed: 11 September 2026).</w:t>
      </w:r>
    </w:p>
    <w:p>
      <w:pPr>
        <w:pStyle w:val="BodyText"/>
      </w:pPr>
      <w:r>
        <w:t xml:space="preserve">Directive (EU) 2022/2557 of the European Parliament and of the Council of 14 December 2022 on the resilience of critical entities, OJ L 333, 27.12.2022, p. 164. ELI:</w:t>
      </w:r>
      <w:r>
        <w:t xml:space="preserve"> </w:t>
      </w:r>
      <w:hyperlink r:id="rId38">
        <w:r>
          <w:rPr>
            <w:rStyle w:val="Hyperlink"/>
          </w:rPr>
          <w:t xml:space="preserve">http://data.europa.eu/eli/dir/2022/2557/oj</w:t>
        </w:r>
      </w:hyperlink>
    </w:p>
    <w:p>
      <w:pPr>
        <w:pStyle w:val="BodyText"/>
      </w:pPr>
      <w:r>
        <w:t xml:space="preserve">European Commission (2026a)</w:t>
      </w:r>
      <w:r>
        <w:t xml:space="preserve"> </w:t>
      </w:r>
      <w:r>
        <w:rPr>
          <w:i/>
        </w:rPr>
        <w:t xml:space="preserve">General-purpose AI models in the AI Act: questions and answers</w:t>
      </w:r>
      <w:r>
        <w:t xml:space="preserve">. Available at:</w:t>
      </w:r>
      <w:r>
        <w:t xml:space="preserve"> </w:t>
      </w:r>
      <w:hyperlink r:id="rId39">
        <w:r>
          <w:rPr>
            <w:rStyle w:val="Hyperlink"/>
          </w:rPr>
          <w:t xml:space="preserve">https://digital-strategy.ec.europa.eu/en/faqs/general-purpose-ai-models-ai-act-questions-answers</w:t>
        </w:r>
      </w:hyperlink>
      <w:r>
        <w:t xml:space="preserve"> </w:t>
      </w:r>
      <w:r>
        <w:t xml:space="preserve">(Accessed: 11 September 2026).</w:t>
      </w:r>
    </w:p>
    <w:p>
      <w:pPr>
        <w:pStyle w:val="BodyText"/>
      </w:pPr>
      <w:r>
        <w:t xml:space="preserve">European Commission (2025)</w:t>
      </w:r>
      <w:r>
        <w:t xml:space="preserve"> </w:t>
      </w:r>
      <w:r>
        <w:rPr>
          <w:i/>
        </w:rPr>
        <w:t xml:space="preserve">Commission guidelines on the scope of the obligations for providers of general-purpose AI models established by Regulation (EU) 2024/1689 (AI Act)</w:t>
      </w:r>
      <w:r>
        <w:t xml:space="preserve">. C(2025) 7719 final. Brussels, 19 November.</w:t>
      </w:r>
    </w:p>
    <w:p>
      <w:pPr>
        <w:pStyle w:val="BodyText"/>
      </w:pPr>
      <w:r>
        <w:t xml:space="preserve">European Commission (2026b) Statement of spokesperson T. Regnier on the DseWiki filing, 7 September. Reported in</w:t>
      </w:r>
      <w:r>
        <w:t xml:space="preserve"> </w:t>
      </w:r>
      <w:r>
        <w:rPr>
          <w:i/>
        </w:rPr>
        <w:t xml:space="preserve">International Business Times UK</w:t>
      </w:r>
      <w:r>
        <w:t xml:space="preserve">. Available at:</w:t>
      </w:r>
      <w:r>
        <w:t xml:space="preserve"> </w:t>
      </w:r>
      <w:hyperlink r:id="rId40">
        <w:r>
          <w:rPr>
            <w:rStyle w:val="Hyperlink"/>
          </w:rPr>
          <w:t xml:space="preserve">https://www.ibtimes.co.uk/openai-eu-scrutiny-dsewiki-incident-1818384</w:t>
        </w:r>
      </w:hyperlink>
      <w:r>
        <w:t xml:space="preserve"> </w:t>
      </w:r>
      <w:r>
        <w:t xml:space="preserve">(Accessed: 11 September 2026).</w:t>
      </w:r>
    </w:p>
    <w:p>
      <w:pPr>
        <w:pStyle w:val="BodyText"/>
      </w:pPr>
      <w:r>
        <w:t xml:space="preserve">Hugging Face (2026)</w:t>
      </w:r>
      <w:r>
        <w:t xml:space="preserve"> </w:t>
      </w:r>
      <w:r>
        <w:rPr>
          <w:i/>
        </w:rPr>
        <w:t xml:space="preserve">Anatomy of a frontier lab agent intrusion: a technical timeline of the July 2026 incident</w:t>
      </w:r>
      <w:r>
        <w:t xml:space="preserve">. 27 July. Available at:</w:t>
      </w:r>
      <w:r>
        <w:t xml:space="preserve"> </w:t>
      </w:r>
      <w:hyperlink r:id="rId41">
        <w:r>
          <w:rPr>
            <w:rStyle w:val="Hyperlink"/>
          </w:rPr>
          <w:t xml:space="preserve">https://huggingface.co/blog/agent-intrusion-technical-timeline</w:t>
        </w:r>
      </w:hyperlink>
      <w:r>
        <w:t xml:space="preserve"> </w:t>
      </w:r>
      <w:r>
        <w:t xml:space="preserve">(Accessed: 11 September 2026).</w:t>
      </w:r>
    </w:p>
    <w:p>
      <w:pPr>
        <w:pStyle w:val="BodyText"/>
      </w:pPr>
      <w:r>
        <w:t xml:space="preserve">METR and Redwood Research (2026)</w:t>
      </w:r>
      <w:r>
        <w:t xml:space="preserve"> </w:t>
      </w:r>
      <w:r>
        <w:rPr>
          <w:i/>
        </w:rPr>
        <w:t xml:space="preserve">Brief independent investigation of agents’ behavior, reasoning and collaboration in the OpenAI / Hugging Face hacking incident</w:t>
      </w:r>
      <w:r>
        <w:t xml:space="preserve">. 26 August. Available at:</w:t>
      </w:r>
      <w:r>
        <w:t xml:space="preserve"> </w:t>
      </w:r>
      <w:hyperlink r:id="rId42">
        <w:r>
          <w:rPr>
            <w:rStyle w:val="Hyperlink"/>
          </w:rPr>
          <w:t xml:space="preserve">https://metr.org/blog/2026-08-26-openai-hugging-face-incident-investigation/</w:t>
        </w:r>
      </w:hyperlink>
      <w:r>
        <w:t xml:space="preserve"> </w:t>
      </w:r>
      <w:r>
        <w:t xml:space="preserve">(Accessed: 11 September 2026).</w:t>
      </w:r>
    </w:p>
    <w:p>
      <w:pPr>
        <w:pStyle w:val="BodyText"/>
      </w:pPr>
      <w:r>
        <w:t xml:space="preserve">OpenAI (2026a)</w:t>
      </w:r>
      <w:r>
        <w:t xml:space="preserve"> </w:t>
      </w:r>
      <w:r>
        <w:rPr>
          <w:i/>
        </w:rPr>
        <w:t xml:space="preserve">OpenAI and Hugging Face partner to address security incident during model evaluation</w:t>
      </w:r>
      <w:r>
        <w:t xml:space="preserve">. 21 July, revised 28–29 July. Available at:</w:t>
      </w:r>
      <w:r>
        <w:t xml:space="preserve"> </w:t>
      </w:r>
      <w:hyperlink r:id="rId43">
        <w:r>
          <w:rPr>
            <w:rStyle w:val="Hyperlink"/>
          </w:rPr>
          <w:t xml:space="preserve">https://openai.com/index/hugging-face-model-evaluation-security-incident/</w:t>
        </w:r>
      </w:hyperlink>
      <w:r>
        <w:t xml:space="preserve"> </w:t>
      </w:r>
      <w:r>
        <w:t xml:space="preserve">(Accessed: 11 September 2026).</w:t>
      </w:r>
    </w:p>
    <w:p>
      <w:pPr>
        <w:pStyle w:val="BodyText"/>
      </w:pPr>
      <w:r>
        <w:t xml:space="preserve">OpenAI (2026b)</w:t>
      </w:r>
      <w:r>
        <w:t xml:space="preserve"> </w:t>
      </w:r>
      <w:r>
        <w:rPr>
          <w:i/>
        </w:rPr>
        <w:t xml:space="preserve">The Hugging Face incident and the road ahead</w:t>
      </w:r>
      <w:r>
        <w:t xml:space="preserve">. 26 August. Available at:</w:t>
      </w:r>
      <w:r>
        <w:t xml:space="preserve"> </w:t>
      </w:r>
      <w:hyperlink r:id="rId44">
        <w:r>
          <w:rPr>
            <w:rStyle w:val="Hyperlink"/>
          </w:rPr>
          <w:t xml:space="preserve">https://openai.com/index/hugging-face-incident-and-the-road-ahead/</w:t>
        </w:r>
      </w:hyperlink>
      <w:r>
        <w:t xml:space="preserve"> </w:t>
      </w:r>
      <w:r>
        <w:t xml:space="preserve">(Accessed: 11 September 2026).</w:t>
      </w:r>
    </w:p>
    <w:p>
      <w:pPr>
        <w:pStyle w:val="BodyText"/>
      </w:pPr>
      <w:r>
        <w:t xml:space="preserve">OpenAI (2026c) Public acknowledgment of the wiki incident, 5 September. Reported in</w:t>
      </w:r>
      <w:r>
        <w:t xml:space="preserve"> </w:t>
      </w:r>
      <w:r>
        <w:rPr>
          <w:i/>
        </w:rPr>
        <w:t xml:space="preserve">TechCrunch</w:t>
      </w:r>
      <w:r>
        <w:t xml:space="preserve">. Available at:</w:t>
      </w:r>
      <w:r>
        <w:t xml:space="preserve"> </w:t>
      </w:r>
      <w:hyperlink r:id="rId45">
        <w:r>
          <w:rPr>
            <w:rStyle w:val="Hyperlink"/>
          </w:rPr>
          <w:t xml:space="preserve">https://techcrunch.com/2026/09/05/openai-confirms-wiki-incident-says-its-working-on-a-framework-for-more-disclosure/</w:t>
        </w:r>
      </w:hyperlink>
      <w:r>
        <w:t xml:space="preserve"> </w:t>
      </w:r>
      <w:r>
        <w:t xml:space="preserve">(Accessed: 11 September 2026).</w:t>
      </w:r>
    </w:p>
    <w:p>
      <w:pPr>
        <w:pStyle w:val="BodyText"/>
      </w:pPr>
      <w:r>
        <w:t xml:space="preserve">Pistillo, M. (2026)</w:t>
      </w:r>
      <w:r>
        <w:t xml:space="preserve"> </w:t>
      </w:r>
      <w:r>
        <w:rPr>
          <w:i/>
        </w:rPr>
        <w:t xml:space="preserve">Internal deployment in the AI Act</w:t>
      </w:r>
      <w:r>
        <w:t xml:space="preserve">. Chapter for the</w:t>
      </w:r>
      <w:r>
        <w:t xml:space="preserve"> </w:t>
      </w:r>
      <w:r>
        <w:rPr>
          <w:i/>
        </w:rPr>
        <w:t xml:space="preserve">Cambridge Commentary on EU General-Purpose AI Law</w:t>
      </w:r>
      <w:r>
        <w:t xml:space="preserve">. arXiv:2512.05742 [v4, 10 August 2026]. doi: 10.48550/arXiv.2512.05742. First posted 5 December 2025; revised 26 January, 20 May and 10 August 2026. Cited at v4, the version consulted, identified by byte size; copy held, SHA-256</w:t>
      </w:r>
      <w:r>
        <w:t xml:space="preserve"> </w:t>
      </w:r>
      <w:r>
        <w:rPr>
          <w:rStyle w:val="VerbatimChar"/>
        </w:rPr>
        <w:t xml:space="preserve">00436de5…3e7472</w:t>
      </w:r>
      <w:r>
        <w:t xml:space="preserve">. Note that the title block of v4 reads “Submitted: May 2026”, which is the chapter’s submission date and not its posting date.</w:t>
      </w:r>
    </w:p>
    <w:p>
      <w:pPr>
        <w:pStyle w:val="BodyText"/>
      </w:pPr>
      <w:r>
        <w:t xml:space="preserve">Regulation (EU) 2024/1689 of the European Parliament and of the Council of 13 June 2024 laying down harmonised rules on artificial intelligence, OJ L, 2024/1689, 12.7.2024. Consolidated text CELEX 02024R1689-20260727, as amended by Regulation (EU) 2026/1744. ELI:</w:t>
      </w:r>
      <w:r>
        <w:t xml:space="preserve"> </w:t>
      </w:r>
      <w:hyperlink r:id="rId46">
        <w:r>
          <w:rPr>
            <w:rStyle w:val="Hyperlink"/>
          </w:rPr>
          <w:t xml:space="preserve">http://data.europa.eu/eli/reg/2024/1689/oj</w:t>
        </w:r>
      </w:hyperlink>
    </w:p>
    <w:p>
      <w:pPr>
        <w:pStyle w:val="BodyText"/>
      </w:pPr>
      <w:r>
        <w:t xml:space="preserve">UK AI Security Institute (2026) Findings on frontier model behaviour in cyber evaluations, July. Reported by Cloud Security Alliance. Available at:</w:t>
      </w:r>
      <w:r>
        <w:t xml:space="preserve"> </w:t>
      </w:r>
      <w:hyperlink r:id="rId47">
        <w:r>
          <w:rPr>
            <w:rStyle w:val="Hyperlink"/>
          </w:rPr>
          <w:t xml:space="preserve">https://cloudsecurityalliance.org/artifacts/every-frontier-model-cheated-what-aisi-s-findings-mean-for-trust</w:t>
        </w:r>
      </w:hyperlink>
      <w:r>
        <w:t xml:space="preserve"> </w:t>
      </w:r>
      <w:r>
        <w:t xml:space="preserve">(Accessed: 11 September 2026).</w:t>
      </w:r>
    </w:p>
    <w:p>
      <w:pPr>
        <w:pStyle w:val="BodyText"/>
      </w:pPr>
      <w:r>
        <w:t xml:space="preserve">Uuk, R. (2026) ‘The EU AI Act Newsletter #110: Powers in Practice’, 8 September. Future of Life Institute. Available at:</w:t>
      </w:r>
      <w:r>
        <w:t xml:space="preserve"> </w:t>
      </w:r>
      <w:hyperlink r:id="rId48">
        <w:r>
          <w:rPr>
            <w:rStyle w:val="Hyperlink"/>
          </w:rPr>
          <w:t xml:space="preserve">https://artificialintelligenceact.substack.com/p/the-eu-ai-act-newsletter-110-powers</w:t>
        </w:r>
      </w:hyperlink>
      <w:r>
        <w:t xml:space="preserve"> </w:t>
      </w:r>
      <w:r>
        <w:t xml:space="preserve">(Accessed: 13 September 2026).</w:t>
      </w:r>
    </w:p>
    <w:p>
      <w:pPr>
        <w:pStyle w:val="BodyText"/>
      </w:pPr>
      <w:r>
        <w:t xml:space="preserve">Von Arx, S. et al. (2026)</w:t>
      </w:r>
      <w:r>
        <w:t xml:space="preserve"> </w:t>
      </w:r>
      <w:r>
        <w:rPr>
          <w:i/>
        </w:rPr>
        <w:t xml:space="preserve">DseWiki incident analysis</w:t>
      </w:r>
      <w:r>
        <w:t xml:space="preserve">. 4 September. Available at:</w:t>
      </w:r>
      <w:r>
        <w:t xml:space="preserve"> </w:t>
      </w:r>
      <w:hyperlink r:id="rId49">
        <w:r>
          <w:rPr>
            <w:rStyle w:val="Hyperlink"/>
          </w:rPr>
          <w:t xml:space="preserve">https://collusion.wiki/</w:t>
        </w:r>
      </w:hyperlink>
      <w:r>
        <w:t xml:space="preserve"> </w:t>
      </w:r>
      <w:r>
        <w:t xml:space="preserve">(Accessed: 11 September 2026). Archived at:</w:t>
      </w:r>
      <w:r>
        <w:t xml:space="preserve"> </w:t>
      </w:r>
      <w:hyperlink r:id="rId50">
        <w:r>
          <w:rPr>
            <w:rStyle w:val="Hyperlink"/>
          </w:rPr>
          <w:t xml:space="preserve">https://web.archive.org/web/20260912133451/https://collusion.wiki/</w:t>
        </w:r>
      </w:hyperlink>
      <w:r>
        <w:t xml:space="preserve"> </w:t>
      </w:r>
      <w:r>
        <w:t xml:space="preserve">(Archived: 12 September 2026). The page was bylined 3 September when first captured on 4 September 2026; the figures cited here are identical in both captures.</w:t>
      </w:r>
    </w:p>
    <w:p>
      <w:pPr>
        <w:pStyle w:val="BodyText"/>
      </w:pPr>
      <w:r>
        <w:rPr>
          <w:i/>
        </w:rPr>
        <w:t xml:space="preserve">Pinpoint citations, source tiering and negative-search notes are held in</w:t>
      </w:r>
      <w:r>
        <w:rPr>
          <w:i/>
        </w:rPr>
        <w:t xml:space="preserve"> </w:t>
      </w:r>
      <w:r>
        <w:rPr>
          <w:rStyle w:val="VerbatimChar"/>
          <w:i/>
        </w:rPr>
        <w:t xml:space="preserve">data/sources.yaml</w:t>
      </w:r>
      <w:r>
        <w:rPr>
          <w:i/>
        </w:rPr>
        <w:t xml:space="preserve">.</w:t>
      </w:r>
    </w:p>
    <w:p>
      <w:r>
        <w:pict>
          <v:rect style="width:0;height:1.5pt" o:hralign="center" o:hrstd="t" o:hr="t"/>
        </w:pict>
      </w:r>
    </w:p>
    <w:p>
      <w:pPr>
        <w:pStyle w:val="Heading2"/>
      </w:pPr>
      <w:bookmarkStart w:id="51" w:name="Xd30e20a051985fc8e754502360db59eb120ca9e"/>
      <w:r>
        <w:t xml:space="preserve">Appendix A: Limitations and dual-use considerations</w:t>
      </w:r>
      <w:r>
        <w:t xml:space="preserve"> </w:t>
      </w:r>
      <w:r>
        <w:rPr>
          <w:i/>
        </w:rPr>
        <w:t xml:space="preserve">(required)</w:t>
      </w:r>
      <w:bookmarkEnd w:id="51"/>
    </w:p>
    <w:p>
      <w:pPr>
        <w:pStyle w:val="Heading3"/>
      </w:pPr>
      <w:bookmarkStart w:id="52" w:name="a1-what-this-cannot-establish"/>
      <w:r>
        <w:t xml:space="preserve">A.1 What this cannot establish</w:t>
      </w:r>
      <w:bookmarkEnd w:id="52"/>
    </w:p>
    <w:p>
      <w:pPr>
        <w:pStyle w:val="FirstParagraph"/>
      </w:pPr>
      <w:r>
        <w:t xml:space="preserve">It cannot establish what occurred. Every verdict is a claim about a disclosed record assembled by interested parties.</w:t>
      </w:r>
    </w:p>
    <w:p>
      <w:pPr>
        <w:pStyle w:val="BodyText"/>
      </w:pPr>
      <w:r>
        <w:t xml:space="preserve">It cannot establish contravention. No finding is made or invited.</w:t>
      </w:r>
    </w:p>
    <w:p>
      <w:pPr>
        <w:pStyle w:val="BodyText"/>
      </w:pPr>
      <w:r>
        <w:t xml:space="preserve">It cannot resolve the facts on which everything turns. The model’s training compute is known only to the provider; whether the model was ever integrated into an own system put into service, or shares a pre-training run with a model that was placed, is known only to the provider; and no account places any such system in the Union. If any of the three fails, most of this analysis falls away, and the report says so rather than hedging.</w:t>
      </w:r>
    </w:p>
    <w:p>
      <w:pPr>
        <w:pStyle w:val="BodyText"/>
      </w:pPr>
      <w:r>
        <w:t xml:space="preserve">It cannot settle the scope argument. A provider could run the textual reading, and the Commission’s Q&amp;A disclaims authority to interpret the Act.</w:t>
      </w:r>
    </w:p>
    <w:p>
      <w:pPr>
        <w:pStyle w:val="Heading3"/>
      </w:pPr>
      <w:bookmarkStart w:id="53" w:name="a2-access-asymmetry"/>
      <w:r>
        <w:t xml:space="preserve">A.2 Access asymmetry</w:t>
      </w:r>
      <w:bookmarkEnd w:id="53"/>
    </w:p>
    <w:p>
      <w:pPr>
        <w:pStyle w:val="FirstParagraph"/>
      </w:pPr>
      <w: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pPr>
      <w:bookmarkStart w:id="54" w:name="Xe9b575d18f7190753dea57c3b0b08ecacf791fc"/>
      <w:r>
        <w:t xml:space="preserve">A.3 Dual use: aggregation rather than disclosure</w:t>
      </w:r>
      <w:bookmarkEnd w:id="54"/>
    </w:p>
    <w:p>
      <w:pPr>
        <w:pStyle w:val="FirstParagraph"/>
      </w:pPr>
      <w: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pPr>
      <w:bookmarkStart w:id="55" w:name="a4-dual-use-the-instrument"/>
      <w:r>
        <w:t xml:space="preserve">A.4 Dual use: the instrument</w:t>
      </w:r>
      <w:bookmarkEnd w:id="55"/>
    </w:p>
    <w:p>
      <w:pPr>
        <w:pStyle w:val="FirstParagraph"/>
      </w:pPr>
      <w: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pPr>
      <w:bookmarkStart w:id="56" w:name="a5-dual-use-the-scope-analysis"/>
      <w:r>
        <w:t xml:space="preserve">A.5 Dual use: the scope analysis</w:t>
      </w:r>
      <w:bookmarkEnd w:id="56"/>
    </w:p>
    <w:p>
      <w:pPr>
        <w:pStyle w:val="FirstParagraph"/>
      </w:pPr>
      <w:r>
        <w:t xml:space="preserve">§5.1 sets out the strongest textual argument available to a provider seeking to place a pre-market research model outside the Regulation. It is published anyway. The argument is derivable by anyone who reads Articles 2(1)(a), 3(9) to (11) and 3(63) together, and it is already in the literature (Pistillo, 2026), so publication confers no advantage a competent adviser does not hold. A fragility that regulators can see is less dangerous than one they cannot, and the amendment table at</w:t>
      </w:r>
      <w:r>
        <w:t xml:space="preserve"> </w:t>
      </w:r>
      <w:r>
        <w:rPr>
          <w:rStyle w:val="VerbatimChar"/>
        </w:rPr>
        <w:t xml:space="preserve">instrument/amendment-table.md</w:t>
      </w:r>
      <w:r>
        <w:t xml:space="preserve"> </w:t>
      </w:r>
      <w:r>
        <w:t xml:space="preserve">is narrow and available.</w:t>
      </w:r>
    </w:p>
    <w:p>
      <w:pPr>
        <w:pStyle w:val="Heading3"/>
      </w:pPr>
      <w:bookmarkStart w:id="57" w:name="a6-even-handedness"/>
      <w:r>
        <w:t xml:space="preserve">A.6 Even-handedness</w:t>
      </w:r>
      <w:bookmarkEnd w:id="57"/>
    </w:p>
    <w:p>
      <w:pPr>
        <w:pStyle w:val="FirstParagraph"/>
      </w:pPr>
      <w:r>
        <w:t xml:space="preserve">Two developers’ self-reports are registered at the same tier with the same reservations. The author has an application pending with one of them. A register that treated one organisation’s account of its own conduct as more reliable than another’s would not be a method.</w:t>
      </w:r>
    </w:p>
    <w:p>
      <w:pPr>
        <w:pStyle w:val="Heading2"/>
      </w:pPr>
      <w:bookmarkStart w:id="58" w:name="X513b2a492d4a07e874122f31255f7fe93a9508e"/>
      <w:r>
        <w:t xml:space="preserve">Appendix B: Comparative table, three regimes</w:t>
      </w:r>
      <w:bookmarkEnd w:id="58"/>
    </w:p>
    <w:p>
      <w:pPr>
        <w:pStyle w:val="FirstParagraph"/>
      </w:pPr>
      <w:r>
        <w:t xml:space="preserve">See the accompanying comparative appendix: thresholds, definitional gates, the three clocks and their triggers, and enforceable self-commitments.</w:t>
      </w:r>
    </w:p>
    <w:p>
      <w:pPr>
        <w:pStyle w:val="Heading2"/>
      </w:pPr>
      <w:bookmarkStart w:id="59" w:name="appendix-c-llm-usage-disclosure"/>
      <w:r>
        <w:t xml:space="preserve">Appendix C: LLM usage disclosure</w:t>
      </w:r>
      <w:bookmarkEnd w:id="59"/>
    </w:p>
    <w:p>
      <w:pPr>
        <w:pStyle w:val="FirstParagraph"/>
      </w:pPr>
      <w:r>
        <w:t xml:space="preserve">Claude (Anthropic) was used throughout as a research and drafting assistant: retrieving and extracting primary statutory text, cross-checking inherited factual claims, drafting and revising prose, and writing the checkers and the scripts in</w:t>
      </w:r>
      <w:r>
        <w:t xml:space="preserve"> </w:t>
      </w:r>
      <w:r>
        <w:rPr>
          <w:rStyle w:val="VerbatimChar"/>
        </w:rPr>
        <w:t xml:space="preserve">tools/</w:t>
      </w:r>
      <w:r>
        <w:t xml:space="preserve">. All analytical choices were directed and accepted by the author, who is responsible for every claim.</w:t>
      </w:r>
    </w:p>
    <w:p>
      <w:pPr>
        <w:pStyle w:val="BodyText"/>
      </w:pPr>
      <w:r>
        <w:t xml:space="preserve">Three disclosures follow. The tool is made by a developer whose own disclosed containment incidents appear in this analysis; that developer’s self-report is tiered identically to the other’s. The author has an application pending with that developer. And the assistant was used adversarially as well as generatively: two independent review passes were run over a finished draft with no sight of the reasoning that produced it, and a subsequent audit found a novelty misstatement and the omission of Recital 97. Prompts and findings are in the repository. A third pass was run over the model Article 91 request itself (</w:t>
      </w:r>
      <w:r>
        <w:rPr>
          <w:rStyle w:val="VerbatimChar"/>
        </w:rPr>
        <w:t xml:space="preserve">docs/instrument-review.md</w:t>
      </w:r>
      <w:r>
        <w:t xml:space="preserve">).</w:t>
      </w:r>
      <w:r>
        <w:t xml:space="preserve"> </w:t>
      </w:r>
      <w:r>
        <w:rPr>
          <w:b/>
        </w:rPr>
        <w:t xml:space="preserve">That reviewer was the same tool prompted to read the draft as a Commission lawyer. No lawyer was consulted and nobody real was contacted</w:t>
      </w:r>
      <w:r>
        <w:t xml:space="preserve">—an earlier version of that file and its commit message implied otherwise, and the correction is the fifteenth entry in the log. Its case-law references were later read and hold (the sixteenth entry); one of its assertions about the enacting text was wrong and was acted on before being checked (the fourteenth). The defects it found that could be checked against the text were checked, and several held; they are what the instrument was corrected against, and they are not offered as legal advice.</w:t>
      </w:r>
    </w:p>
    <w:p>
      <w:pPr>
        <w:pStyle w:val="BodyText"/>
      </w:pPr>
      <w:r>
        <w:t xml:space="preserve">A fourth disclosure, for the final day. The adversarial audit of 13 September, the enforcement pack, the six scripts and the second run were produced in one session with the same assistant, directed and accepted by the author; the audit’s findings are the twentieth to twenty-fourth log entries and the pack is what followed from them. The second run applies the method to incidents disclosed by the assistant’s own developer. Its rows were written from that developer’s account, tiered T1 with the same reservations as the first run’s, and from nine other held documents including the evaluation partner’s account and two press reports critical of it; the run’s own corrections log records the two errors it made and the one it did not, which is treating the developer’s September revision of its July account as a fact rather than a characterisation. A reader who thinks the assistant should not have been pointed at its maker’s incident has the run’s registers, hashes and checkers to disagree with, which is the only answer the method has to that objection for either provider.</w:t>
      </w:r>
    </w:p>
    <w:p>
      <w:pPr>
        <w:pStyle w:val="Heading2"/>
      </w:pPr>
      <w:bookmarkStart w:id="60" w:name="appendix-d-author-contributions"/>
      <w:r>
        <w:t xml:space="preserve">Appendix D: Author contributions</w:t>
      </w:r>
      <w:bookmarkEnd w:id="60"/>
    </w:p>
    <w:p>
      <w:pPr>
        <w:pStyle w:val="FirstParagraph"/>
      </w:pPr>
      <w:r>
        <w:t xml:space="preserve">Sole author. B.Q. conceived the approach, selected the regime and episodes, directed the research, made all analytical and drafting decisions, and is responsible for all errors.</w:t>
      </w:r>
    </w:p>
    <w:p>
      <w:pPr>
        <w:pStyle w:val="Heading2"/>
      </w:pPr>
      <w:bookmarkStart w:id="61" w:name="appendix-e-artifact"/>
      <w:r>
        <w:t xml:space="preserve">Appendix E: Artifact</w:t>
      </w:r>
      <w:bookmarkEnd w:id="61"/>
    </w:p>
    <w:p>
      <w:pPr>
        <w:pStyle w:val="FirstParagraph"/>
      </w:pPr>
      <w:r>
        <w:t xml:space="preserve">Repository: the enforcement pack at</w:t>
      </w:r>
      <w:r>
        <w:t xml:space="preserve"> </w:t>
      </w:r>
      <w:r>
        <w:rPr>
          <w:rStyle w:val="VerbatimChar"/>
        </w:rPr>
        <w:t xml:space="preserve">instrument/</w:t>
      </w:r>
      <w:r>
        <w:t xml:space="preserve"> </w:t>
      </w:r>
      <w:r>
        <w:t xml:space="preserve">(cover note, model Article 91 request, issuing note, answer matrix, amended serious-incident template as DOCX, amendment table); method; statutory foundation with amendment status and corrections log; source register with SHA-256 for every held document; cross-walk data; inference register; adversarial review findings. Five checkers run from one entry point,</w:t>
      </w:r>
      <w:r>
        <w:t xml:space="preserve"> </w:t>
      </w:r>
      <w:r>
        <w:rPr>
          <w:rStyle w:val="VerbatimChar"/>
        </w:rPr>
        <w:t xml:space="preserve">tools/check.py</w:t>
      </w:r>
      <w:r>
        <w:t xml:space="preserve">:</w:t>
      </w:r>
      <w:r>
        <w:t xml:space="preserve"> </w:t>
      </w:r>
      <w:r>
        <w:rPr>
          <w:rStyle w:val="VerbatimChar"/>
        </w:rPr>
        <w:t xml:space="preserve">validate.py</w:t>
      </w:r>
      <w:r>
        <w:t xml:space="preserve"> </w:t>
      </w:r>
      <w:r>
        <w:t xml:space="preserve">for the verdict discipline,</w:t>
      </w:r>
      <w:r>
        <w:t xml:space="preserve"> </w:t>
      </w:r>
      <w:r>
        <w:rPr>
          <w:rStyle w:val="VerbatimChar"/>
        </w:rPr>
        <w:t xml:space="preserve">citecheck.py</w:t>
      </w:r>
      <w:r>
        <w:t xml:space="preserve"> </w:t>
      </w:r>
      <w:r>
        <w:t xml:space="preserve">for citations,</w:t>
      </w:r>
      <w:r>
        <w:t xml:space="preserve"> </w:t>
      </w:r>
      <w:r>
        <w:rPr>
          <w:rStyle w:val="VerbatimChar"/>
        </w:rPr>
        <w:t xml:space="preserve">quotecheck.py</w:t>
      </w:r>
      <w:r>
        <w:t xml:space="preserve"> </w:t>
      </w:r>
      <w:r>
        <w:t xml:space="preserve">for quotations against the hashed source documents,</w:t>
      </w:r>
      <w:r>
        <w:t xml:space="preserve"> </w:t>
      </w:r>
      <w:r>
        <w:rPr>
          <w:rStyle w:val="VerbatimChar"/>
        </w:rPr>
        <w:t xml:space="preserve">infercheck.py</w:t>
      </w:r>
      <w:r>
        <w:t xml:space="preserve"> </w:t>
      </w:r>
      <w:r>
        <w:t xml:space="preserve">for the inference register, and</w:t>
      </w:r>
      <w:r>
        <w:t xml:space="preserve"> </w:t>
      </w:r>
      <w:r>
        <w:rPr>
          <w:rStyle w:val="VerbatimChar"/>
        </w:rPr>
        <w:t xml:space="preserve">housestyle.py</w:t>
      </w:r>
      <w:r>
        <w:t xml:space="preserve"> </w:t>
      </w:r>
      <w:r>
        <w:t xml:space="preserve">for prose conventions, repeated paragraphs and drifted counts.</w:t>
      </w:r>
      <w:r>
        <w:t xml:space="preserve"> </w:t>
      </w:r>
      <w:r>
        <w:rPr>
          <w:rStyle w:val="VerbatimChar"/>
        </w:rPr>
        <w:t xml:space="preserve">python3 tools/infercheck.py --attack</w:t>
      </w:r>
      <w:r>
        <w:t xml:space="preserve"> </w:t>
      </w:r>
      <w:r>
        <w:t xml:space="preserve">prints the load-bearing steps weakest first.</w:t>
      </w:r>
      <w:r>
        <w:t xml:space="preserve"> </w:t>
      </w:r>
      <w:r>
        <w:rPr>
          <w:rStyle w:val="VerbatimChar"/>
        </w:rPr>
        <w:t xml:space="preserve">python3 tools/new-incident.py PATH</w:t>
      </w:r>
      <w:r>
        <w:t xml:space="preserve"> </w:t>
      </w:r>
      <w:r>
        <w:t xml:space="preserve">stands up an empty repository with the schemas, the checkers and the verified statutory register for the next incident;</w:t>
      </w:r>
      <w:r>
        <w:t xml:space="preserve"> </w:t>
      </w:r>
      <w:r>
        <w:rPr>
          <w:rStyle w:val="VerbatimChar"/>
        </w:rPr>
        <w:t xml:space="preserve">tools/reverify.py</w:t>
      </w:r>
      <w:r>
        <w:t xml:space="preserve"> </w:t>
      </w:r>
      <w:r>
        <w:t xml:space="preserve">checks that register against a supplied consolidated text;</w:t>
      </w:r>
      <w:r>
        <w:t xml:space="preserve"> </w:t>
      </w:r>
      <w:r>
        <w:rPr>
          <w:rStyle w:val="VerbatimChar"/>
        </w:rPr>
        <w:t xml:space="preserve">tools/draft-request.py</w:t>
      </w:r>
      <w:r>
        <w:t xml:space="preserve"> </w:t>
      </w:r>
      <w:r>
        <w:t xml:space="preserve">drafts a request from the cross-walk;</w:t>
      </w:r>
      <w:r>
        <w:t xml:space="preserve"> </w:t>
      </w:r>
      <w:r>
        <w:rPr>
          <w:rStyle w:val="VerbatimChar"/>
        </w:rPr>
        <w:t xml:space="preserve">tools/formfill.py</w:t>
      </w:r>
      <w:r>
        <w:t xml:space="preserve"> </w:t>
      </w:r>
      <w:r>
        <w:t xml:space="preserve">renders a template filled from the record;</w:t>
      </w:r>
      <w:r>
        <w:t xml:space="preserve"> </w:t>
      </w:r>
      <w:r>
        <w:rPr>
          <w:rStyle w:val="VerbatimChar"/>
        </w:rPr>
        <w:t xml:space="preserve">tools/render-pack.py</w:t>
      </w:r>
      <w:r>
        <w:t xml:space="preserve"> </w:t>
      </w:r>
      <w:r>
        <w:t xml:space="preserve">renders the pack to DOCX. The README is the runbook. Prose and data CC BY 4.0; code MIT.</w:t>
      </w:r>
    </w:p>
    <w:p>
      <w:r>
        <w:pict>
          <v:rect style="width:0;height:1.5pt" o:hralign="center" o:hrstd="t" o:hr="t"/>
        </w:pict>
      </w:r>
    </w:p>
    <w:p>
      <w:pPr>
        <w:pStyle w:val="Heading2"/>
      </w:pPr>
      <w:bookmarkStart w:id="62" w:name="X6600875308730139880dbac9b1615afef6cde9b"/>
      <w:r>
        <w:t xml:space="preserve">Appendix F: the Commission’s serious-incident template, filled from the public record</w:t>
      </w:r>
      <w:bookmarkEnd w:id="62"/>
    </w:p>
    <w:p>
      <w:pPr>
        <w:pStyle w:val="FirstParagraph"/>
      </w:pPr>
      <w:r>
        <w:t xml:space="preserve">Every cell below is a cross-walk row re-presented in the regulator’s own form. The form is where the gaps become legible: a reader can disagree with an analysis, but a blank required field argues for itself. Full version, with the sourcing for each cell, at</w:t>
      </w:r>
      <w:r>
        <w:t xml:space="preserve"> </w:t>
      </w:r>
      <w:r>
        <w:rPr>
          <w:rStyle w:val="VerbatimChar"/>
        </w:rPr>
        <w:t xml:space="preserve">docs/appendix-forms.md</w:t>
      </w:r>
      <w:r>
        <w:t xml:space="preserve">.</w:t>
      </w:r>
    </w:p>
    <w:p>
      <w:pPr>
        <w:pStyle w:val="BodyText"/>
      </w:pPr>
      <w:r>
        <w:rPr>
          <w:i/>
        </w:rPr>
        <w:t xml:space="preserve">Report for Serious Incidents under the AI Act (General-Purpose AI Models with Systemic Risk)</w:t>
      </w:r>
      <w:r>
        <w:t xml:space="preserve">, published 4 November 2025, in DOCX and PDF. Both were read. The whole form is 1,884 characters: ten headings, ten placeholder prompts, six contact sub-fields.</w:t>
      </w:r>
    </w:p>
    <w:p>
      <w:pPr>
        <w:pStyle w:val="BodyText"/>
      </w:pPr>
      <w:r>
        <w:rPr>
          <w:b/>
        </w:rPr>
        <w:t xml:space="preserve">filled</w:t>
      </w:r>
      <w:r>
        <w:t xml:space="preserve">: the record supplies it.</w:t>
      </w:r>
      <w:r>
        <w:t xml:space="preserve"> </w:t>
      </w:r>
      <w:r>
        <w:rPr>
          <w:b/>
        </w:rPr>
        <w:t xml:space="preserve">partial</w:t>
      </w:r>
      <w:r>
        <w:t xml:space="preserve">: it supplies part, or supplies it from a source the form does not contemplate.</w:t>
      </w:r>
      <w:r>
        <w:t xml:space="preserve"> </w:t>
      </w:r>
      <w:r>
        <w:rPr>
          <w:b/>
        </w:rPr>
        <w:t xml:space="preserve">cannot fill</w:t>
      </w:r>
      <w:r>
        <w:t xml:space="preserve">: no public source supplies it.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What the public record gives</w:t>
            </w:r>
          </w:p>
        </w:tc>
        <w:tc>
          <w:tcPr>
            <w:tcBorders>
              <w:bottom w:val="single"/>
            </w:tcBorders>
            <w:vAlign w:val="bottom"/>
          </w:tcPr>
          <w:p>
            <w:pPr>
              <w:pStyle w:val="Compact"/>
              <w:jc w:val="left"/>
            </w:pPr>
            <w:r>
              <w:t xml:space="preserve">Status</w:t>
            </w:r>
          </w:p>
        </w:tc>
      </w:tr>
      <w:tr>
        <w:tc>
          <w:p>
            <w:pPr>
              <w:pStyle w:val="Compact"/>
              <w:jc w:val="left"/>
            </w:pPr>
            <w:r>
              <w:t xml:space="preserve">1</w:t>
            </w:r>
          </w:p>
        </w:tc>
        <w:tc>
          <w:p>
            <w:pPr>
              <w:pStyle w:val="Compact"/>
              <w:jc w:val="left"/>
            </w:pPr>
            <w:r>
              <w:t xml:space="preserve">Start and end dates</w:t>
            </w:r>
          </w:p>
        </w:tc>
        <w:tc>
          <w:p>
            <w:pPr>
              <w:pStyle w:val="Compact"/>
              <w:jc w:val="left"/>
            </w:pPr>
            <w:r>
              <w:t xml:space="preserve">An intrusion window at the victim, not of the containment failure</w:t>
            </w:r>
          </w:p>
        </w:tc>
        <w:tc>
          <w:p>
            <w:pPr>
              <w:pStyle w:val="Compact"/>
              <w:jc w:val="left"/>
            </w:pPr>
            <w:r>
              <w:t xml:space="preserve">partial</w:t>
            </w:r>
          </w:p>
        </w:tc>
      </w:tr>
      <w:tr>
        <w:tc>
          <w:p>
            <w:pPr>
              <w:pStyle w:val="Compact"/>
              <w:jc w:val="left"/>
            </w:pPr>
            <w:r>
              <w:t xml:space="preserve">2</w:t>
            </w:r>
          </w:p>
        </w:tc>
        <w:tc>
          <w:p>
            <w:pPr>
              <w:pStyle w:val="Compact"/>
              <w:jc w:val="left"/>
            </w:pPr>
            <w:r>
              <w:t xml:space="preserve">Resulting harm</w:t>
            </w:r>
          </w:p>
        </w:tc>
        <w:tc>
          <w:p>
            <w:pPr>
              <w:pStyle w:val="Compact"/>
              <w:jc w:val="left"/>
            </w:pPr>
            <w:r>
              <w:t xml:space="preserve">One cluster wiped and rebuilt, credentials rotated, five datasets touched—</w:t>
            </w:r>
            <w:r>
              <w:rPr>
                <w:b/>
              </w:rPr>
              <w:t xml:space="preserve">from the affected party</w:t>
            </w:r>
          </w:p>
        </w:tc>
        <w:tc>
          <w:p>
            <w:pPr>
              <w:pStyle w:val="Compact"/>
              <w:jc w:val="left"/>
            </w:pPr>
            <w:r>
              <w:t xml:space="preserve">filled</w:t>
            </w:r>
          </w:p>
        </w:tc>
      </w:tr>
      <w:tr>
        <w:tc>
          <w:p>
            <w:pPr>
              <w:pStyle w:val="Compact"/>
              <w:jc w:val="left"/>
            </w:pPr>
            <w:r>
              <w:t xml:space="preserve">3</w:t>
            </w:r>
          </w:p>
        </w:tc>
        <w:tc>
          <w:p>
            <w:pPr>
              <w:pStyle w:val="Compact"/>
              <w:jc w:val="left"/>
            </w:pPr>
            <w:r>
              <w:t xml:space="preserve">Chain of events</w:t>
            </w:r>
          </w:p>
        </w:tc>
        <w:tc>
          <w:p>
            <w:pPr>
              <w:pStyle w:val="Compact"/>
              <w:jc w:val="left"/>
            </w:pPr>
            <w:r>
              <w:t xml:space="preserve">Two chained vectors at the victim; egress by server-side request forgery</w:t>
            </w:r>
          </w:p>
        </w:tc>
        <w:tc>
          <w:p>
            <w:pPr>
              <w:pStyle w:val="Compact"/>
              <w:jc w:val="left"/>
            </w:pPr>
            <w:r>
              <w:t xml:space="preserve">filled</w:t>
            </w:r>
          </w:p>
        </w:tc>
      </w:tr>
      <w:tr>
        <w:tc>
          <w:p>
            <w:pPr>
              <w:pStyle w:val="Compact"/>
              <w:jc w:val="left"/>
            </w:pPr>
            <w:r>
              <w:t xml:space="preserve">4</w:t>
            </w:r>
          </w:p>
        </w:tc>
        <w:tc>
          <w:p>
            <w:pPr>
              <w:pStyle w:val="Compact"/>
              <w:jc w:val="left"/>
            </w:pPr>
            <w:r>
              <w:t xml:space="preserve">Model involved</w:t>
            </w:r>
          </w:p>
        </w:tc>
        <w:tc>
          <w:p>
            <w:pPr>
              <w:pStyle w:val="Compact"/>
              <w:jc w:val="left"/>
            </w:pPr>
            <w:r>
              <w:t xml:space="preserve">Two designations, never reconciled, and neither account says they are the same</w:t>
            </w:r>
          </w:p>
        </w:tc>
        <w:tc>
          <w:p>
            <w:pPr>
              <w:pStyle w:val="Compact"/>
              <w:jc w:val="left"/>
            </w:pPr>
            <w:r>
              <w:rPr>
                <w:b/>
              </w:rPr>
              <w:t xml:space="preserve">cannot fill</w:t>
            </w:r>
          </w:p>
        </w:tc>
      </w:tr>
      <w:tr>
        <w:tc>
          <w:p>
            <w:pPr>
              <w:pStyle w:val="Compact"/>
              <w:jc w:val="left"/>
            </w:pPr>
            <w:r>
              <w:t xml:space="preserve">5</w:t>
            </w:r>
          </w:p>
        </w:tc>
        <w:tc>
          <w:p>
            <w:pPr>
              <w:pStyle w:val="Compact"/>
              <w:jc w:val="left"/>
            </w:pPr>
            <w:r>
              <w:t xml:space="preserve">Evidence available</w:t>
            </w:r>
          </w:p>
        </w:tc>
        <w:tc>
          <w:p>
            <w:pPr>
              <w:pStyle w:val="Compact"/>
              <w:jc w:val="left"/>
            </w:pPr>
            <w:r>
              <w:t xml:space="preserve">An independent investigation conducted under access constraints imposed by its subject</w:t>
            </w:r>
          </w:p>
        </w:tc>
        <w:tc>
          <w:p>
            <w:pPr>
              <w:pStyle w:val="Compact"/>
              <w:jc w:val="left"/>
            </w:pPr>
            <w:r>
              <w:t xml:space="preserve">partial</w:t>
            </w:r>
          </w:p>
        </w:tc>
      </w:tr>
      <w:tr>
        <w:tc>
          <w:p>
            <w:pPr>
              <w:pStyle w:val="Compact"/>
              <w:jc w:val="left"/>
            </w:pPr>
            <w:r>
              <w:t xml:space="preserve">6</w:t>
            </w:r>
          </w:p>
        </w:tc>
        <w:tc>
          <w:p>
            <w:pPr>
              <w:pStyle w:val="Compact"/>
              <w:jc w:val="left"/>
            </w:pPr>
            <w:r>
              <w:t xml:space="preserve">Serious incident response</w:t>
            </w:r>
          </w:p>
        </w:tc>
        <w:tc>
          <w:p>
            <w:pPr>
              <w:pStyle w:val="Compact"/>
              <w:jc w:val="left"/>
            </w:pPr>
            <w:r>
              <w:t xml:space="preserve">Corrective measures described publicly; rotation performed by the victim</w:t>
            </w:r>
          </w:p>
        </w:tc>
        <w:tc>
          <w:p>
            <w:pPr>
              <w:pStyle w:val="Compact"/>
              <w:jc w:val="left"/>
            </w:pPr>
            <w:r>
              <w:t xml:space="preserve">partial</w:t>
            </w:r>
          </w:p>
        </w:tc>
      </w:tr>
      <w:tr>
        <w:tc>
          <w:p>
            <w:pPr>
              <w:pStyle w:val="Compact"/>
              <w:jc w:val="left"/>
            </w:pPr>
            <w:r>
              <w:t xml:space="preserve">7</w:t>
            </w:r>
          </w:p>
        </w:tc>
        <w:tc>
          <w:p>
            <w:pPr>
              <w:pStyle w:val="Compact"/>
              <w:jc w:val="left"/>
            </w:pPr>
            <w:r>
              <w:t xml:space="preserve">Recommendation to the AI Office</w:t>
            </w:r>
          </w:p>
        </w:tc>
        <w:tc>
          <w:p>
            <w:pPr>
              <w:pStyle w:val="Compact"/>
              <w:jc w:val="left"/>
            </w:pPr>
            <w:r>
              <w:t xml:space="preserve">Nothing</w:t>
            </w:r>
          </w:p>
        </w:tc>
        <w:tc>
          <w:p>
            <w:pPr>
              <w:pStyle w:val="Compact"/>
              <w:jc w:val="left"/>
            </w:pPr>
            <w:r>
              <w:rPr>
                <w:b/>
              </w:rPr>
              <w:t xml:space="preserve">cannot fill</w:t>
            </w:r>
          </w:p>
        </w:tc>
      </w:tr>
      <w:tr>
        <w:tc>
          <w:p>
            <w:pPr>
              <w:pStyle w:val="Compact"/>
              <w:jc w:val="left"/>
            </w:pPr>
            <w:r>
              <w:t xml:space="preserve">8</w:t>
            </w:r>
          </w:p>
        </w:tc>
        <w:tc>
          <w:p>
            <w:pPr>
              <w:pStyle w:val="Compact"/>
              <w:jc w:val="left"/>
            </w:pPr>
            <w:r>
              <w:t xml:space="preserve">Root cause analysis</w:t>
            </w:r>
          </w:p>
        </w:tc>
        <w:tc>
          <w:p>
            <w:pPr>
              <w:pStyle w:val="Compact"/>
              <w:jc w:val="left"/>
            </w:pPr>
            <w:r>
              <w:t xml:space="preserve">Safeguards named as not enabled, which is graver than a root cause and is not one</w:t>
            </w:r>
          </w:p>
        </w:tc>
        <w:tc>
          <w:p>
            <w:pPr>
              <w:pStyle w:val="Compact"/>
              <w:jc w:val="left"/>
            </w:pPr>
            <w:r>
              <w:t xml:space="preserve">partial</w:t>
            </w:r>
          </w:p>
        </w:tc>
      </w:tr>
      <w:tr>
        <w:tc>
          <w:p>
            <w:pPr>
              <w:pStyle w:val="Compact"/>
              <w:jc w:val="left"/>
            </w:pPr>
            <w:r>
              <w:t xml:space="preserve">9</w:t>
            </w:r>
          </w:p>
        </w:tc>
        <w:tc>
          <w:p>
            <w:pPr>
              <w:pStyle w:val="Compact"/>
              <w:jc w:val="left"/>
            </w:pPr>
            <w:r>
              <w:t xml:space="preserve">Patterns in post-market monitoring</w:t>
            </w:r>
          </w:p>
        </w:tc>
        <w:tc>
          <w:p>
            <w:pPr>
              <w:pStyle w:val="Compact"/>
              <w:jc w:val="left"/>
            </w:pPr>
            <w:r>
              <w:t xml:space="preserve">Only the victim’s monitoring, described failing</w:t>
            </w:r>
          </w:p>
        </w:tc>
        <w:tc>
          <w:p>
            <w:pPr>
              <w:pStyle w:val="Compact"/>
              <w:jc w:val="left"/>
            </w:pPr>
            <w:r>
              <w:rPr>
                <w:b/>
              </w:rPr>
              <w:t xml:space="preserve">cannot fill</w:t>
            </w:r>
          </w:p>
        </w:tc>
      </w:tr>
      <w:tr>
        <w:tc>
          <w:p>
            <w:pPr>
              <w:pStyle w:val="Compact"/>
              <w:jc w:val="left"/>
            </w:pPr>
            <w:r>
              <w:t xml:space="preserve">10</w:t>
            </w:r>
          </w:p>
        </w:tc>
        <w:tc>
          <w:p>
            <w:pPr>
              <w:pStyle w:val="Compact"/>
              <w:jc w:val="left"/>
            </w:pPr>
            <w:r>
              <w:t xml:space="preserve">Submitter information</w:t>
            </w:r>
          </w:p>
        </w:tc>
        <w:tc>
          <w:p>
            <w:pPr>
              <w:pStyle w:val="Compact"/>
              <w:jc w:val="left"/>
            </w:pPr>
            <w:r>
              <w:t xml:space="preserve">A filing on the wiki episode is confirmed received; the submitter’s organisation, contact and the date are not public</w:t>
            </w:r>
          </w:p>
        </w:tc>
        <w:tc>
          <w:p>
            <w:pPr>
              <w:pStyle w:val="Compact"/>
              <w:jc w:val="left"/>
            </w:pPr>
            <w:r>
              <w:t xml:space="preserve">partial</w:t>
            </w:r>
          </w:p>
        </w:tc>
      </w:tr>
    </w:tbl>
    <w:p>
      <w:pPr>
        <w:pStyle w:val="BodyText"/>
      </w:pPr>
      <w:r>
        <w:t xml:space="preserve">Two filled, five partial, three impossible.</w:t>
      </w:r>
    </w:p>
    <w:p>
      <w:pPr>
        <w:pStyle w:val="BodyText"/>
      </w:pPr>
      <w:r>
        <w:rPr>
          <w:b/>
        </w:rPr>
        <w:t xml:space="preserve">The fillable fields are filled by everyone except the party the form addresses.</w:t>
      </w:r>
      <w:r>
        <w:t xml:space="preserve"> </w:t>
      </w:r>
      <w:r>
        <w:t xml:space="preserve">Fields 2, 3 and 9 come substantially from the victim’s forensic timeline, field 5 from an investigator working under the subject’s constraints. A form designed to be completed by the provider is, on this record, completable only from sources the provider does not control.</w:t>
      </w:r>
    </w:p>
    <w:p>
      <w:pPr>
        <w:pStyle w:val="BodyText"/>
      </w:pPr>
      <w:r>
        <w:rPr>
          <w:b/>
        </w:rPr>
        <w:t xml:space="preserve">The field the Act most needs is the one that cannot be filled.</w:t>
      </w:r>
      <w:r>
        <w:t xml:space="preserve"> </w:t>
      </w:r>
      <w:r>
        <w:t xml:space="preserve">Every obligation in Chapter V is indexed to a model, and field 4 is model identity. That is Request 1 of the instrument, and it is first for this reason.</w:t>
      </w:r>
    </w:p>
    <w:p>
      <w:pPr>
        <w:pStyle w:val="BodyText"/>
      </w:pPr>
      <w:r>
        <w:rPr>
          <w:b/>
        </w:rPr>
        <w:t xml:space="preserve">And the form does not ask the one date its own clock runs from</w:t>
      </w:r>
      <w:r>
        <w:t xml:space="preserve">, which is §5.2 and is the finding this exercise was not looking for.</w:t>
      </w:r>
    </w:p>
    <w:p>
      <w:r>
        <w:pict>
          <v:rect style="width:0;height:1.5pt" o:hralign="center" o:hrstd="t" o:hr="t"/>
        </w:pict>
      </w:r>
    </w:p>
    <w:p>
      <w:pPr>
        <w:pStyle w:val="Heading2"/>
      </w:pPr>
      <w:bookmarkStart w:id="63" w:name="Xb09854c37ac5b84144064c0a1b18c4ef201ec68"/>
      <w:r>
        <w:t xml:space="preserve">Appendix G: notes on sourcing, the register, and bounded absences</w:t>
      </w:r>
      <w:bookmarkEnd w:id="63"/>
    </w:p>
    <w:p>
      <w:pPr>
        <w:pStyle w:val="FirstParagraph"/>
      </w:pPr>
      <w:r>
        <w:rPr>
          <w:b/>
        </w:rPr>
        <w:t xml:space="preserve">On sourcing.</w:t>
      </w:r>
      <w:r>
        <w:t xml:space="preserve"> </w:t>
      </w:r>
      <w:r>
        <w:t xml:space="preserve">The Guidelines were read in the published English text (C(2025) 7719 final, 19 November 2025) and are cited here by their own paragraph numbers. Worth recording as a negative finding: the Guidelines reproduce the Article 3, point (63) research exclusion when setting out the definition and nowhere condition or gloss it. The “sole purpose” qualifier appears in Recital 97 and not in the Guidelines, where the phrase does not occur at all.</w:t>
      </w:r>
    </w:p>
    <w:p>
      <w:pPr>
        <w:pStyle w:val="BodyText"/>
      </w:pPr>
      <w:r>
        <w:rPr>
          <w:b/>
        </w:rPr>
        <w:t xml:space="preserve">The absences that matter most, with their bounds.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Absence</w:t>
            </w:r>
          </w:p>
        </w:tc>
        <w:tc>
          <w:tcPr>
            <w:tcBorders>
              <w:bottom w:val="single"/>
            </w:tcBorders>
            <w:vAlign w:val="bottom"/>
          </w:tcPr>
          <w:p>
            <w:pPr>
              <w:pStyle w:val="Compact"/>
              <w:jc w:val="left"/>
            </w:pPr>
            <w:r>
              <w:t xml:space="preserve">As of</w:t>
            </w:r>
          </w:p>
        </w:tc>
        <w:tc>
          <w:tcPr>
            <w:tcBorders>
              <w:bottom w:val="single"/>
            </w:tcBorders>
            <w:vAlign w:val="bottom"/>
          </w:tcPr>
          <w:p>
            <w:pPr>
              <w:pStyle w:val="Compact"/>
              <w:jc w:val="left"/>
            </w:pPr>
            <w:r>
              <w:t xml:space="preserve">Corpus searched</w:t>
            </w:r>
          </w:p>
        </w:tc>
      </w:tr>
      <w:tr>
        <w:tc>
          <w:p>
            <w:pPr>
              <w:pStyle w:val="Compact"/>
              <w:jc w:val="left"/>
            </w:pPr>
            <w:r>
              <w:t xml:space="preserve">The research model’s training compute, and whether any Article 52(1) notification was made</w:t>
            </w:r>
          </w:p>
        </w:tc>
        <w:tc>
          <w:p>
            <w:pPr>
              <w:pStyle w:val="Compact"/>
              <w:jc w:val="left"/>
            </w:pPr>
            <w:r>
              <w:t xml:space="preserve">12 Sep 2026</w:t>
            </w:r>
          </w:p>
        </w:tc>
        <w:tc>
          <w:p>
            <w:pPr>
              <w:pStyle w:val="Compact"/>
              <w:jc w:val="left"/>
            </w:pPr>
            <w:r>
              <w:t xml:space="preserve">English-language web search on the provider, “Article 52”, “notification”, “AI Office”; the six incident-record documents</w:t>
            </w:r>
          </w:p>
        </w:tc>
      </w:tr>
      <w:tr>
        <w:tc>
          <w:p>
            <w:pPr>
              <w:pStyle w:val="Compact"/>
              <w:jc w:val="left"/>
            </w:pPr>
            <w:r>
              <w:t xml:space="preserve">Whether the model was ever integrated into an own system put into service, and where</w:t>
            </w:r>
          </w:p>
        </w:tc>
        <w:tc>
          <w:p>
            <w:pPr>
              <w:pStyle w:val="Compact"/>
              <w:jc w:val="left"/>
            </w:pPr>
            <w:r>
              <w:t xml:space="preserve">13 Sep 2026</w:t>
            </w:r>
          </w:p>
        </w:tc>
        <w:tc>
          <w:p>
            <w:pPr>
              <w:pStyle w:val="Compact"/>
              <w:jc w:val="left"/>
            </w:pPr>
            <w:r>
              <w:t xml:space="preserve">The six incident-record documents, searched for “deploy”, “internal”, “Union”, “Europe”; the Guidelines and Q&amp;A</w:t>
            </w:r>
          </w:p>
        </w:tc>
      </w:tr>
      <w:tr>
        <w:tc>
          <w:p>
            <w:pPr>
              <w:pStyle w:val="Compact"/>
              <w:jc w:val="left"/>
            </w:pPr>
            <w:r>
              <w:t xml:space="preserve">Whether, when and under what provision any report on either episode reached the AI Office</w:t>
            </w:r>
          </w:p>
        </w:tc>
        <w:tc>
          <w:p>
            <w:pPr>
              <w:pStyle w:val="Compact"/>
              <w:jc w:val="left"/>
            </w:pPr>
            <w:r>
              <w:t xml:space="preserve">12–13 Sep 2026</w:t>
            </w:r>
          </w:p>
        </w:tc>
        <w:tc>
          <w:p>
            <w:pPr>
              <w:pStyle w:val="Compact"/>
              <w:jc w:val="left"/>
            </w:pPr>
            <w:r>
              <w:t xml:space="preserve">The six incident-record documents; the spokesperson’s statement of 7 Sep as reported, which refuses the date and contents and is silent on the provision</w:t>
            </w:r>
          </w:p>
        </w:tc>
      </w:tr>
    </w:tbl>
    <w:p>
      <w:pPr>
        <w:pStyle w:val="BodyText"/>
      </w:pPr>
      <w:r>
        <w:rPr>
          <w:b/>
        </w:rPr>
        <w:t xml:space="preserve">On the negative-search notes.</w:t>
      </w:r>
      <w:r>
        <w:t xml:space="preserve"> </w:t>
      </w:r>
      <w:r>
        <w:t xml:space="preserve">Each carries an as-of date, and each now records the corpus searched—which sources, which terms, on what date—because “no published source states X” is a claim about everything ever published and nobody can make it. One of the six turned out not to be an absence at all: the Commission’s spokesperson was asked, on the record, and declined to say when the report was submitted or what it contained. That is a refusal, and a refusal is evidence. Whether the episode qualifies as a serious incident and which provision the filing relied on remain absences—the press report says only that the Commission “has not said”—and an earlier draft of this appendix had upgraded them to refusals, which is the distinction this note exists to keep. The other four remain bounded absences and say what they are bounded by.</w:t>
      </w:r>
    </w:p>
    <w:p>
      <w:pPr>
        <w:pStyle w:val="BodyText"/>
      </w:pPr>
      <w:r>
        <w:rPr>
          <w:b/>
        </w:rPr>
        <w:t xml:space="preserve">On the statutory register.</w:t>
      </w:r>
      <w:r>
        <w:t xml:space="preserve"> </w:t>
      </w:r>
      <w:r>
        <w:t xml:space="preserve">All forty-seven provisions of the Regulation, seven imported provisions of the CER Directive and four recitals behind this report have been verified against the EUR-Lex consolidated text at CELEX</w:t>
      </w:r>
      <w:r>
        <w:t xml:space="preserve"> </w:t>
      </w:r>
      <w:r>
        <w:rPr>
          <w:rStyle w:val="VerbatimChar"/>
        </w:rPr>
        <w:t xml:space="preserve">02024R1689-20260727</w:t>
      </w:r>
      <w:r>
        <w:t xml:space="preserve">. Amendment status is taken from the amending act’s own numbered instructions rather than from the consolidated text’s change markers: reading the markers alone had wrongly cleared Article 60, which instruction (24) of Regulation (EU) 2026/1744 replaces in part. Fourteen of them spent a day sourced from a published reproduction, while EUR-Lex was unreachable, and were marked as such rather than presented as equivalent; on rechecking, thirteen matched verbatim and the fourteenth differed by one stray full stop which proved to be the Regulation’s own. Of the fourteen, only Article 57(1) was touched by the Digital Omnibus.</w:t>
      </w:r>
    </w:p>
    <w:p>
      <w:pPr>
        <w:pStyle w:val="BodyText"/>
      </w:pPr>
      <w:r>
        <w:t xml:space="preserve">Two slips in the published Regulation are reproduced rather than corrected.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here—they are recorded because this report claims to have read the enacting text rather than a summary of it.</w:t>
      </w:r>
    </w:p>
    <w:p>
      <w:r>
        <w:pict>
          <v:rect style="width:0;height:1.5pt" o:hralign="center" o:hrstd="t" o:hr="t"/>
        </w:pict>
      </w:r>
    </w:p>
    <w:p>
      <w:pPr>
        <w:pStyle w:val="Heading2"/>
      </w:pPr>
      <w:bookmarkStart w:id="64" w:name="X09d5e2bfdb67fe9ae4669d2f79f1834b11b30a3"/>
      <w:r>
        <w:t xml:space="preserve">Appendix H: the method, the corrections log, and what transfers</w:t>
      </w:r>
      <w:bookmarkEnd w:id="64"/>
    </w:p>
    <w:p>
      <w:pPr>
        <w:pStyle w:val="FirstParagraph"/>
      </w:pPr>
      <w:r>
        <w:rPr>
          <w:b/>
        </w:rPr>
        <w:t xml:space="preserve">The ceiling, stated in advance.</w:t>
      </w:r>
      <w:r>
        <w:t xml:space="preserve"> </w:t>
      </w:r>
      <w:r>
        <w:t xml:space="preserve">The method answers one question: does the discloser’s own account, taken on its own terms, resolve this obligation? It cannot answer what happened, and once it pretends to it loses the property that made it usable. Every verdict takes one of three forms—</w:t>
      </w:r>
      <w:r>
        <w:rPr>
          <w:i/>
        </w:rPr>
        <w:t xml:space="preserve">on the provider’s own account, this appears met</w:t>
      </w:r>
      <w:r>
        <w:t xml:space="preserve">;</w:t>
      </w:r>
      <w:r>
        <w:t xml:space="preserve"> </w:t>
      </w:r>
      <w:r>
        <w:rPr>
          <w:i/>
        </w:rPr>
        <w:t xml:space="preserve">appears unmet</w:t>
      </w:r>
      <w:r>
        <w:t xml:space="preserve">; or</w:t>
      </w:r>
      <w:r>
        <w:t xml:space="preserve"> </w:t>
      </w:r>
      <w:r>
        <w:rPr>
          <w:i/>
        </w:rPr>
        <w:t xml:space="preserve">the disclosed record does not resolve this</w:t>
      </w:r>
      <w:r>
        <w:t xml:space="preserve">—and</w:t>
      </w:r>
      <w:r>
        <w:t xml:space="preserve"> </w:t>
      </w:r>
      <w:r>
        <w:rPr>
          <w:rStyle w:val="VerbatimChar"/>
        </w:rPr>
        <w:t xml:space="preserve">tools/validate.py</w:t>
      </w:r>
      <w:r>
        <w:t xml:space="preserve"> </w:t>
      </w:r>
      <w:r>
        <w:t xml:space="preserve">rejects any cell that drifts out of that register or states a conclusion of law inside it. Full protocol at</w:t>
      </w:r>
      <w:r>
        <w:t xml:space="preserve"> </w:t>
      </w:r>
      <w:r>
        <w:rPr>
          <w:rStyle w:val="VerbatimChar"/>
        </w:rPr>
        <w:t xml:space="preserve">protocol/00-method.md</w:t>
      </w:r>
      <w:r>
        <w:t xml:space="preserve">.</w:t>
      </w:r>
    </w:p>
    <w:p>
      <w:pPr>
        <w:pStyle w:val="BodyText"/>
      </w:pPr>
      <w:r>
        <w:rPr>
          <w:b/>
        </w:rPr>
        <w:t xml:space="preserve">Primary sources.</w:t>
      </w:r>
      <w:r>
        <w:t xml:space="preserve"> </w:t>
      </w:r>
      <w:r>
        <w:t xml:space="preserve">Statutory text comes from the EUR-Lex consolidated version (CELEX 02024R1689-20260727), recitals from the authentic Official Journal text. Amendment status is taken from the amending act’s own numbered instructions, not the consolidated text’s change markers: reading the markers alone had wrongly cleared Article 60.</w:t>
      </w:r>
      <w:r>
        <w:t xml:space="preserve"> </w:t>
      </w:r>
      <w:r>
        <w:rPr>
          <w:b/>
        </w:rPr>
        <w:t xml:space="preserve">Evidence is tiered by relationship, not prestige</w:t>
      </w:r>
      <w:r>
        <w:t xml:space="preserve">: the provider’s own account of its own conduct is T1 for what it admits and weak for everything else; the affected party’s forensic timeline is stronger than the provider’s account for what happened at the victim.</w:t>
      </w:r>
      <w:r>
        <w:t xml:space="preserve"> </w:t>
      </w:r>
      <w:r>
        <w:rPr>
          <w:b/>
        </w:rPr>
        <w:t xml:space="preserve">Facts are separated from characterisation</w:t>
      </w:r>
      <w:r>
        <w:t xml:space="preserve">, because a provider’s framing is where its position enters an analysis as though it were a finding.</w:t>
      </w:r>
      <w:r>
        <w:t xml:space="preserve"> </w:t>
      </w:r>
      <w:r>
        <w:rPr>
          <w:b/>
        </w:rPr>
        <w:t xml:space="preserve">Absences are proved, not asserted</w:t>
      </w:r>
      <w:r>
        <w:t xml:space="preserve">: each negative-search note carries a date and the corpus searched, and a refusal is kept apart from an absence, including where a press report blurs them (Appendix G).</w:t>
      </w:r>
      <w:r>
        <w:t xml:space="preserve"> </w:t>
      </w:r>
      <w:r>
        <w:rPr>
          <w:b/>
        </w:rPr>
        <w:t xml:space="preserve">The inferences are enumerated</w:t>
      </w:r>
      <w:r>
        <w:t xml:space="preserve">:</w:t>
      </w:r>
      <w:r>
        <w:t xml:space="preserve"> </w:t>
      </w:r>
      <w:r>
        <w:rPr>
          <w:rStyle w:val="VerbatimChar"/>
        </w:rPr>
        <w:t xml:space="preserve">data/inferences.yaml</w:t>
      </w:r>
      <w:r>
        <w:t xml:space="preserve"> </w:t>
      </w:r>
      <w:r>
        <w:t xml:space="preserve">states each argumentative step so it could be denied, names what would defeat it, and ranks it.</w:t>
      </w:r>
    </w:p>
    <w:p>
      <w:pPr>
        <w:pStyle w:val="BodyText"/>
      </w:pPr>
      <w:r>
        <w:rPr>
          <w:b/>
        </w:rPr>
        <w:t xml:space="preserve">The corrections log.</w:t>
      </w:r>
      <w:r>
        <w:t xml:space="preserve"> </w:t>
      </w:r>
      <w:r>
        <w:t xml:space="preserve">This analysis has been materially wrong</w:t>
      </w:r>
      <w:r>
        <w:t xml:space="preserve"> </w:t>
      </w:r>
      <w:r>
        <w:rPr>
          <w:b/>
        </w:rPr>
        <w:t xml:space="preserve">twenty-seven times</w:t>
      </w:r>
      <w:r>
        <w:t xml:space="preserve">, and the log of those errors ships with it (</w:t>
      </w:r>
      <w:r>
        <w:rPr>
          <w:rStyle w:val="VerbatimChar"/>
        </w:rPr>
        <w:t xml:space="preserve">protocol/01-statutory-foundation.md</w:t>
      </w:r>
      <w:r>
        <w:t xml:space="preserve">). Twenty of the twenty-six are one failure wearing different clothes: a source characterised without being opened—a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A clean board means the mechanical failures are absent and nothing more;</w:t>
      </w:r>
      <w:r>
        <w:t xml:space="preserve"> </w:t>
      </w:r>
      <w:r>
        <w:rPr>
          <w:rStyle w:val="VerbatimChar"/>
        </w:rPr>
        <w:t xml:space="preserve">tools/check.py</w:t>
      </w:r>
      <w:r>
        <w:t xml:space="preserve"> </w:t>
      </w:r>
      <w:r>
        <w:t xml:space="preserve">says so on every run.</w:t>
      </w:r>
    </w:p>
    <w:p>
      <w:pPr>
        <w:pStyle w:val="BodyText"/>
      </w:pPr>
      <w:r>
        <w:rPr>
          <w:b/>
        </w:rPr>
        <w:t xml:space="preserve">What transfers.</w:t>
      </w:r>
      <w:r>
        <w:t xml:space="preserve"> </w:t>
      </w:r>
      <w:r>
        <w:t xml:space="preserve">The verification layer—the verdict discipline, the five checkers, the register schemas, the corrections-log convention with its count sweep, the negative-search rule—knows nothing about this incident and runs unchanged on the next one;</w:t>
      </w:r>
      <w:r>
        <w:t xml:space="preserve"> </w:t>
      </w:r>
      <w:r>
        <w:rPr>
          <w:rStyle w:val="VerbatimChar"/>
        </w:rPr>
        <w:t xml:space="preserve">tools/new-incident.py</w:t>
      </w:r>
      <w:r>
        <w:t xml:space="preserve"> </w:t>
      </w:r>
      <w:r>
        <w:t xml:space="preserve">stands it up in a minute, with the verified statutory register included. The Article 91 request is roughly 60% boilerplate that survives any incident; the answer matrix and decision tree are written for the “internal model” fact pattern generally; the amended template is universal. What does not transfer, and should not, is the content: the cross-walk rows, the scope working, the characterisation table and the inferences are the product of a person opening documents and making judgements. The second run at</w:t>
      </w:r>
      <w:r>
        <w:t xml:space="preserve"> </w:t>
      </w:r>
      <w:r>
        <w:rPr>
          <w:rStyle w:val="VerbatimChar"/>
        </w:rPr>
        <w:t xml:space="preserve">runs/anthropic-cyber-evals-2026/</w:t>
      </w:r>
      <w:r>
        <w:t xml:space="preserve"> </w:t>
      </w:r>
      <w:r>
        <w:t xml:space="preserve">took about three hours from ten held documents, most of it reading, and its report says which findings survived the change of incident, which the change of incident produced, and which two errors the run made on the way.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_rels/footnotes.xml.rels><?xml version="1.0" encoding="UTF-8"?>
<Relationships xmlns="http://schemas.openxmlformats.org/package/2006/relationships"><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Reached by Recital</dc:title>
  <dc:creator/>
  <cp:keywords/>
  <dcterms:created xsi:type="dcterms:W3CDTF">2026-09-13T14:29:57Z</dcterms:created>
  <dcterms:modified xsi:type="dcterms:W3CDTF">2026-09-13T14:29:57Z</dcterms:modified>
</cp:coreProperties>
</file>

<file path=docProps/custom.xml><?xml version="1.0" encoding="utf-8"?>
<Properties xmlns="http://schemas.openxmlformats.org/officeDocument/2006/custom-properties" xmlns:vt="http://schemas.openxmlformats.org/officeDocument/2006/docPropsVTypes"/>
</file>