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answer matrix</w:t>
      </w:r>
    </w:p>
    <w:p>
      <w:pPr>
        <w:pStyle w:val="Heading1"/>
      </w:pPr>
      <w:bookmarkStart w:id="20" w:name="Xf1af4b7d4eee4ee9958bd9b6f655d240084188e"/>
      <w:r>
        <w:t xml:space="preserve">Answer matrix: what each answer to the request does, and what the Commission does next</w:t>
      </w:r>
      <w:bookmarkEnd w:id="20"/>
    </w:p>
    <w:p>
      <w:pPr>
        <w:pStyle w:val="FirstParagraph"/>
      </w:pPr>
      <w:r>
        <w:rPr>
          <w:i/>
        </w:rPr>
        <w:t xml:space="preserve">Companion to</w:t>
      </w:r>
      <w:r>
        <w:rPr>
          <w:i/>
        </w:rPr>
        <w:t xml:space="preserve"> </w:t>
      </w:r>
      <w:r>
        <w:rPr>
          <w:rStyle w:val="VerbatimChar"/>
          <w:i/>
        </w:rPr>
        <w:t xml:space="preserve">model-article-91-request.md</w:t>
      </w:r>
      <w:r>
        <w:rPr>
          <w:i/>
        </w:rPr>
        <w:t xml:space="preserve">. Every cell names a provision held and verified in</w:t>
      </w:r>
      <w:r>
        <w:rPr>
          <w:i/>
        </w:rPr>
        <w:t xml:space="preserve"> </w:t>
      </w:r>
      <w:r>
        <w:rPr>
          <w:rStyle w:val="VerbatimChar"/>
          <w:i/>
        </w:rPr>
        <w:t xml:space="preserve">data/provisions.yaml</w:t>
      </w:r>
      <w:r>
        <w:rPr>
          <w:i/>
        </w:rPr>
        <w:t xml:space="preserve">. Nothing here is a finding about the incident; it is a procedure for reading the answers when they come. Prepared by an external researcher; not a document of any Union body.</w:t>
      </w:r>
    </w:p>
    <w:p>
      <w:pPr>
        <w:pStyle w:val="BodyText"/>
      </w:pPr>
      <w:r>
        <w:t xml:space="preserve">The request asks three facts at Section I. Each has a small number of possible answers, and the Regulation already says what follows from each. A regulator reading the response can locate the case in the table below and read off the next step. The three facts are independent, so the table is read in order: the placement event first, because without it the definition is not met and nothing else in Chapter V is reached; then the Union nexus; then systemic risk.</w:t>
      </w:r>
    </w:p>
    <w:p>
      <w:pPr>
        <w:pStyle w:val="Heading2"/>
      </w:pPr>
      <w:bookmarkStart w:id="21" w:name="X3c587f060e5d83f568b5541f9a33166d7755deb"/>
      <w:r>
        <w:t xml:space="preserve">1. The placement event (Requests 2b, 4a)</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The answer</w:t>
            </w:r>
          </w:p>
        </w:tc>
        <w:tc>
          <w:tcPr>
            <w:tcBorders>
              <w:bottom w:val="single"/>
            </w:tcBorders>
            <w:vAlign w:val="bottom"/>
          </w:tcPr>
          <w:p>
            <w:pPr>
              <w:pStyle w:val="Compact"/>
              <w:jc w:val="left"/>
            </w:pPr>
            <w:r>
              <w:t xml:space="preserve">Where it puts the model</w:t>
            </w:r>
          </w:p>
        </w:tc>
        <w:tc>
          <w:tcPr>
            <w:tcBorders>
              <w:bottom w:val="single"/>
            </w:tcBorders>
            <w:vAlign w:val="bottom"/>
          </w:tcPr>
          <w:p>
            <w:pPr>
              <w:pStyle w:val="Compact"/>
              <w:jc w:val="left"/>
            </w:pPr>
            <w:r>
              <w:t xml:space="preserve">What follows</w:t>
            </w:r>
          </w:p>
        </w:tc>
        <w:tc>
          <w:tcPr>
            <w:tcBorders>
              <w:bottom w:val="single"/>
            </w:tcBorders>
            <w:vAlign w:val="bottom"/>
          </w:tcPr>
          <w:p>
            <w:pPr>
              <w:pStyle w:val="Compact"/>
              <w:jc w:val="left"/>
            </w:pPr>
            <w:r>
              <w:t xml:space="preserve">Next step</w:t>
            </w:r>
          </w:p>
        </w:tc>
      </w:tr>
      <w:tr>
        <w:tc>
          <w:p>
            <w:pPr>
              <w:pStyle w:val="Compact"/>
              <w:jc w:val="left"/>
            </w:pPr>
            <w:r>
              <w:rPr>
                <w:b/>
              </w:rPr>
              <w:t xml:space="preserve">A.</w:t>
            </w:r>
            <w:r>
              <w:t xml:space="preserve"> </w:t>
            </w:r>
            <w:r>
              <w:t xml:space="preserve">The model was integrated into an AI system of the Provider’s own that was made available on the market or put into service (Request 4a: yes, with dates)</w:t>
            </w:r>
          </w:p>
        </w:tc>
        <w:tc>
          <w:p>
            <w:pPr>
              <w:pStyle w:val="Compact"/>
              <w:jc w:val="left"/>
            </w:pPr>
            <w:r>
              <w:t xml:space="preserve">Placed on the market on the Commission’s reading (Recital 97; Guidelines ¶54), so within the definition at Article 3, point (63); Article 2(8) does not engage because the development was not “prior to” placement</w:t>
            </w:r>
          </w:p>
        </w:tc>
        <w:tc>
          <w:p>
            <w:pPr>
              <w:pStyle w:val="Compact"/>
              <w:jc w:val="left"/>
            </w:pPr>
            <w:r>
              <w:t xml:space="preserve">Chapter V applies to the model from the placement date, and the development-phase duties the Commission names apply before it (Articles 52(1), 53, 55)</w:t>
            </w:r>
          </w:p>
        </w:tc>
        <w:tc>
          <w:p>
            <w:pPr>
              <w:pStyle w:val="Compact"/>
              <w:jc w:val="left"/>
            </w:pPr>
            <w:r>
              <w:t xml:space="preserve">Read §2 (Union) and §3 (systemic risk)</w:t>
            </w:r>
          </w:p>
        </w:tc>
      </w:tr>
      <w:tr>
        <w:tc>
          <w:p>
            <w:pPr>
              <w:pStyle w:val="Compact"/>
              <w:jc w:val="left"/>
            </w:pPr>
            <w:r>
              <w:rPr>
                <w:b/>
              </w:rPr>
              <w:t xml:space="preserve">B.</w:t>
            </w:r>
            <w:r>
              <w:t xml:space="preserve"> </w:t>
            </w:r>
            <w:r>
              <w:t xml:space="preserve">The model shares a large pre-training run with a model the Provider has placed on the market (Request 2b: yes, naming it)</w:t>
            </w:r>
          </w:p>
        </w:tc>
        <w:tc>
          <w:p>
            <w:pPr>
              <w:pStyle w:val="Compact"/>
              <w:jc w:val="left"/>
            </w:pPr>
            <w:r>
              <w:t xml:space="preserve">The same model as the placed one on the Commission’s reading (Guidelines ¶22: “different stages of the development of a model are not considered to constitute different models”); the research exclusion does not reach it</w:t>
            </w:r>
          </w:p>
        </w:tc>
        <w:tc>
          <w:p>
            <w:pPr>
              <w:pStyle w:val="Compact"/>
              <w:jc w:val="left"/>
            </w:pPr>
            <w:r>
              <w:t xml:space="preserve">As A, with the placement date being the placed model’s; the Article 52(1) period runs from when the compute threshold was met or known to be met, whichever model it was met by</w:t>
            </w:r>
          </w:p>
        </w:tc>
        <w:tc>
          <w:p>
            <w:pPr>
              <w:pStyle w:val="Compact"/>
              <w:jc w:val="left"/>
            </w:pPr>
            <w:r>
              <w:t xml:space="preserve">Read §2 and §3. Note that the Provider’s Article 53(1), point (a) documentation for the placed model must then cover this development stage (Guidelines ¶23)</w:t>
            </w:r>
          </w:p>
        </w:tc>
      </w:tr>
      <w:tr>
        <w:tc>
          <w:p>
            <w:pPr>
              <w:pStyle w:val="Compact"/>
              <w:jc w:val="left"/>
            </w:pPr>
            <w:r>
              <w:rPr>
                <w:b/>
              </w:rPr>
              <w:t xml:space="preserve">C.</w:t>
            </w:r>
            <w:r>
              <w:t xml:space="preserve"> </w:t>
            </w:r>
            <w:r>
              <w:t xml:space="preserve">Neither A nor B, but the model or a derivative was at some date intended for placing on the market (Request 2b: intention, with date)</w:t>
            </w:r>
          </w:p>
        </w:tc>
        <w:tc>
          <w:p>
            <w:pPr>
              <w:pStyle w:val="Compact"/>
              <w:jc w:val="left"/>
            </w:pPr>
            <w:r>
              <w:t xml:space="preserve">Within the Commission’s development-phase reading (Q&amp;A: obligations “pertain to the development phase of models intended for, but prior to, the placing on the market”) but not within any deeming in Recital 97</w:t>
            </w:r>
          </w:p>
        </w:tc>
        <w:tc>
          <w:p>
            <w:pPr>
              <w:pStyle w:val="Compact"/>
              <w:jc w:val="left"/>
            </w:pPr>
            <w:r>
              <w:t xml:space="preserve">The weakest of the three routes: it rests on a Q&amp;A that disclaims being an official position. The Article 52(1) duty was engaged from the date the threshold was met or known to be met, if §3 resolves that way</w:t>
            </w:r>
          </w:p>
        </w:tc>
        <w:tc>
          <w:p>
            <w:pPr>
              <w:pStyle w:val="Compact"/>
              <w:jc w:val="left"/>
            </w:pPr>
            <w:r>
              <w:t xml:space="preserve">Read §2 and §3; treat this route as the one a provider would litigate first, and consider whether A or B can be established from the Article 53 documentation instead</w:t>
            </w:r>
          </w:p>
        </w:tc>
      </w:tr>
      <w:tr>
        <w:tc>
          <w:p>
            <w:pPr>
              <w:pStyle w:val="Compact"/>
              <w:jc w:val="left"/>
            </w:pPr>
            <w:r>
              <w:rPr>
                <w:b/>
              </w:rPr>
              <w:t xml:space="preserve">D.</w:t>
            </w:r>
            <w:r>
              <w:t xml:space="preserve"> </w:t>
            </w:r>
            <w:r>
              <w:t xml:space="preserve">None of A to C: never integrated into an own system put into service, no shared pre-training run with a placed model, never intended for placement, and the Evaluation was the only use</w:t>
            </w:r>
          </w:p>
        </w:tc>
        <w:tc>
          <w:p>
            <w:pPr>
              <w:pStyle w:val="Compact"/>
              <w:jc w:val="left"/>
            </w:pPr>
            <w:r>
              <w:t xml:space="preserve">On the enacting text and on the Commission’s own reading, within the exclusion at Article 3, point (63) and the activity within Article 2(8). Not a general-purpose AI model. Chapter V does not attach to it. Article 91 does not reach documentation drawn up under Articles 53 and 55 for it, because none was owed</w:t>
            </w:r>
          </w:p>
        </w:tc>
        <w:tc>
          <w:p>
            <w:pPr>
              <w:pStyle w:val="Compact"/>
              <w:jc w:val="left"/>
            </w:pPr>
            <w:r>
              <w:t xml:space="preserve">Nothing attaches to the research model. Two things survive. Article 55(1), point (b) reaches the</w:t>
            </w:r>
            <w:r>
              <w:t xml:space="preserve"> </w:t>
            </w:r>
            <w:r>
              <w:rPr>
                <w:b/>
              </w:rPr>
              <w:t xml:space="preserve">deployed</w:t>
            </w:r>
            <w:r>
              <w:t xml:space="preserve"> </w:t>
            </w:r>
            <w:r>
              <w:t xml:space="preserve">model’s provider for risks “that may stem from the development” of models with systemic risk (Request 8). And the case is now a legislative one: see</w:t>
            </w:r>
            <w:r>
              <w:t xml:space="preserve"> </w:t>
            </w:r>
            <w:r>
              <w:rPr>
                <w:rStyle w:val="VerbatimChar"/>
              </w:rPr>
              <w:t xml:space="preserve">amendment-table.md</w:t>
            </w:r>
          </w:p>
        </w:tc>
        <w:tc>
          <w:p>
            <w:pPr>
              <w:pStyle w:val="Compact"/>
              <w:jc w:val="left"/>
            </w:pPr>
            <w:r>
              <w:t xml:space="preserve">Close the Chapter V question for the research model; pursue Request 8 for the deployed model; refer the gap to the legislator</w:t>
            </w:r>
          </w:p>
        </w:tc>
      </w:tr>
      <w:tr>
        <w:tc>
          <w:p>
            <w:pPr>
              <w:pStyle w:val="Compact"/>
              <w:jc w:val="left"/>
            </w:pPr>
            <w:r>
              <w:rPr>
                <w:b/>
              </w:rPr>
              <w:t xml:space="preserve">E.</w:t>
            </w:r>
            <w:r>
              <w:t xml:space="preserve"> </w:t>
            </w:r>
            <w:r>
              <w:t xml:space="preserve">No answer, or an answer the Commission considers incorrect, incomplete or misleading</w:t>
            </w:r>
          </w:p>
        </w:tc>
        <w:tc>
          <w:p>
            <w:pPr>
              <w:pStyle w:val="Compact"/>
              <w:jc w:val="left"/>
            </w:pPr>
            <w:r>
              <w:t xml:space="preserve">Unresolved</w:t>
            </w:r>
          </w:p>
        </w:tc>
        <w:tc>
          <w:p>
            <w:pPr>
              <w:pStyle w:val="Compact"/>
              <w:jc w:val="left"/>
            </w:pPr>
            <w:r>
              <w:t xml:space="preserve">Article 101(1), point (b) is engaged for failure to comply with the request; Article 92(1) allows an evaluation of the model concerned where the information gathered under Article 91 is insufficient</w:t>
            </w:r>
          </w:p>
        </w:tc>
        <w:tc>
          <w:p>
            <w:pPr>
              <w:pStyle w:val="Compact"/>
              <w:jc w:val="left"/>
            </w:pPr>
            <w:r>
              <w:t xml:space="preserve">Consider Article 91(2) structured dialogue; consider Article 92; consider a fine under Article 101(1), point (b)</w:t>
            </w:r>
          </w:p>
        </w:tc>
      </w:tr>
    </w:tbl>
    <w:p>
      <w:pPr>
        <w:pStyle w:val="Heading2"/>
      </w:pPr>
      <w:bookmarkStart w:id="22" w:name="Xab04c18c8979ce24b322dcb8a5fcf2f551a58fd"/>
      <w:r>
        <w:t xml:space="preserve">2. The Union nexus (Request 4a, location)</w:t>
      </w:r>
      <w:bookmarkEnd w:id="22"/>
    </w:p>
    <w:p>
      <w:pPr>
        <w:pStyle w:val="FirstParagraph"/>
      </w:pPr>
      <w:r>
        <w:t xml:space="preserve">Only reached if §1 resolved A, B or C.</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The answer</w:t>
            </w:r>
          </w:p>
        </w:tc>
        <w:tc>
          <w:tcPr>
            <w:tcBorders>
              <w:bottom w:val="single"/>
            </w:tcBorders>
            <w:vAlign w:val="bottom"/>
          </w:tcPr>
          <w:p>
            <w:pPr>
              <w:pStyle w:val="Compact"/>
              <w:jc w:val="left"/>
            </w:pPr>
            <w:r>
              <w:t xml:space="preserve">What follows</w:t>
            </w:r>
          </w:p>
        </w:tc>
        <w:tc>
          <w:tcPr>
            <w:tcBorders>
              <w:bottom w:val="single"/>
            </w:tcBorders>
            <w:vAlign w:val="bottom"/>
          </w:tcPr>
          <w:p>
            <w:pPr>
              <w:pStyle w:val="Compact"/>
              <w:jc w:val="left"/>
            </w:pPr>
            <w:r>
              <w:t xml:space="preserve">Next step</w:t>
            </w:r>
          </w:p>
        </w:tc>
      </w:tr>
      <w:tr>
        <w:tc>
          <w:p>
            <w:pPr>
              <w:pStyle w:val="Compact"/>
              <w:jc w:val="left"/>
            </w:pPr>
            <w:r>
              <w:rPr>
                <w:b/>
              </w:rPr>
              <w:t xml:space="preserve">F.</w:t>
            </w:r>
            <w:r>
              <w:t xml:space="preserve"> </w:t>
            </w:r>
            <w:r>
              <w:t xml:space="preserve">The own system was made available on the market or put into service in the Union, or the placed model in route B is on the Union market</w:t>
            </w:r>
          </w:p>
        </w:tc>
        <w:tc>
          <w:p>
            <w:pPr>
              <w:pStyle w:val="Compact"/>
              <w:jc w:val="left"/>
            </w:pPr>
            <w:r>
              <w:t xml:space="preserve">Article 2(1), point (a) is engaged: “placing on the market … general-purpose AI models in the Union, irrespective of whether those providers are established or located within the Union or in a third country”. Route B is the clean case, since the placed model is on the Union market by definition</w:t>
            </w:r>
          </w:p>
        </w:tc>
        <w:tc>
          <w:p>
            <w:pPr>
              <w:pStyle w:val="Compact"/>
              <w:jc w:val="left"/>
            </w:pPr>
            <w:r>
              <w:t xml:space="preserve">Read §3</w:t>
            </w:r>
          </w:p>
        </w:tc>
      </w:tr>
      <w:tr>
        <w:tc>
          <w:p>
            <w:pPr>
              <w:pStyle w:val="Compact"/>
              <w:jc w:val="left"/>
            </w:pPr>
            <w:r>
              <w:rPr>
                <w:b/>
              </w:rPr>
              <w:t xml:space="preserve">G.</w:t>
            </w:r>
            <w:r>
              <w:t xml:space="preserve"> </w:t>
            </w:r>
            <w:r>
              <w:t xml:space="preserve">The own system was put into service only outside the Union, and the Provider is established in a third country</w:t>
            </w:r>
          </w:p>
        </w:tc>
        <w:tc>
          <w:p>
            <w:pPr>
              <w:pStyle w:val="Compact"/>
              <w:jc w:val="left"/>
            </w:pPr>
            <w:r>
              <w:t xml:space="preserve">Article 2(1), point (a) reaches models “in the Union” and Article 3, point (11) defines putting into service by “own use in the Union”. On these provisions alone the model is not reached. The Guidelines’ internal-use example at ¶51 requires processes essential to third-party provision “or that affect the rights of natural persons in the Union”, so ask whether that limb is met</w:t>
            </w:r>
          </w:p>
        </w:tc>
        <w:tc>
          <w:p>
            <w:pPr>
              <w:pStyle w:val="Compact"/>
              <w:jc w:val="left"/>
            </w:pPr>
            <w:r>
              <w:t xml:space="preserve">If ¶51’s limb is met, treat as F on the Commission’s reading and note that it is the weaker Milch-Kontor limb; if not, the case is legislative: see</w:t>
            </w:r>
            <w:r>
              <w:t xml:space="preserve"> </w:t>
            </w:r>
            <w:r>
              <w:rPr>
                <w:rStyle w:val="VerbatimChar"/>
              </w:rPr>
              <w:t xml:space="preserve">amendment-table.md</w:t>
            </w:r>
            <w:r>
              <w:t xml:space="preserve">, amendment 2</w:t>
            </w:r>
          </w:p>
        </w:tc>
      </w:tr>
    </w:tbl>
    <w:p>
      <w:pPr>
        <w:pStyle w:val="Heading2"/>
      </w:pPr>
      <w:bookmarkStart w:id="23" w:name="Xcbbea09dbfd79928a51484c6f570d4d17015f41"/>
      <w:r>
        <w:t xml:space="preserve">3. Systemic risk (Requests 2, 2a, 5)</w:t>
      </w:r>
      <w:bookmarkEnd w:id="23"/>
    </w:p>
    <w:p>
      <w:pPr>
        <w:pStyle w:val="FirstParagraph"/>
      </w:pPr>
      <w:r>
        <w:t xml:space="preserve">Only reached if §1 resolved A, B or C and §2 resolved F.</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The answer</w:t>
            </w:r>
          </w:p>
        </w:tc>
        <w:tc>
          <w:tcPr>
            <w:tcBorders>
              <w:bottom w:val="single"/>
            </w:tcBorders>
            <w:vAlign w:val="bottom"/>
          </w:tcPr>
          <w:p>
            <w:pPr>
              <w:pStyle w:val="Compact"/>
              <w:jc w:val="left"/>
            </w:pPr>
            <w:r>
              <w:t xml:space="preserve">What follows</w:t>
            </w:r>
          </w:p>
        </w:tc>
        <w:tc>
          <w:tcPr>
            <w:tcBorders>
              <w:bottom w:val="single"/>
            </w:tcBorders>
            <w:vAlign w:val="bottom"/>
          </w:tcPr>
          <w:p>
            <w:pPr>
              <w:pStyle w:val="Compact"/>
              <w:jc w:val="left"/>
            </w:pPr>
            <w:r>
              <w:t xml:space="preserve">Next step</w:t>
            </w:r>
          </w:p>
        </w:tc>
      </w:tr>
      <w:tr>
        <w:tc>
          <w:p>
            <w:pPr>
              <w:pStyle w:val="Compact"/>
              <w:jc w:val="left"/>
            </w:pPr>
            <w:r>
              <w:rPr>
                <w:b/>
              </w:rPr>
              <w:t xml:space="preserve">H.</w:t>
            </w:r>
            <w:r>
              <w:t xml:space="preserve"> </w:t>
            </w:r>
            <w:r>
              <w:t xml:space="preserve">Cumulative training compute greater than 10²⁵ FLOP, or the Provider knew it would be</w:t>
            </w:r>
          </w:p>
        </w:tc>
        <w:tc>
          <w:p>
            <w:pPr>
              <w:pStyle w:val="Compact"/>
              <w:jc w:val="left"/>
            </w:pPr>
            <w:r>
              <w:t xml:space="preserve">Presumed to have high-impact capabilities (Article 51(2)), so a general-purpose AI model with systemic risk under Article 51(1), point (a). The Article 52(1) notification was due “without delay and in any event within two weeks after that requirement is met or it becomes known that it will be met”. Articles 53 and 55 apply, including 55(1), point (c) as the AI Office reads it at Guidelines ¶100</w:t>
            </w:r>
          </w:p>
        </w:tc>
        <w:tc>
          <w:p>
            <w:pPr>
              <w:pStyle w:val="Compact"/>
              <w:jc w:val="left"/>
            </w:pPr>
            <w:r>
              <w:t xml:space="preserve">Compare the notification date at Request 5 against the date the threshold was met or known; if the Provider presented arguments under Article 52(2), assess them under Article 52(3); pursue Requests 6 to 12 on the footing that Article 55 applies</w:t>
            </w:r>
          </w:p>
        </w:tc>
      </w:tr>
      <w:tr>
        <w:tc>
          <w:p>
            <w:pPr>
              <w:pStyle w:val="Compact"/>
              <w:jc w:val="left"/>
            </w:pPr>
            <w:r>
              <w:rPr>
                <w:b/>
              </w:rPr>
              <w:t xml:space="preserve">I.</w:t>
            </w:r>
            <w:r>
              <w:t xml:space="preserve"> </w:t>
            </w:r>
            <w:r>
              <w:t xml:space="preserve">Compute at or below 10²⁵ FLOP</w:t>
            </w:r>
          </w:p>
        </w:tc>
        <w:tc>
          <w:p>
            <w:pPr>
              <w:pStyle w:val="Compact"/>
              <w:jc w:val="left"/>
            </w:pPr>
            <w:r>
              <w:t xml:space="preserve">A general-purpose AI model without the presumption. The Commission may nonetheless designate it under Article 51(1), point (b), ex officio or on a qualified alert from the scientific panel (Article 90(1), point (b)), “having regard to the criteria set out in Annex XIII”. Annex XIII criterion (e)—“its level of autonomy and scalability, the tools it has access to”—is the criterion the public record speaks to. Article 52(1)’s closing sentence supplies the same power where the Commission “becomes aware of a general-purpose AI model presenting systemic risks of which it has not been notified”</w:t>
            </w:r>
          </w:p>
        </w:tc>
        <w:tc>
          <w:p>
            <w:pPr>
              <w:pStyle w:val="Compact"/>
              <w:jc w:val="left"/>
            </w:pPr>
            <w:r>
              <w:t xml:space="preserve">Consider a designation decision; Article 53 applies regardless of designation; Article 55 applies only on designation</w:t>
            </w:r>
          </w:p>
        </w:tc>
      </w:tr>
      <w:tr>
        <w:tc>
          <w:p>
            <w:pPr>
              <w:pStyle w:val="Compact"/>
              <w:jc w:val="left"/>
            </w:pPr>
            <w:r>
              <w:rPr>
                <w:b/>
              </w:rPr>
              <w:t xml:space="preserve">J.</w:t>
            </w:r>
            <w:r>
              <w:t xml:space="preserve"> </w:t>
            </w:r>
            <w:r>
              <w:t xml:space="preserve">Compute not stated, or stated without the estimation approach</w:t>
            </w:r>
          </w:p>
        </w:tc>
        <w:tc>
          <w:p>
            <w:pPr>
              <w:pStyle w:val="Compact"/>
              <w:jc w:val="left"/>
            </w:pPr>
            <w:r>
              <w:t xml:space="preserve">Incomplete for Request 2</w:t>
            </w:r>
          </w:p>
        </w:tc>
        <w:tc>
          <w:p>
            <w:pPr>
              <w:pStyle w:val="Compact"/>
              <w:jc w:val="left"/>
            </w:pPr>
            <w:r>
              <w:t xml:space="preserve">As E; the Annex to Guidelines C(2025) 7719 final sets out the estimation approach the Provider was asked to use</w:t>
            </w:r>
          </w:p>
        </w:tc>
      </w:tr>
    </w:tbl>
    <w:p>
      <w:pPr>
        <w:pStyle w:val="Heading2"/>
      </w:pPr>
      <w:bookmarkStart w:id="24" w:name="the-wiki-episode"/>
      <w:r>
        <w:t xml:space="preserve">The wiki episode</w:t>
      </w:r>
      <w:bookmarkEnd w:id="24"/>
    </w:p>
    <w:p>
      <w:pPr>
        <w:pStyle w:val="FirstParagraph"/>
      </w:pPr>
      <w:r>
        <w:t xml:space="preserve">The same three facts govern the models whose agents wrote to the wiki between May and June 2026, and the matrix reads the same way for them. Two differences. First, the record does not say which models they were: the independent analysis attributes the edits to agents presenting themselves as the provider’s systems, and the provider’s acknowledgment does not name a model, so Request 1’s identification question comes before anything in §1. Second, a report on that episode has been filed with the Commission and its receipt confirmed, so if §1 resolves at A, B or C for those models the timing question at Request 11a is live from the date of awareness—and if it resolves at D, a report was filed on a model to which Article 55(1), point (c) did not apply, which is worth knowing too.</w:t>
      </w:r>
    </w:p>
    <w:p>
      <w:pPr>
        <w:pStyle w:val="Heading2"/>
      </w:pPr>
      <w:bookmarkStart w:id="25" w:name="reading-the-matrix-against-this-incident"/>
      <w:r>
        <w:t xml:space="preserve">Reading the matrix against this incident</w:t>
      </w:r>
      <w:bookmarkEnd w:id="25"/>
    </w:p>
    <w:p>
      <w:pPr>
        <w:pStyle w:val="FirstParagraph"/>
      </w:pPr>
      <w:r>
        <w:t xml:space="preserve">On the public record as it stands, the placement question resolves nowhere: the provider’s account says the model was “not intended for public release”, the only system it is recorded as running in is the evaluation harness, and nothing addresses lineage or location. That is why the request asks those three things first and why this matrix begins with them. If the answers put the case at D, the correct regulatory response is not enforcement against the research model but the legislative amendment at</w:t>
      </w:r>
      <w:r>
        <w:t xml:space="preserve"> </w:t>
      </w:r>
      <w:r>
        <w:rPr>
          <w:rStyle w:val="VerbatimChar"/>
        </w:rPr>
        <w:t xml:space="preserve">amendment-table.md</w:t>
      </w:r>
      <w:r>
        <w:t xml:space="preserve">, and the enforcement question moves to the deployed model under Article 55(1), point (b).</w:t>
      </w:r>
    </w:p>
    <w:p>
      <w:pPr>
        <w:pStyle w:val="BodyText"/>
      </w:pPr>
      <w:r>
        <w:rPr>
          <w:i/>
        </w:rPr>
        <w:t xml:space="preserve">Every provision cited above is held and verified in</w:t>
      </w:r>
      <w:r>
        <w:rPr>
          <w:i/>
        </w:rPr>
        <w:t xml:space="preserve"> </w:t>
      </w:r>
      <w:r>
        <w:rPr>
          <w:rStyle w:val="VerbatimChar"/>
          <w:i/>
        </w:rPr>
        <w:t xml:space="preserve">data/provisions.yaml</w:t>
      </w:r>
      <w:r>
        <w:rPr>
          <w:i/>
        </w:rPr>
        <w:t xml:space="preserve"> </w:t>
      </w:r>
      <w:r>
        <w:rPr>
          <w:i/>
        </w:rPr>
        <w:t xml:space="preserve">against the consolidated text CELEX 02024R1689-20260727; Guidelines paragraphs are cited by their own numbers from C(2025) 7719 final; the Q&amp;A is cited as a document that disclaims being an official position of the Commission.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 matrix</dc:title>
  <dc:creator/>
  <cp:keywords/>
  <dcterms:created xsi:type="dcterms:W3CDTF">2026-09-13T14:29:57Z</dcterms:created>
  <dcterms:modified xsi:type="dcterms:W3CDTF">2026-09-13T14:29:57Z</dcterms:modified>
</cp:coreProperties>
</file>

<file path=docProps/custom.xml><?xml version="1.0" encoding="utf-8"?>
<Properties xmlns="http://schemas.openxmlformats.org/officeDocument/2006/custom-properties" xmlns:vt="http://schemas.openxmlformats.org/officeDocument/2006/docPropsVTypes"/>
</file>