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issuing note</w:t>
      </w:r>
    </w:p>
    <w:p>
      <w:pPr>
        <w:pStyle w:val="Heading1"/>
      </w:pPr>
      <w:bookmarkStart w:id="20" w:name="X43ea583cefda0298619c3f300a6e8b1203df52f"/>
      <w:r>
        <w:t xml:space="preserve">Issuing note to accompany the model Article 91 request</w:t>
      </w:r>
      <w:bookmarkEnd w:id="20"/>
    </w:p>
    <w:p>
      <w:pPr>
        <w:pStyle w:val="FirstParagraph"/>
      </w:pPr>
      <w:r>
        <w:rPr>
          <w:i/>
        </w:rPr>
        <w:t xml:space="preserve">For the AI Office, not for the addressee. This note carries the reasoning that an earlier draft of the request placed in its operative text—why each request is asked, what a responsive answer looks like, and what would leave the question open. It was taken out of the request because a request that pre-grades answers reads as prejudgment, and because Article 91(4) asks for a legal basis, a purpose, a specification, a period and an indication of fines, not for the issuing authority’s reasoning. Prepared by an external researcher; not a document of any Union body.</w:t>
      </w:r>
    </w:p>
    <w:p>
      <w:pPr>
        <w:pStyle w:val="Heading2"/>
      </w:pPr>
      <w:bookmarkStart w:id="21" w:name="X75a6c8d15d9cc18a0202636a31d71996b4c2a79"/>
      <w:r>
        <w:t xml:space="preserve">1. Why the request is issued in the Commission’s name</w:t>
      </w:r>
      <w:bookmarkEnd w:id="21"/>
    </w:p>
    <w:p>
      <w:pPr>
        <w:pStyle w:val="FirstParagraph"/>
      </w:pPr>
      <w:r>
        <w:rPr>
          <w:b/>
        </w:rPr>
        <w:t xml:space="preserve">Note on the issuing authority.</w:t>
      </w:r>
      <w:r>
        <w:t xml:space="preserve"> </w:t>
      </w:r>
      <w:r>
        <w:t xml:space="preserve">Article 91(1) and (3) confer the power on</w:t>
      </w:r>
      <w:r>
        <w:t xml:space="preserve"> </w:t>
      </w:r>
      <w:r>
        <w:rPr>
          <w:b/>
        </w:rPr>
        <w:t xml:space="preserve">the Commission</w:t>
      </w:r>
      <w:r>
        <w:t xml:space="preserve">. Article 3, point (47) defines the AI Office as “the Commission’s function”; it is not a legal person and cannot issue a request for information in its own name. Article 91(2), structured dialogue, is expressed as the AI Office’s. This draft is accordingly framed as a Commission instrument, with the AI Office referred to only where the Regulation places a function there.</w:t>
      </w:r>
    </w:p>
    <w:p>
      <w:pPr>
        <w:pStyle w:val="Heading2"/>
      </w:pPr>
      <w:bookmarkStart w:id="22" w:name="X0a1d2b03c5758e3ea5b3ebc6e017c701713c36c"/>
      <w:r>
        <w:t xml:space="preserve">2. Notes on individual requests</w:t>
      </w:r>
      <w:bookmarkEnd w:id="22"/>
    </w:p>
    <w:p>
      <w:pPr>
        <w:pStyle w:val="FirstParagraph"/>
      </w:pPr>
      <w:r>
        <w:rPr>
          <w:b/>
        </w:rPr>
        <w:t xml:space="preserve">Part B, paragraph 6.</w:t>
      </w:r>
      <w:r>
        <w:t xml:space="preserve"> </w:t>
      </w:r>
      <w:r>
        <w:t xml:space="preserve">An earlier draft set out in the request itself the Commission’s reading of Recital 97 (deemed placement on integration into an own system made available or put into service, three cumulative conditions, the third unavailable to a model with systemic risk), Article 2(1), point (a) and Article 3, point (11) on the Union nexus, and Guidelines ¶22 on lifecycle. That is the reasoning behind Section I and it belongs here: stated in the request it reads as the Commission’s interpretation presented as settled law, which the Guidelines themselves (¶9) say it is not. The request now states the facts it needs and leaves the reading to the assessment.</w:t>
      </w:r>
    </w:p>
    <w:p>
      <w:pPr>
        <w:pStyle w:val="BodyText"/>
      </w:pPr>
      <w:r>
        <w:rPr>
          <w:b/>
        </w:rPr>
        <w:t xml:space="preserve">Governing note, formerly at the head of Part D.</w:t>
      </w:r>
      <w:r>
        <w:t xml:space="preserve"> </w:t>
      </w:r>
      <w:r>
        <w:t xml:space="preserve">Each request identifies the provision to which it relates and states what would be regarded as a responsive answer. Where the Provider considers a request founded on a mistaken premise, it is invited to say so and explain why, rather than to decline.</w:t>
      </w:r>
    </w:p>
    <w:p>
      <w:pPr>
        <w:pStyle w:val="BodyText"/>
      </w:pPr>
      <w:r>
        <w:rPr>
          <w:b/>
        </w:rPr>
        <w:t xml:space="preserve">Requests 2b to 5.</w:t>
      </w:r>
      <w:r>
        <w:t xml:space="preserve"> </w:t>
      </w:r>
      <w:r>
        <w:t xml:space="preserve">A responsive answer consists of the lineage and intention facts at Request 2b with dates; the Provider’s reasoned position on scope; the location facts at Request 4a; and either the notification with its date or the basis on which none was required. A position that the model was internal, unreleased or not intended for production</w:t>
      </w:r>
      <w:r>
        <w:t xml:space="preserve"> </w:t>
      </w:r>
      <w:r>
        <w:rPr>
          <w:b/>
        </w:rPr>
        <w:t xml:space="preserve">is</w:t>
      </w:r>
      <w:r>
        <w:t xml:space="preserve"> </w:t>
      </w:r>
      <w:r>
        <w:t xml:space="preserve">a substantive answer to Requests 3 and 4 and is invited; the Commission asks that it be given with reasons and dates rather than as a description, since the public record already contains the description.</w:t>
      </w:r>
    </w:p>
    <w:p>
      <w:pPr>
        <w:pStyle w:val="BodyText"/>
      </w:pPr>
      <w:r>
        <w:rPr>
          <w:b/>
        </w:rPr>
        <w:t xml:space="preserve">Request 8.</w:t>
      </w:r>
      <w:r>
        <w:t xml:space="preserve"> </w:t>
      </w:r>
      <w:r>
        <w:t xml:space="preserve">Article 55(1), point (b) extends expressly to risks stemming from “the development” of general-purpose AI models with systemic risk. This request is directed to that limb and does not depend on the scope questions at Section I.</w:t>
      </w:r>
    </w:p>
    <w:p>
      <w:pPr>
        <w:pStyle w:val="BodyText"/>
      </w:pPr>
      <w:r>
        <w:rPr>
          <w:b/>
        </w:rPr>
        <w:t xml:space="preserve">Request 11a.</w:t>
      </w:r>
      <w:r>
        <w:t xml:space="preserve"> </w:t>
      </w:r>
      <w:r>
        <w:t xml:space="preserve">A responsive answer is a date and the contemporaneous record. Publicly observable indicators of the Provider’s attention to the episode at paragraph 4(b), including access to the affected wiki from IP ranges attributed to the Provider from 21 June 2026, do not establish when the Provider formed the relevant view. That is the matter on which the Provider’s own record is required.</w:t>
      </w:r>
    </w:p>
    <w:p>
      <w:pPr>
        <w:pStyle w:val="BodyText"/>
      </w:pPr>
      <w:r>
        <w:rPr>
          <w:b/>
        </w:rPr>
        <w:t xml:space="preserve">Request 11b.</w:t>
      </w:r>
      <w:r>
        <w:t xml:space="preserve"> </w:t>
      </w:r>
      <w:r>
        <w:t xml:space="preserve">An earlier draft listed the possible bases—Guidelines ¶(100)’s cybersecurity-breach reading, the Article 3, point (49) route, or another—in a way that implied one was correct; the request now asks the basis neutrally and offers the two readings as an invitation. The reason for asking at all: the guidelines’ first route does not pass through Article 3, point (49), and a Provider answering only the Article 3, point (49) question could answer accurately and leave the operative question untouched. A responsive answer is the route relied on and the reasoning, whichever route that is. A statement that the episode was handled under an internal security process is not responsive: the question is what view the Provider took of Article 55(1), point (c), not what process it used. This request is put separately from Request 11 because the guidelines’ first route does not pass through Article 3, point (49) at all, and a Provider answering only the Article 3, point (49) question could answer it accurately and leave the operative question untouched.</w:t>
      </w:r>
    </w:p>
    <w:p>
      <w:pPr>
        <w:pStyle w:val="BodyText"/>
      </w:pPr>
      <w:r>
        <w:rPr>
          <w:b/>
        </w:rPr>
        <w:t xml:space="preserve">Request 11c.</w:t>
      </w:r>
      <w:r>
        <w:t xml:space="preserve"> </w:t>
      </w:r>
      <w:r>
        <w:t xml:space="preserve">A responsive answer is, for each system, a classification and, where applicable, a report and its date. The purpose is not duplication. Article 75(1) makes the AI Office exclusively competent for systems where the model and the system belong to the same undertaking, and Article 75(1a) applies Article 73(2) to (9) to their serious incidents; Article 55(1), point (c) reaches the same body by a different route with a different period and a different form. Where both could apply to one episode the Commission needs to know which was used, and where only the model regime applies it needs to know that too. This request is confined to what is necessary for assessing the Provider’s compliance as a provider of general-purpose AI models under Article 91(1); supervision of the systems themselves is exercised under Article 75a(1), and any request directed to a system will be made separately under that provision.</w:t>
      </w:r>
    </w:p>
    <w:p>
      <w:pPr>
        <w:pStyle w:val="BodyText"/>
      </w:pPr>
      <w:r>
        <w:rPr>
          <w:b/>
        </w:rPr>
        <w:t xml:space="preserve">Request 2b.</w:t>
      </w:r>
      <w:r>
        <w:t xml:space="preserve"> </w:t>
      </w:r>
      <w:r>
        <w:t xml:space="preserve">This request is made because the Commission’s guidelines at paragraph 22 treat development downstream of one large pre-training run as one model’s lifecycle, and because the Commission’s published position is that certain obligations pertain to the development phase of models intended for, but prior to, the placing on the market.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Provision</w:t>
            </w:r>
          </w:p>
        </w:tc>
        <w:tc>
          <w:tcPr>
            <w:tcBorders>
              <w:bottom w:val="single"/>
            </w:tcBorders>
            <w:vAlign w:val="bottom"/>
          </w:tcPr>
          <w:p>
            <w:pPr>
              <w:pStyle w:val="Compact"/>
              <w:jc w:val="left"/>
            </w:pPr>
            <w:r>
              <w:t xml:space="preserve">A responsive answer consists of</w:t>
            </w:r>
          </w:p>
        </w:tc>
        <w:tc>
          <w:tcPr>
            <w:tcBorders>
              <w:bottom w:val="single"/>
            </w:tcBorders>
            <w:vAlign w:val="bottom"/>
          </w:tcPr>
          <w:p>
            <w:pPr>
              <w:pStyle w:val="Compact"/>
              <w:jc w:val="left"/>
            </w:pPr>
            <w:r>
              <w:t xml:space="preserve">What would</w:t>
            </w:r>
            <w:r>
              <w:t xml:space="preserve"> </w:t>
            </w:r>
            <w:r>
              <w:rPr>
                <w:b/>
              </w:rPr>
              <w:t xml:space="preserve">not</w:t>
            </w:r>
            <w:r>
              <w:t xml:space="preserve"> </w:t>
            </w:r>
            <w:r>
              <w:t xml:space="preserve">settle it</w:t>
            </w:r>
          </w:p>
        </w:tc>
      </w:tr>
      <w:tr>
        <w:tc>
          <w:p>
            <w:pPr>
              <w:pStyle w:val="Compact"/>
              <w:jc w:val="left"/>
            </w:pPr>
            <w:r>
              <w:t xml:space="preserve">1–2</w:t>
            </w:r>
          </w:p>
        </w:tc>
        <w:tc>
          <w:p>
            <w:pPr>
              <w:pStyle w:val="Compact"/>
              <w:jc w:val="left"/>
            </w:pPr>
            <w:r>
              <w:t xml:space="preserve">Art. 51</w:t>
            </w:r>
          </w:p>
        </w:tc>
        <w:tc>
          <w:p>
            <w:pPr>
              <w:pStyle w:val="Compact"/>
              <w:jc w:val="left"/>
            </w:pPr>
            <w:r>
              <w:t xml:space="preserve">Model identity; training compute in FLOP with the estimation approach</w:t>
            </w:r>
          </w:p>
        </w:tc>
        <w:tc>
          <w:p>
            <w:pPr>
              <w:pStyle w:val="Compact"/>
              <w:jc w:val="left"/>
            </w:pPr>
            <w:r>
              <w:t xml:space="preserve">Descriptions of intended use or release status</w:t>
            </w:r>
          </w:p>
        </w:tc>
      </w:tr>
      <w:tr>
        <w:tc>
          <w:p>
            <w:pPr>
              <w:pStyle w:val="Compact"/>
              <w:jc w:val="left"/>
            </w:pPr>
            <w:r>
              <w:t xml:space="preserve">2b</w:t>
            </w:r>
          </w:p>
        </w:tc>
        <w:tc>
          <w:p>
            <w:pPr>
              <w:pStyle w:val="Compact"/>
              <w:jc w:val="left"/>
            </w:pPr>
            <w:r>
              <w:t xml:space="preserve">Guidelines ¶22; Q&amp;A</w:t>
            </w:r>
          </w:p>
        </w:tc>
        <w:tc>
          <w:p>
            <w:pPr>
              <w:pStyle w:val="Compact"/>
              <w:jc w:val="left"/>
            </w:pPr>
            <w:r>
              <w:t xml:space="preserve">Pre-training lineage, and any decision for or against placement, with dates</w:t>
            </w:r>
          </w:p>
        </w:tc>
        <w:tc>
          <w:p>
            <w:pPr>
              <w:pStyle w:val="Compact"/>
              <w:jc w:val="left"/>
            </w:pPr>
            <w:r>
              <w:t xml:space="preserve">A statement that the model was internal, without the lineage</w:t>
            </w:r>
          </w:p>
        </w:tc>
      </w:tr>
      <w:tr>
        <w:tc>
          <w:p>
            <w:pPr>
              <w:pStyle w:val="Compact"/>
              <w:jc w:val="left"/>
            </w:pPr>
            <w:r>
              <w:t xml:space="preserve">3–4a</w:t>
            </w:r>
          </w:p>
        </w:tc>
        <w:tc>
          <w:p>
            <w:pPr>
              <w:pStyle w:val="Compact"/>
              <w:jc w:val="left"/>
            </w:pPr>
            <w:r>
              <w:t xml:space="preserve">Arts. 2(1)(a), 2(8), 3(11), 3(57), 3(63), Rec. 97</w:t>
            </w:r>
          </w:p>
        </w:tc>
        <w:tc>
          <w:p>
            <w:pPr>
              <w:pStyle w:val="Compact"/>
              <w:jc w:val="left"/>
            </w:pPr>
            <w:r>
              <w:t xml:space="preserve">The facts of any integration and putting into service, with dates and location in or outside the Union; a position on scope if the Provider chooses to give one</w:t>
            </w:r>
          </w:p>
        </w:tc>
        <w:tc>
          <w:p>
            <w:pPr>
              <w:pStyle w:val="Compact"/>
              <w:jc w:val="left"/>
            </w:pPr>
            <w:r>
              <w:t xml:space="preserve">A description of the model as internal, without the dates or the location</w:t>
            </w:r>
          </w:p>
        </w:tc>
      </w:tr>
      <w:tr>
        <w:tc>
          <w:p>
            <w:pPr>
              <w:pStyle w:val="Compact"/>
              <w:jc w:val="left"/>
            </w:pPr>
            <w:r>
              <w:t xml:space="preserve">5</w:t>
            </w:r>
          </w:p>
        </w:tc>
        <w:tc>
          <w:p>
            <w:pPr>
              <w:pStyle w:val="Compact"/>
              <w:jc w:val="left"/>
            </w:pPr>
            <w:r>
              <w:t xml:space="preserve">Art. 52(1)</w:t>
            </w:r>
          </w:p>
        </w:tc>
        <w:tc>
          <w:p>
            <w:pPr>
              <w:pStyle w:val="Compact"/>
              <w:jc w:val="left"/>
            </w:pPr>
            <w:r>
              <w:t xml:space="preserve">The notification and its date, or the basis on which none was required</w:t>
            </w:r>
          </w:p>
        </w:tc>
        <w:tc>
          <w:p>
            <w:pPr>
              <w:pStyle w:val="Compact"/>
              <w:jc w:val="left"/>
            </w:pPr>
            <w:r>
              <w:t xml:space="preserve">Silence on whether the question was considered</w:t>
            </w:r>
          </w:p>
        </w:tc>
      </w:tr>
      <w:tr>
        <w:tc>
          <w:p>
            <w:pPr>
              <w:pStyle w:val="Compact"/>
              <w:jc w:val="left"/>
            </w:pPr>
            <w:r>
              <w:t xml:space="preserve">6–7</w:t>
            </w:r>
          </w:p>
        </w:tc>
        <w:tc>
          <w:p>
            <w:pPr>
              <w:pStyle w:val="Compact"/>
              <w:jc w:val="left"/>
            </w:pPr>
            <w:r>
              <w:t xml:space="preserve">Arts. 53(1)(a), 55(1)(a)</w:t>
            </w:r>
          </w:p>
        </w:tc>
        <w:tc>
          <w:p>
            <w:pPr>
              <w:pStyle w:val="Compact"/>
              <w:jc w:val="left"/>
            </w:pPr>
            <w:r>
              <w:t xml:space="preserve">The evaluation protocol and documented adversarial-testing record</w:t>
            </w:r>
          </w:p>
        </w:tc>
        <w:tc>
          <w:p>
            <w:pPr>
              <w:pStyle w:val="Compact"/>
              <w:jc w:val="left"/>
            </w:pPr>
            <w:r>
              <w:t xml:space="preserve">Public descriptions of the evaluation’s difficulty</w:t>
            </w:r>
          </w:p>
        </w:tc>
      </w:tr>
      <w:tr>
        <w:tc>
          <w:p>
            <w:pPr>
              <w:pStyle w:val="Compact"/>
              <w:jc w:val="left"/>
            </w:pPr>
            <w:r>
              <w:t xml:space="preserve">8</w:t>
            </w:r>
          </w:p>
        </w:tc>
        <w:tc>
          <w:p>
            <w:pPr>
              <w:pStyle w:val="Compact"/>
              <w:jc w:val="left"/>
            </w:pPr>
            <w:r>
              <w:t xml:space="preserve">Art. 55(1)(b)</w:t>
            </w:r>
          </w:p>
        </w:tc>
        <w:tc>
          <w:p>
            <w:pPr>
              <w:pStyle w:val="Compact"/>
              <w:jc w:val="left"/>
            </w:pPr>
            <w:r>
              <w:t xml:space="preserve">The risk assessment as it addresses</w:t>
            </w:r>
            <w:r>
              <w:t xml:space="preserve"> </w:t>
            </w:r>
            <w:r>
              <w:rPr>
                <w:b/>
              </w:rPr>
              <w:t xml:space="preserve">sources</w:t>
            </w:r>
            <w:r>
              <w:t xml:space="preserve">, dated before July 2026</w:t>
            </w:r>
          </w:p>
        </w:tc>
        <w:tc>
          <w:p>
            <w:pPr>
              <w:pStyle w:val="Compact"/>
              <w:jc w:val="left"/>
            </w:pPr>
            <w:r>
              <w:t xml:space="preserve">Post-incident remediation commitments</w:t>
            </w:r>
          </w:p>
        </w:tc>
      </w:tr>
      <w:tr>
        <w:tc>
          <w:p>
            <w:pPr>
              <w:pStyle w:val="Compact"/>
              <w:jc w:val="left"/>
            </w:pPr>
            <w:r>
              <w:t xml:space="preserve">9</w:t>
            </w:r>
          </w:p>
        </w:tc>
        <w:tc>
          <w:p>
            <w:pPr>
              <w:pStyle w:val="Compact"/>
              <w:jc w:val="left"/>
            </w:pPr>
            <w:r>
              <w:t xml:space="preserve">Art. 55(1)(d)</w:t>
            </w:r>
          </w:p>
        </w:tc>
        <w:tc>
          <w:p>
            <w:pPr>
              <w:pStyle w:val="Compact"/>
              <w:jc w:val="left"/>
            </w:pPr>
            <w:r>
              <w:t xml:space="preserve">Egress architecture before 9 July and after the 4 July rebuild</w:t>
            </w:r>
          </w:p>
        </w:tc>
        <w:tc>
          <w:p>
            <w:pPr>
              <w:pStyle w:val="Compact"/>
              <w:jc w:val="left"/>
            </w:pPr>
            <w:r>
              <w:t xml:space="preserve">A description of the exploit chain, which is already public</w:t>
            </w:r>
          </w:p>
        </w:tc>
      </w:tr>
      <w:tr>
        <w:tc>
          <w:p>
            <w:pPr>
              <w:pStyle w:val="Compact"/>
              <w:jc w:val="left"/>
            </w:pPr>
            <w:r>
              <w:t xml:space="preserve">10–11</w:t>
            </w:r>
          </w:p>
        </w:tc>
        <w:tc>
          <w:p>
            <w:pPr>
              <w:pStyle w:val="Compact"/>
              <w:jc w:val="left"/>
            </w:pPr>
            <w:r>
              <w:t xml:space="preserve">Art. 55(1)(c)</w:t>
            </w:r>
          </w:p>
        </w:tc>
        <w:tc>
          <w:p>
            <w:pPr>
              <w:pStyle w:val="Compact"/>
              <w:jc w:val="left"/>
            </w:pPr>
            <w:r>
              <w:t xml:space="preserve">Contemporaneous tracking records; a classification date; report date and provision relied on</w:t>
            </w:r>
          </w:p>
        </w:tc>
        <w:tc>
          <w:p>
            <w:pPr>
              <w:pStyle w:val="Compact"/>
              <w:jc w:val="left"/>
            </w:pPr>
            <w:r>
              <w:t xml:space="preserve">The public disclosure date, which is not the same thing</w:t>
            </w:r>
          </w:p>
        </w:tc>
      </w:tr>
      <w:tr>
        <w:tc>
          <w:p>
            <w:pPr>
              <w:pStyle w:val="Compact"/>
              <w:jc w:val="left"/>
            </w:pPr>
            <w:r>
              <w:t xml:space="preserve">2a</w:t>
            </w:r>
          </w:p>
        </w:tc>
        <w:tc>
          <w:p>
            <w:pPr>
              <w:pStyle w:val="Compact"/>
              <w:jc w:val="left"/>
            </w:pPr>
            <w:r>
              <w:t xml:space="preserve">Annex XIII, (e)</w:t>
            </w:r>
          </w:p>
        </w:tc>
        <w:tc>
          <w:p>
            <w:pPr>
              <w:pStyle w:val="Compact"/>
              <w:jc w:val="left"/>
            </w:pPr>
            <w:r>
              <w:t xml:space="preserve">The Provider’s own account of the model’s autonomy, scalability and tool access</w:t>
            </w:r>
          </w:p>
        </w:tc>
        <w:tc>
          <w:p>
            <w:pPr>
              <w:pStyle w:val="Compact"/>
              <w:jc w:val="left"/>
            </w:pPr>
            <w:r>
              <w:t xml:space="preserve">A statement that the compute figure at Request 2 answers the question; Annex XIII criterion (c) is one factor among seven</w:t>
            </w:r>
          </w:p>
        </w:tc>
      </w:tr>
      <w:tr>
        <w:tc>
          <w:p>
            <w:pPr>
              <w:pStyle w:val="Compact"/>
              <w:jc w:val="left"/>
            </w:pPr>
            <w:r>
              <w:t xml:space="preserve">11a</w:t>
            </w:r>
          </w:p>
        </w:tc>
        <w:tc>
          <w:p>
            <w:pPr>
              <w:pStyle w:val="Compact"/>
              <w:jc w:val="left"/>
            </w:pPr>
            <w:r>
              <w:t xml:space="preserve">Code, Measure 9.3</w:t>
            </w:r>
          </w:p>
        </w:tc>
        <w:tc>
          <w:p>
            <w:pPr>
              <w:pStyle w:val="Compact"/>
              <w:jc w:val="left"/>
            </w:pPr>
            <w:r>
              <w:t xml:space="preserve">The date of awareness, the category assigned, and the reports submitted</w:t>
            </w:r>
          </w:p>
        </w:tc>
        <w:tc>
          <w:p>
            <w:pPr>
              <w:pStyle w:val="Compact"/>
              <w:jc w:val="left"/>
            </w:pPr>
            <w:r>
              <w:t xml:space="preserve">That the episodes were considered internally, without the dates the periods run from</w:t>
            </w:r>
          </w:p>
        </w:tc>
      </w:tr>
      <w:tr>
        <w:tc>
          <w:p>
            <w:pPr>
              <w:pStyle w:val="Compact"/>
              <w:jc w:val="left"/>
            </w:pPr>
            <w:r>
              <w:t xml:space="preserve">12</w:t>
            </w:r>
          </w:p>
        </w:tc>
        <w:tc>
          <w:p>
            <w:pPr>
              <w:pStyle w:val="Compact"/>
              <w:jc w:val="left"/>
            </w:pPr>
            <w:r>
              <w:t xml:space="preserve">Art. 55(2), Code</w:t>
            </w:r>
          </w:p>
        </w:tc>
        <w:tc>
          <w:p>
            <w:pPr>
              <w:pStyle w:val="Compact"/>
              <w:jc w:val="left"/>
            </w:pPr>
            <w:r>
              <w:t xml:space="preserve">The Framework and Model Report as they bear on these episodes</w:t>
            </w:r>
          </w:p>
        </w:tc>
        <w:tc>
          <w:p>
            <w:pPr>
              <w:pStyle w:val="Compact"/>
              <w:jc w:val="left"/>
            </w:pPr>
            <w:r>
              <w:t xml:space="preserve">The fact of signature to the Code</w:t>
            </w:r>
          </w:p>
        </w:tc>
      </w:tr>
    </w:tbl>
    <w:p>
      <w:pPr>
        <w:pStyle w:val="Heading2"/>
      </w:pPr>
      <w:bookmarkStart w:id="23" w:name="Xd53fbcd321a0d6c3523677078f68e54fe2c688a"/>
      <w:r>
        <w:t xml:space="preserve">3. What each request is for, and what would not answer it</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Provision</w:t>
            </w:r>
          </w:p>
        </w:tc>
        <w:tc>
          <w:tcPr>
            <w:tcBorders>
              <w:bottom w:val="single"/>
            </w:tcBorders>
            <w:vAlign w:val="bottom"/>
          </w:tcPr>
          <w:p>
            <w:pPr>
              <w:pStyle w:val="Compact"/>
              <w:jc w:val="left"/>
            </w:pPr>
            <w:r>
              <w:t xml:space="preserve">What the AI Office needs from it</w:t>
            </w:r>
          </w:p>
        </w:tc>
        <w:tc>
          <w:tcPr>
            <w:tcBorders>
              <w:bottom w:val="single"/>
            </w:tcBorders>
            <w:vAlign w:val="bottom"/>
          </w:tcPr>
          <w:p>
            <w:pPr>
              <w:pStyle w:val="Compact"/>
              <w:jc w:val="left"/>
            </w:pPr>
            <w:r>
              <w:t xml:space="preserve">What would leave the question open</w:t>
            </w:r>
          </w:p>
        </w:tc>
      </w:tr>
      <w:tr>
        <w:tc>
          <w:p>
            <w:pPr>
              <w:pStyle w:val="Compact"/>
              <w:jc w:val="left"/>
            </w:pPr>
            <w:r>
              <w:t xml:space="preserve">1–2</w:t>
            </w:r>
          </w:p>
        </w:tc>
        <w:tc>
          <w:p>
            <w:pPr>
              <w:pStyle w:val="Compact"/>
              <w:jc w:val="left"/>
            </w:pPr>
            <w:r>
              <w:t xml:space="preserve">Art. 51</w:t>
            </w:r>
          </w:p>
        </w:tc>
        <w:tc>
          <w:p>
            <w:pPr>
              <w:pStyle w:val="Compact"/>
              <w:jc w:val="left"/>
            </w:pPr>
            <w:r>
              <w:t xml:space="preserve">Model identity; training compute in FLOP with the estimation approach</w:t>
            </w:r>
          </w:p>
        </w:tc>
        <w:tc>
          <w:p>
            <w:pPr>
              <w:pStyle w:val="Compact"/>
              <w:jc w:val="left"/>
            </w:pPr>
            <w:r>
              <w:t xml:space="preserve">Descriptions of intended use or release status</w:t>
            </w:r>
          </w:p>
        </w:tc>
      </w:tr>
      <w:tr>
        <w:tc>
          <w:p>
            <w:pPr>
              <w:pStyle w:val="Compact"/>
              <w:jc w:val="left"/>
            </w:pPr>
            <w:r>
              <w:t xml:space="preserve">2b</w:t>
            </w:r>
          </w:p>
        </w:tc>
        <w:tc>
          <w:p>
            <w:pPr>
              <w:pStyle w:val="Compact"/>
              <w:jc w:val="left"/>
            </w:pPr>
            <w:r>
              <w:t xml:space="preserve">Guidelines ¶22; Q&amp;A</w:t>
            </w:r>
          </w:p>
        </w:tc>
        <w:tc>
          <w:p>
            <w:pPr>
              <w:pStyle w:val="Compact"/>
              <w:jc w:val="left"/>
            </w:pPr>
            <w:r>
              <w:t xml:space="preserve">Pre-training lineage, and any decision for or against placement, with dates</w:t>
            </w:r>
          </w:p>
        </w:tc>
        <w:tc>
          <w:p>
            <w:pPr>
              <w:pStyle w:val="Compact"/>
              <w:jc w:val="left"/>
            </w:pPr>
            <w:r>
              <w:t xml:space="preserve">A statement that the model was internal, without the lineage</w:t>
            </w:r>
          </w:p>
        </w:tc>
      </w:tr>
      <w:tr>
        <w:tc>
          <w:p>
            <w:pPr>
              <w:pStyle w:val="Compact"/>
              <w:jc w:val="left"/>
            </w:pPr>
            <w:r>
              <w:t xml:space="preserve">3–4a</w:t>
            </w:r>
          </w:p>
        </w:tc>
        <w:tc>
          <w:p>
            <w:pPr>
              <w:pStyle w:val="Compact"/>
              <w:jc w:val="left"/>
            </w:pPr>
            <w:r>
              <w:t xml:space="preserve">Arts. 2(1)(a), 2(8), 3(11), 3(57), 3(63), Rec. 97</w:t>
            </w:r>
          </w:p>
        </w:tc>
        <w:tc>
          <w:p>
            <w:pPr>
              <w:pStyle w:val="Compact"/>
              <w:jc w:val="left"/>
            </w:pPr>
            <w:r>
              <w:t xml:space="preserve">The facts of any integration and putting into service, with dates and location in or outside the Union; a position on scope if the Provider chooses to give one</w:t>
            </w:r>
          </w:p>
        </w:tc>
        <w:tc>
          <w:p>
            <w:pPr>
              <w:pStyle w:val="Compact"/>
              <w:jc w:val="left"/>
            </w:pPr>
            <w:r>
              <w:t xml:space="preserve">A description of the model as internal, without the dates or the location</w:t>
            </w:r>
          </w:p>
        </w:tc>
      </w:tr>
      <w:tr>
        <w:tc>
          <w:p>
            <w:pPr>
              <w:pStyle w:val="Compact"/>
              <w:jc w:val="left"/>
            </w:pPr>
            <w:r>
              <w:t xml:space="preserve">5</w:t>
            </w:r>
          </w:p>
        </w:tc>
        <w:tc>
          <w:p>
            <w:pPr>
              <w:pStyle w:val="Compact"/>
              <w:jc w:val="left"/>
            </w:pPr>
            <w:r>
              <w:t xml:space="preserve">Art. 52(1)</w:t>
            </w:r>
          </w:p>
        </w:tc>
        <w:tc>
          <w:p>
            <w:pPr>
              <w:pStyle w:val="Compact"/>
              <w:jc w:val="left"/>
            </w:pPr>
            <w:r>
              <w:t xml:space="preserve">The notification and its date, or the basis on which none was required</w:t>
            </w:r>
          </w:p>
        </w:tc>
        <w:tc>
          <w:p>
            <w:pPr>
              <w:pStyle w:val="Compact"/>
              <w:jc w:val="left"/>
            </w:pPr>
            <w:r>
              <w:t xml:space="preserve">Silence on whether the question was considered</w:t>
            </w:r>
          </w:p>
        </w:tc>
      </w:tr>
      <w:tr>
        <w:tc>
          <w:p>
            <w:pPr>
              <w:pStyle w:val="Compact"/>
              <w:jc w:val="left"/>
            </w:pPr>
            <w:r>
              <w:t xml:space="preserve">6–7</w:t>
            </w:r>
          </w:p>
        </w:tc>
        <w:tc>
          <w:p>
            <w:pPr>
              <w:pStyle w:val="Compact"/>
              <w:jc w:val="left"/>
            </w:pPr>
            <w:r>
              <w:t xml:space="preserve">Arts. 53(1)(a), 55(1)(a)</w:t>
            </w:r>
          </w:p>
        </w:tc>
        <w:tc>
          <w:p>
            <w:pPr>
              <w:pStyle w:val="Compact"/>
              <w:jc w:val="left"/>
            </w:pPr>
            <w:r>
              <w:t xml:space="preserve">The evaluation protocol and documented adversarial-testing record</w:t>
            </w:r>
          </w:p>
        </w:tc>
        <w:tc>
          <w:p>
            <w:pPr>
              <w:pStyle w:val="Compact"/>
              <w:jc w:val="left"/>
            </w:pPr>
            <w:r>
              <w:t xml:space="preserve">Public descriptions of the evaluation’s difficulty</w:t>
            </w:r>
          </w:p>
        </w:tc>
      </w:tr>
      <w:tr>
        <w:tc>
          <w:p>
            <w:pPr>
              <w:pStyle w:val="Compact"/>
              <w:jc w:val="left"/>
            </w:pPr>
            <w:r>
              <w:t xml:space="preserve">8</w:t>
            </w:r>
          </w:p>
        </w:tc>
        <w:tc>
          <w:p>
            <w:pPr>
              <w:pStyle w:val="Compact"/>
              <w:jc w:val="left"/>
            </w:pPr>
            <w:r>
              <w:t xml:space="preserve">Art. 55(1)(b)</w:t>
            </w:r>
          </w:p>
        </w:tc>
        <w:tc>
          <w:p>
            <w:pPr>
              <w:pStyle w:val="Compact"/>
              <w:jc w:val="left"/>
            </w:pPr>
            <w:r>
              <w:t xml:space="preserve">The risk assessment as it addresses</w:t>
            </w:r>
            <w:r>
              <w:t xml:space="preserve"> </w:t>
            </w:r>
            <w:r>
              <w:rPr>
                <w:b/>
              </w:rPr>
              <w:t xml:space="preserve">sources</w:t>
            </w:r>
            <w:r>
              <w:t xml:space="preserve">, dated before July 2026</w:t>
            </w:r>
          </w:p>
        </w:tc>
        <w:tc>
          <w:p>
            <w:pPr>
              <w:pStyle w:val="Compact"/>
              <w:jc w:val="left"/>
            </w:pPr>
            <w:r>
              <w:t xml:space="preserve">Post-incident remediation commitments</w:t>
            </w:r>
          </w:p>
        </w:tc>
      </w:tr>
      <w:tr>
        <w:tc>
          <w:p>
            <w:pPr>
              <w:pStyle w:val="Compact"/>
              <w:jc w:val="left"/>
            </w:pPr>
            <w:r>
              <w:t xml:space="preserve">9</w:t>
            </w:r>
          </w:p>
        </w:tc>
        <w:tc>
          <w:p>
            <w:pPr>
              <w:pStyle w:val="Compact"/>
              <w:jc w:val="left"/>
            </w:pPr>
            <w:r>
              <w:t xml:space="preserve">Art. 55(1)(d)</w:t>
            </w:r>
          </w:p>
        </w:tc>
        <w:tc>
          <w:p>
            <w:pPr>
              <w:pStyle w:val="Compact"/>
              <w:jc w:val="left"/>
            </w:pPr>
            <w:r>
              <w:t xml:space="preserve">Egress architecture before 9 July and after the 4 July rebuild</w:t>
            </w:r>
          </w:p>
        </w:tc>
        <w:tc>
          <w:p>
            <w:pPr>
              <w:pStyle w:val="Compact"/>
              <w:jc w:val="left"/>
            </w:pPr>
            <w:r>
              <w:t xml:space="preserve">A description of the exploit chain, which is already public</w:t>
            </w:r>
          </w:p>
        </w:tc>
      </w:tr>
      <w:tr>
        <w:tc>
          <w:p>
            <w:pPr>
              <w:pStyle w:val="Compact"/>
              <w:jc w:val="left"/>
            </w:pPr>
            <w:r>
              <w:t xml:space="preserve">10–11</w:t>
            </w:r>
          </w:p>
        </w:tc>
        <w:tc>
          <w:p>
            <w:pPr>
              <w:pStyle w:val="Compact"/>
              <w:jc w:val="left"/>
            </w:pPr>
            <w:r>
              <w:t xml:space="preserve">Art. 55(1)(c)</w:t>
            </w:r>
          </w:p>
        </w:tc>
        <w:tc>
          <w:p>
            <w:pPr>
              <w:pStyle w:val="Compact"/>
              <w:jc w:val="left"/>
            </w:pPr>
            <w:r>
              <w:t xml:space="preserve">Contemporaneous tracking records; a classification date; report date and provision relied on</w:t>
            </w:r>
          </w:p>
        </w:tc>
        <w:tc>
          <w:p>
            <w:pPr>
              <w:pStyle w:val="Compact"/>
              <w:jc w:val="left"/>
            </w:pPr>
            <w:r>
              <w:t xml:space="preserve">The public disclosure date, which is not the same thing</w:t>
            </w:r>
          </w:p>
        </w:tc>
      </w:tr>
      <w:tr>
        <w:tc>
          <w:p>
            <w:pPr>
              <w:pStyle w:val="Compact"/>
              <w:jc w:val="left"/>
            </w:pPr>
            <w:r>
              <w:t xml:space="preserve">2a</w:t>
            </w:r>
          </w:p>
        </w:tc>
        <w:tc>
          <w:p>
            <w:pPr>
              <w:pStyle w:val="Compact"/>
              <w:jc w:val="left"/>
            </w:pPr>
            <w:r>
              <w:t xml:space="preserve">Annex XIII, (e)</w:t>
            </w:r>
          </w:p>
        </w:tc>
        <w:tc>
          <w:p>
            <w:pPr>
              <w:pStyle w:val="Compact"/>
              <w:jc w:val="left"/>
            </w:pPr>
            <w:r>
              <w:t xml:space="preserve">The Provider’s own account of the model’s autonomy, scalability and tool access</w:t>
            </w:r>
          </w:p>
        </w:tc>
        <w:tc>
          <w:p>
            <w:pPr>
              <w:pStyle w:val="Compact"/>
              <w:jc w:val="left"/>
            </w:pPr>
            <w:r>
              <w:t xml:space="preserve">A statement that the compute figure at Request 2 answers the question; Annex XIII criterion (c) is one factor among seven</w:t>
            </w:r>
          </w:p>
        </w:tc>
      </w:tr>
      <w:tr>
        <w:tc>
          <w:p>
            <w:pPr>
              <w:pStyle w:val="Compact"/>
              <w:jc w:val="left"/>
            </w:pPr>
            <w:r>
              <w:t xml:space="preserve">11a</w:t>
            </w:r>
          </w:p>
        </w:tc>
        <w:tc>
          <w:p>
            <w:pPr>
              <w:pStyle w:val="Compact"/>
              <w:jc w:val="left"/>
            </w:pPr>
            <w:r>
              <w:t xml:space="preserve">Code, Measure 9.3</w:t>
            </w:r>
          </w:p>
        </w:tc>
        <w:tc>
          <w:p>
            <w:pPr>
              <w:pStyle w:val="Compact"/>
              <w:jc w:val="left"/>
            </w:pPr>
            <w:r>
              <w:t xml:space="preserve">The date of awareness, the category assigned, and the reports submitted</w:t>
            </w:r>
          </w:p>
        </w:tc>
        <w:tc>
          <w:p>
            <w:pPr>
              <w:pStyle w:val="Compact"/>
              <w:jc w:val="left"/>
            </w:pPr>
            <w:r>
              <w:t xml:space="preserve">That the episodes were considered internally, without the dates the periods run from</w:t>
            </w:r>
          </w:p>
        </w:tc>
      </w:tr>
      <w:tr>
        <w:tc>
          <w:p>
            <w:pPr>
              <w:pStyle w:val="Compact"/>
              <w:jc w:val="left"/>
            </w:pPr>
            <w:r>
              <w:t xml:space="preserve">12</w:t>
            </w:r>
          </w:p>
        </w:tc>
        <w:tc>
          <w:p>
            <w:pPr>
              <w:pStyle w:val="Compact"/>
              <w:jc w:val="left"/>
            </w:pPr>
            <w:r>
              <w:t xml:space="preserve">Art. 55(2), Code</w:t>
            </w:r>
          </w:p>
        </w:tc>
        <w:tc>
          <w:p>
            <w:pPr>
              <w:pStyle w:val="Compact"/>
              <w:jc w:val="left"/>
            </w:pPr>
            <w:r>
              <w:t xml:space="preserve">The Framework and Model Report as they bear on these episodes</w:t>
            </w:r>
          </w:p>
        </w:tc>
        <w:tc>
          <w:p>
            <w:pPr>
              <w:pStyle w:val="Compact"/>
              <w:jc w:val="left"/>
            </w:pPr>
            <w:r>
              <w:t xml:space="preserve">The fact of signature to the Code</w:t>
            </w:r>
          </w:p>
        </w:tc>
      </w:tr>
    </w:tbl>
    <w:p>
      <w:pPr>
        <w:pStyle w:val="Heading2"/>
      </w:pPr>
      <w:bookmarkStart w:id="24" w:name="X4c8e34ec63e3692486b1ce07fe86a5bc2d0c8c3"/>
      <w:r>
        <w:t xml:space="preserve">4. Service</w:t>
      </w:r>
      <w:bookmarkEnd w:id="24"/>
    </w:p>
    <w:p>
      <w:pPr>
        <w:pStyle w:val="FirstParagraph"/>
      </w:pPr>
      <w:r>
        <w:t xml:space="preserve">Article 54(1) requires a provider established in a third country to appoint, by written mandate, an authorised representative established in the Union before placing a general-purpose AI model on the Union market. The request is addressed to the Provider and served on that representative as well, and Request 4a asks whether and when one was appointed in respect of the Research Model or its lineage. The date answers a question of its own: an appointment made before the Evaluation is the Provider’s own contemporaneous view that a model of that lineage was headed for the Union market.</w:t>
      </w:r>
    </w:p>
    <w:p>
      <w:pPr>
        <w:pStyle w:val="Heading2"/>
      </w:pPr>
      <w:bookmarkStart w:id="25" w:name="Xfee2cc169e16253fdc9df9942fba966a1a114cc"/>
      <w:r>
        <w:t xml:space="preserve">5. After the answers</w:t>
      </w:r>
      <w:bookmarkEnd w:id="25"/>
    </w:p>
    <w:p>
      <w:pPr>
        <w:pStyle w:val="FirstParagraph"/>
      </w:pPr>
      <w:r>
        <w:rPr>
          <w:rStyle w:val="VerbatimChar"/>
        </w:rPr>
        <w:t xml:space="preserve">answer-matrix.md</w:t>
      </w:r>
      <w:r>
        <w:t xml:space="preserve"> </w:t>
      </w:r>
      <w:r>
        <w:t xml:space="preserve">sets out, for each answer the Provider can give to Requests 2, 2b and 4a, where it puts the model and what the Commission does next. The request and this note are drafted so that the matrix can be read straight off the response.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issuing note</dc:title>
  <dc:creator/>
  <cp:keywords/>
  <dcterms:created xsi:type="dcterms:W3CDTF">2026-09-13T14:29:57Z</dcterms:created>
  <dcterms:modified xsi:type="dcterms:W3CDTF">2026-09-13T14:29:57Z</dcterms:modified>
</cp:coreProperties>
</file>

<file path=docProps/custom.xml><?xml version="1.0" encoding="utf-8"?>
<Properties xmlns="http://schemas.openxmlformats.org/officeDocument/2006/custom-properties" xmlns:vt="http://schemas.openxmlformats.org/officeDocument/2006/docPropsVTypes"/>
</file>