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 request</w:t>
      </w:r>
    </w:p>
    <w:p>
      <w:r>
        <w:pict>
          <v:rect style="width:0;height:1.5pt" o:hralign="center" o:hrstd="t" o:hr="t"/>
        </w:pict>
      </w:r>
    </w:p>
    <w:p>
      <w:pPr>
        <w:pStyle w:val="Heading2"/>
      </w:pPr>
      <w:bookmarkStart w:id="20" w:name="X32f49316695db949efb5e4d5324cd01f0cb9c15"/>
      <w:r>
        <w:t xml:space="preserve">⚠ PROVENANCE—READ FIRST</w:t>
      </w:r>
      <w:bookmarkEnd w:id="20"/>
    </w:p>
    <w:p>
      <w:pPr>
        <w:pStyle w:val="BlockText"/>
      </w:pPr>
      <w:r>
        <w:rPr>
          <w:b/>
        </w:rPr>
        <w:t xml:space="preserve">This is a MODEL instrument, generated as a first draft. It has not been issued.</w:t>
      </w:r>
    </w:p>
    <w:p>
      <w:pPr>
        <w:pStyle w:val="BlockText"/>
      </w:pPr>
      <w:r>
        <w:t xml:space="preserve">Assembled by</w:t>
      </w:r>
      <w:r>
        <w:t xml:space="preserve"> </w:t>
      </w:r>
      <w:r>
        <w:rPr>
          <w:rStyle w:val="VerbatimChar"/>
        </w:rPr>
        <w:t xml:space="preserve">tools/draft-request.py</w:t>
      </w:r>
      <w:r>
        <w:t xml:space="preserve"> </w:t>
      </w:r>
      <w:r>
        <w:t xml:space="preserve">on 2026-09-13 from the cross-walk at</w:t>
      </w:r>
      <w:r>
        <w:t xml:space="preserve"> </w:t>
      </w:r>
      <w:r>
        <w:rPr>
          <w:rStyle w:val="VerbatimChar"/>
        </w:rPr>
        <w:t xml:space="preserve">data/crosswalk.yaml</w:t>
      </w:r>
      <w:r>
        <w:t xml:space="preserve">: one request per row the analysis records as unresolved, each carrying that row’s provision and its own statement of what would and would not settle it. It is not a document of the European Commission, the AI Office or any Union body. Every field requiring an issuing authority’s input is a placeholder in square brackets. A person edits this before it is anything.</w:t>
      </w:r>
    </w:p>
    <w:p>
      <w:r>
        <w:pict>
          <v:rect style="width:0;height:1.5pt" o:hralign="center" o:hrstd="t" o:hr="t"/>
        </w:pict>
      </w:r>
    </w:p>
    <w:p>
      <w:pPr>
        <w:pStyle w:val="Heading1"/>
      </w:pPr>
      <w:bookmarkStart w:id="21" w:name="model-request-for-information"/>
      <w:r>
        <w:t xml:space="preserve">MODEL REQUEST FOR INFORMATION</w:t>
      </w:r>
      <w:bookmarkEnd w:id="21"/>
    </w:p>
    <w:p>
      <w:pPr>
        <w:pStyle w:val="Heading3"/>
      </w:pPr>
      <w:bookmarkStart w:id="22" w:name="X015028fccd58ab28b0770611eecabed70d7e02b"/>
      <w:r>
        <w:t xml:space="preserve">under Article 91 of Regulation (EU) 2024/1689</w:t>
      </w:r>
      <w:bookmarkEnd w:id="22"/>
    </w:p>
    <w:p>
      <w:pPr>
        <w:pStyle w:val="FirstParagraph"/>
      </w:pPr>
      <w:r>
        <w:rPr>
          <w:b/>
        </w:rPr>
        <w:t xml:space="preserve">Reference:</w:t>
      </w:r>
      <w:r>
        <w:t xml:space="preserve"> </w:t>
      </w:r>
      <w:r>
        <w:t xml:space="preserve">[to be assigned by the issuing authority]</w:t>
      </w:r>
      <w:r>
        <w:t xml:space="preserve"> </w:t>
      </w:r>
      <w:r>
        <w:rPr>
          <w:b/>
        </w:rPr>
        <w:t xml:space="preserve">Date:</w:t>
      </w:r>
      <w:r>
        <w:t xml:space="preserve"> </w:t>
      </w:r>
      <w:r>
        <w:t xml:space="preserve">[to be inserted]</w:t>
      </w:r>
      <w:r>
        <w:t xml:space="preserve"> </w:t>
      </w:r>
      <w:r>
        <w:rPr>
          <w:b/>
        </w:rPr>
        <w:t xml:space="preserve">Addressee:</w:t>
      </w:r>
      <w:r>
        <w:t xml:space="preserve"> </w:t>
      </w:r>
      <w:r>
        <w:t xml:space="preserve">[Provider concerned—“the Provider”]</w:t>
      </w:r>
      <w:r>
        <w:t xml:space="preserve"> </w:t>
      </w:r>
      <w:r>
        <w:rPr>
          <w:b/>
        </w:rPr>
        <w:t xml:space="preserve">Issued by:</w:t>
      </w:r>
      <w:r>
        <w:t xml:space="preserve"> </w:t>
      </w:r>
      <w:r>
        <w:t xml:space="preserve">[European Commission—“the Commission”]</w:t>
      </w:r>
    </w:p>
    <w:p>
      <w:pPr>
        <w:pStyle w:val="Heading2"/>
      </w:pPr>
      <w:bookmarkStart w:id="23" w:name="part-a-legal-basis"/>
      <w:r>
        <w:t xml:space="preserve">Part A: Legal basis</w:t>
      </w:r>
      <w:bookmarkEnd w:id="23"/>
    </w:p>
    <w:p>
      <w:pPr>
        <w:numPr>
          <w:ilvl w:val="0"/>
          <w:numId w:val="1001"/>
        </w:numPr>
      </w:pPr>
      <w:r>
        <w:t xml:space="preserve">This request is made under</w:t>
      </w:r>
      <w:r>
        <w:t xml:space="preserve"> </w:t>
      </w:r>
      <w:r>
        <w:rPr>
          <w:b/>
        </w:rPr>
        <w:t xml:space="preserve">Article 91(1)</w:t>
      </w:r>
      <w:r>
        <w:t xml:space="preserve"> </w:t>
      </w:r>
      <w:r>
        <w:t xml:space="preserve">of Regulation (EU) 2024/1689 (“the Regulation”), which empowers the Commission to request from the provider of a general-purpose AI model “the documentation drawn up by the provider in accordance with Articles 53 and 55, or any additional information that is necessary for the purpose of assessing compliance of the provider with this Regulation”. No alternative basis is stated.</w:t>
      </w:r>
    </w:p>
    <w:p>
      <w:pPr>
        <w:numPr>
          <w:ilvl w:val="0"/>
          <w:numId w:val="1001"/>
        </w:numPr>
      </w:pPr>
      <w:r>
        <w:t xml:space="preserve">The provisions to which the requested information relates are: Article 3, point (49), Article 3, point (63), Article 55(1), point (a), Article 55(1), point (b), Article 55(1), point (c), Article 55(1), point (d). Chapter V has applied since 2 August 2025 pursuant to Article 113, point (b); Article 91 has applied since 2 August 2026 under the general rule in Article 113.</w:t>
      </w:r>
    </w:p>
    <w:p>
      <w:pPr>
        <w:numPr>
          <w:ilvl w:val="0"/>
          <w:numId w:val="1001"/>
        </w:numPr>
      </w:pPr>
      <w:r>
        <w:rPr>
          <w:b/>
        </w:rPr>
        <w:t xml:space="preserve">Empowerment.</w:t>
      </w:r>
      <w:r>
        <w:t xml:space="preserve"> </w:t>
      </w:r>
      <w:r>
        <w:t xml:space="preserve">Having regard to Regulation (EU) 2024/1689, and in particular Article 91(1) and (4) thereof, and to the Commission’s competence under Article 88 in respect of providers of general-purpose AI models. [Act of adoption and signatory’s competence to be recited by the issuing authority.]</w:t>
      </w:r>
    </w:p>
    <w:p>
      <w:pPr>
        <w:pStyle w:val="Heading2"/>
      </w:pPr>
      <w:bookmarkStart w:id="24" w:name="part-b-purpose"/>
      <w:r>
        <w:t xml:space="preserve">Part B: Purpose</w:t>
      </w:r>
      <w:bookmarkEnd w:id="24"/>
    </w:p>
    <w:p>
      <w:pPr>
        <w:numPr>
          <w:ilvl w:val="0"/>
          <w:numId w:val="1002"/>
        </w:numPr>
      </w:pPr>
      <w:r>
        <w:t xml:space="preserve">The Commission is considering the following publicly reported episode(s) involving AI models developed by the Provider: (a) Hugging Face intrusion, 2026-07-09 02:28 UTC to 2026-07-13 14:14 UTC; (b) DseWiki episode, 2026-05-24 to 2026-06-22, with a further burst 2026-07-01/02</w:t>
      </w:r>
    </w:p>
    <w:p>
      <w:pPr>
        <w:numPr>
          <w:ilvl w:val="0"/>
          <w:numId w:val="1002"/>
        </w:numPr>
      </w:pPr>
      <w:r>
        <w:t xml:space="preserve">The Commission has</w:t>
      </w:r>
      <w:r>
        <w:t xml:space="preserve"> </w:t>
      </w:r>
      <w:r>
        <w:rPr>
          <w:b/>
        </w:rPr>
        <w:t xml:space="preserve">not</w:t>
      </w:r>
      <w:r>
        <w:t xml:space="preserve"> </w:t>
      </w:r>
      <w:r>
        <w:t xml:space="preserve">formed a view that any episode constitutes a serious incident within the meaning of Article 3, point (49), that any obligation under the Regulation applies to any particular model, or that any obligation has been contravened. The purpose of this request, in the terms of Article 91(1), is to obtain information necessary for the purpose of assessing compliance of the Provider with this Regulation, which the public record does not resolve.</w:t>
      </w:r>
    </w:p>
    <w:p>
      <w:pPr>
        <w:pStyle w:val="Heading2"/>
      </w:pPr>
      <w:bookmarkStart w:id="25" w:name="part-c-defined-terms"/>
      <w:r>
        <w:t xml:space="preserve">Part C: Defined terms</w:t>
      </w:r>
      <w:bookmarkEnd w:id="25"/>
    </w:p>
    <w:p>
      <w:pPr>
        <w:numPr>
          <w:ilvl w:val="0"/>
          <w:numId w:val="1003"/>
        </w:numPr>
        <w:pStyle w:val="Compact"/>
      </w:pPr>
      <w:r>
        <w:t xml:space="preserve">[Define each model by the Provider’s own designation. Do not define a model by a third party’s name for it.]</w:t>
      </w:r>
    </w:p>
    <w:p>
      <w:pPr>
        <w:pStyle w:val="Heading2"/>
      </w:pPr>
      <w:bookmarkStart w:id="26" w:name="part-d-information-required"/>
      <w:r>
        <w:t xml:space="preserve">Part D: Information required</w:t>
      </w:r>
      <w:bookmarkEnd w:id="26"/>
    </w:p>
    <w:p>
      <w:pPr>
        <w:pStyle w:val="FirstParagraph"/>
      </w:pPr>
      <w:r>
        <w:rPr>
          <w:i/>
        </w:rPr>
        <w:t xml:space="preserve">Nothing here requires an admission.</w:t>
      </w:r>
      <w:r>
        <w:t xml:space="preserve"> </w:t>
      </w:r>
      <w:r>
        <w:t xml:space="preserve">Where a request asks the Provider to state a position on the legal characterisation of facts, the Provider may answer or decline, no adverse inference will be drawn from declining, and nothing in this request requires the Provider to admit any infringement. The facts and documents requested are required; the reasoning about them is invited.</w:t>
      </w:r>
    </w:p>
    <w:p>
      <w:pPr>
        <w:pStyle w:val="BodyText"/>
      </w:pPr>
      <w:r>
        <w:rPr>
          <w:i/>
        </w:rPr>
        <w:t xml:space="preserve">Applicability does not limit production.</w:t>
      </w:r>
      <w:r>
        <w:t xml:space="preserve"> </w:t>
      </w:r>
      <w:r>
        <w:t xml:space="preserve">Where the Provider considers that a provision does not apply to a model, it shall nonetheless provide the internal documentation it holds covering the matters that provision describes, and may state its position on applicability separately.</w:t>
      </w:r>
    </w:p>
    <w:p>
      <w:pPr>
        <w:pStyle w:val="BodyText"/>
      </w:pPr>
      <w:r>
        <w:rPr>
          <w:i/>
        </w:rPr>
        <w:t xml:space="preserve">Legal professional privilege is preserved.</w:t>
      </w:r>
      <w:r>
        <w:t xml:space="preserve"> </w:t>
      </w:r>
      <w:r>
        <w:t xml:space="preserve">Nothing in this request requires production of communications protected by legal professional privilege as recognised in the case-law of the Court of Justice. Where the Provider withholds a document on that ground it shall provide a schedule identifying the document, its date, the category of author and recipient, and the basis of the claim. Privilege is not a ground for withholding the underlying facts or the dates on which steps were taken.</w:t>
      </w:r>
    </w:p>
    <w:p>
      <w:pPr>
        <w:pStyle w:val="BodyText"/>
      </w:pPr>
      <w:r>
        <w:rPr>
          <w:b/>
        </w:rPr>
        <w:t xml:space="preserve">Request 1</w:t>
      </w:r>
      <w:r>
        <w:t xml:space="preserve"> </w:t>
      </w:r>
      <w:r>
        <w:rPr>
          <w:i/>
        </w:rPr>
        <w:t xml:space="preserve">(Article 3, point (63); cross-walk row</w:t>
      </w:r>
      <w:r>
        <w:rPr>
          <w:i/>
        </w:rPr>
        <w:t xml:space="preserve"> </w:t>
      </w:r>
      <w:r>
        <w:rPr>
          <w:rStyle w:val="VerbatimChar"/>
          <w:i/>
        </w:rPr>
        <w:t xml:space="preserve">g0-scope-research-exclusion</w:t>
      </w:r>
      <w:r>
        <w:rPr>
          <w:i/>
        </w:rPr>
        <w:t xml:space="preserve">)</w:t>
      </w:r>
      <w:r>
        <w:t xml:space="preserve">. Model identity; training compute in FLOP with the estimation approach; whether the model was integrated into an own system put into service, when and where; whether it shares a large pre-training run with a model placed on the market; the provider’s position on Article 3, point (63) and Article 2(8), with dates.</w:t>
      </w:r>
    </w:p>
    <w:p>
      <w:pPr>
        <w:pStyle w:val="BodyText"/>
      </w:pPr>
      <w:r>
        <w:rPr>
          <w:b/>
        </w:rPr>
        <w:t xml:space="preserve">Request 2</w:t>
      </w:r>
      <w:r>
        <w:t xml:space="preserve"> </w:t>
      </w:r>
      <w:r>
        <w:rPr>
          <w:i/>
        </w:rPr>
        <w:t xml:space="preserve">(Article 55(1), point (a); cross-walk row</w:t>
      </w:r>
      <w:r>
        <w:rPr>
          <w:i/>
        </w:rPr>
        <w:t xml:space="preserve"> </w:t>
      </w:r>
      <w:r>
        <w:rPr>
          <w:rStyle w:val="VerbatimChar"/>
          <w:i/>
        </w:rPr>
        <w:t xml:space="preserve">g3-art55-1a-evaluation</w:t>
      </w:r>
      <w:r>
        <w:rPr>
          <w:i/>
        </w:rPr>
        <w:t xml:space="preserve">)</w:t>
      </w:r>
      <w:r>
        <w:t xml:space="preserve">. The evaluation protocol and the documented adversarial-testing record, or a pointer to where they sit within the Article 53(1)(a) documentation.</w:t>
      </w:r>
    </w:p>
    <w:p>
      <w:pPr>
        <w:pStyle w:val="BodyText"/>
      </w:pPr>
      <w:r>
        <w:rPr>
          <w:b/>
        </w:rPr>
        <w:t xml:space="preserve">Request 3</w:t>
      </w:r>
      <w:r>
        <w:t xml:space="preserve"> </w:t>
      </w:r>
      <w:r>
        <w:rPr>
          <w:i/>
        </w:rPr>
        <w:t xml:space="preserve">(Article 55(1), point (b); cross-walk row</w:t>
      </w:r>
      <w:r>
        <w:rPr>
          <w:i/>
        </w:rPr>
        <w:t xml:space="preserve"> </w:t>
      </w:r>
      <w:r>
        <w:rPr>
          <w:rStyle w:val="VerbatimChar"/>
          <w:i/>
        </w:rPr>
        <w:t xml:space="preserve">g3-art55-1b-systemic</w:t>
      </w:r>
      <w:r>
        <w:rPr>
          <w:i/>
        </w:rPr>
        <w:t xml:space="preserve">)</w:t>
      </w:r>
      <w:r>
        <w:t xml:space="preserve">. The risk assessment as it addresses sources, dated before July 2026.</w:t>
      </w:r>
    </w:p>
    <w:p>
      <w:pPr>
        <w:pStyle w:val="BodyText"/>
      </w:pPr>
      <w:r>
        <w:rPr>
          <w:b/>
        </w:rPr>
        <w:t xml:space="preserve">Request 4</w:t>
      </w:r>
      <w:r>
        <w:t xml:space="preserve"> </w:t>
      </w:r>
      <w:r>
        <w:rPr>
          <w:i/>
        </w:rPr>
        <w:t xml:space="preserve">(Article 55(1), point (d); cross-walk row</w:t>
      </w:r>
      <w:r>
        <w:rPr>
          <w:i/>
        </w:rPr>
        <w:t xml:space="preserve"> </w:t>
      </w:r>
      <w:r>
        <w:rPr>
          <w:rStyle w:val="VerbatimChar"/>
          <w:i/>
        </w:rPr>
        <w:t xml:space="preserve">g3-art55-1d-cybersecurity</w:t>
      </w:r>
      <w:r>
        <w:rPr>
          <w:i/>
        </w:rPr>
        <w:t xml:space="preserve">)</w:t>
      </w:r>
      <w:r>
        <w:t xml:space="preserve">. Egress control architecture before 9 July and following the 4 July rebuild.</w:t>
      </w:r>
    </w:p>
    <w:p>
      <w:pPr>
        <w:pStyle w:val="BodyText"/>
      </w:pPr>
      <w:r>
        <w:rPr>
          <w:b/>
        </w:rPr>
        <w:t xml:space="preserve">Request 5</w:t>
      </w:r>
      <w:r>
        <w:t xml:space="preserve"> </w:t>
      </w:r>
      <w:r>
        <w:rPr>
          <w:i/>
        </w:rPr>
        <w:t xml:space="preserve">(Article 3, point (49); cross-walk row</w:t>
      </w:r>
      <w:r>
        <w:rPr>
          <w:i/>
        </w:rPr>
        <w:t xml:space="preserve"> </w:t>
      </w:r>
      <w:r>
        <w:rPr>
          <w:rStyle w:val="VerbatimChar"/>
          <w:i/>
        </w:rPr>
        <w:t xml:space="preserve">g1-art3-49-limbs</w:t>
      </w:r>
      <w:r>
        <w:rPr>
          <w:i/>
        </w:rPr>
        <w:t xml:space="preserve">)</w:t>
      </w:r>
      <w:r>
        <w:t xml:space="preserve">. A determination by the Commission, or facts establishing serious harm to property within limb (d).</w:t>
      </w:r>
    </w:p>
    <w:p>
      <w:pPr>
        <w:pStyle w:val="BodyText"/>
      </w:pPr>
      <w:r>
        <w:rPr>
          <w:b/>
        </w:rPr>
        <w:t xml:space="preserve">Request 6</w:t>
      </w:r>
      <w:r>
        <w:t xml:space="preserve"> </w:t>
      </w:r>
      <w:r>
        <w:rPr>
          <w:i/>
        </w:rPr>
        <w:t xml:space="preserve">(Article 55(1), point (c); cross-walk row</w:t>
      </w:r>
      <w:r>
        <w:rPr>
          <w:i/>
        </w:rPr>
        <w:t xml:space="preserve"> </w:t>
      </w:r>
      <w:r>
        <w:rPr>
          <w:rStyle w:val="VerbatimChar"/>
          <w:i/>
        </w:rPr>
        <w:t xml:space="preserve">g2-art55-1c-timing</w:t>
      </w:r>
      <w:r>
        <w:rPr>
          <w:i/>
        </w:rPr>
        <w:t xml:space="preserve">)</w:t>
      </w:r>
      <w:r>
        <w:t xml:space="preserve">. A date, with the contemporaneous classification record; and the filing’s date and legal basis. For a Code signatory, the date the Provider became aware of its model’s involvement, which is when the Measure 9.3 periods start running, and the category it assigned under that Measure.</w:t>
      </w:r>
    </w:p>
    <w:p>
      <w:pPr>
        <w:pStyle w:val="Heading2"/>
      </w:pPr>
      <w:bookmarkStart w:id="27" w:name="part-e-period-for-response"/>
      <w:r>
        <w:t xml:space="preserve">Part E: Period for response</w:t>
      </w:r>
      <w:bookmarkEnd w:id="27"/>
    </w:p>
    <w:p>
      <w:pPr>
        <w:numPr>
          <w:ilvl w:val="0"/>
          <w:numId w:val="1004"/>
        </w:numPr>
      </w:pPr>
      <w:r>
        <w:t xml:space="preserve">The Provider shall supply the information requested by</w:t>
      </w:r>
      <w:r>
        <w:t xml:space="preserve"> </w:t>
      </w:r>
      <w:r>
        <w:rPr>
          <w:b/>
        </w:rPr>
        <w:t xml:space="preserve">[date]</w:t>
      </w:r>
      <w:r>
        <w:t xml:space="preserve">, being the period set by the Commission for the purposes of Article 91(4). [Consider tranching: one period for factual and status questions, a later one for document productions.]</w:t>
      </w:r>
    </w:p>
    <w:p>
      <w:pPr>
        <w:numPr>
          <w:ilvl w:val="0"/>
          <w:numId w:val="1004"/>
        </w:numPr>
      </w:pPr>
      <w:r>
        <w:t xml:space="preserve">Where the Provider considers that it cannot comply in full within that period, it may apply in writing, before the expiry of the period and with reasons, for an extension in respect of identified items. An extension takes effect only if granted by the Commission in writing.</w:t>
      </w:r>
    </w:p>
    <w:p>
      <w:pPr>
        <w:numPr>
          <w:ilvl w:val="0"/>
          <w:numId w:val="1004"/>
        </w:numPr>
      </w:pPr>
      <w:r>
        <w:t xml:space="preserve">Information supplied in response to this request is subject to Article 78. The Provider is not invited to withhold information on confidentiality grounds, but should identify material it considers confidential, including trade secrets, so that it may be handled accordingly.</w:t>
      </w:r>
    </w:p>
    <w:p>
      <w:pPr>
        <w:pStyle w:val="Heading2"/>
      </w:pPr>
      <w:bookmarkStart w:id="28" w:name="part-f-indication-of-fines-article-914"/>
      <w:r>
        <w:t xml:space="preserve">Part F: Indication of fines (Article 91(4))</w:t>
      </w:r>
      <w:bookmarkEnd w:id="28"/>
    </w:p>
    <w:p>
      <w:pPr>
        <w:numPr>
          <w:ilvl w:val="0"/>
          <w:numId w:val="1005"/>
        </w:numPr>
      </w:pPr>
      <w:r>
        <w:t xml:space="preserve">In accordance with Article 91(4), attention is drawn to</w:t>
      </w:r>
      <w:r>
        <w:t xml:space="preserve"> </w:t>
      </w:r>
      <w:r>
        <w:rPr>
          <w:b/>
        </w:rPr>
        <w:t xml:space="preserve">Article 101(1), point (b)</w:t>
      </w:r>
      <w:r>
        <w:t xml:space="preserve">, under which the Commission may impose on providers of general-purpose AI models fines not exceeding</w:t>
      </w:r>
      <w:r>
        <w:t xml:space="preserve"> </w:t>
      </w:r>
      <w:r>
        <w:rPr>
          <w:b/>
        </w:rPr>
        <w:t xml:space="preserve">3 % of annual total worldwide turnover in the preceding financial year or EUR 15 000 000, whichever is higher</w:t>
      </w:r>
      <w:r>
        <w:t xml:space="preserve">, where it finds that the provider intentionally or negligently “failed to comply with a request for a document or for information pursuant to Article 91, or supplied incorrect, incomplete or misleading information”.</w:t>
      </w:r>
    </w:p>
    <w:p>
      <w:pPr>
        <w:numPr>
          <w:ilvl w:val="0"/>
          <w:numId w:val="1005"/>
        </w:numPr>
      </w:pPr>
      <w:r>
        <w:t xml:space="preserve">In accordance with</w:t>
      </w:r>
      <w:r>
        <w:t xml:space="preserve"> </w:t>
      </w:r>
      <w:r>
        <w:rPr>
          <w:b/>
        </w:rPr>
        <w:t xml:space="preserve">Article 91(5)</w:t>
      </w:r>
      <w:r>
        <w:t xml:space="preserve">, the information requested shall be supplied by the Provider or its representative. Lawyers duly authorised to act may supply information on behalf of their clients; the Provider nevertheless remains fully responsible if the information supplied is incomplete, incorrect or misleading. The response shall be accompanied by a statement, signed by a person authorised to represent the Provider, that the information supplied is to the best of that person’s knowledge correct, complete and not misleading.</w:t>
      </w:r>
    </w:p>
    <w:p>
      <w:pPr>
        <w:numPr>
          <w:ilvl w:val="0"/>
          <w:numId w:val="1005"/>
        </w:numPr>
      </w:pPr>
      <w:r>
        <w:rPr>
          <w:b/>
        </w:rPr>
        <w:t xml:space="preserve">Format, channel and language.</w:t>
      </w:r>
      <w:r>
        <w:t xml:space="preserve"> </w:t>
      </w:r>
      <w:r>
        <w:t xml:space="preserve">The response shall be provided in English, in electronic form, to</w:t>
      </w:r>
      <w:r>
        <w:t xml:space="preserve"> </w:t>
      </w:r>
      <w:r>
        <w:rPr>
          <w:b/>
        </w:rPr>
        <w:t xml:space="preserve">[address]</w:t>
      </w:r>
      <w:r>
        <w:t xml:space="preserve">, with each item identified by the number of the request to which it responds.</w:t>
      </w:r>
    </w:p>
    <w:p>
      <w:pPr>
        <w:pStyle w:val="FirstParagraph"/>
      </w:pPr>
      <w:r>
        <w:rPr>
          <w:b/>
        </w:rPr>
        <w:t xml:space="preserve">[Signature block—to be completed by the issuing authority]</w:t>
      </w:r>
    </w:p>
    <w:p>
      <w:r>
        <w:pict>
          <v:rect style="width:0;height:1.5pt" o:hralign="center" o:hrstd="t" o:hr="t"/>
        </w:pict>
      </w:r>
    </w:p>
    <w:p>
      <w:pPr>
        <w:pStyle w:val="Heading2"/>
      </w:pPr>
      <w:bookmarkStart w:id="29" w:name="X2ecfd563578182d834c27c78d8905702a6a9b0c"/>
      <w:r>
        <w:t xml:space="preserve">Issuing note (not for the addressee): what would not settle each request</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Row</w:t>
            </w:r>
          </w:p>
        </w:tc>
        <w:tc>
          <w:tcPr>
            <w:tcBorders>
              <w:bottom w:val="single"/>
            </w:tcBorders>
            <w:vAlign w:val="bottom"/>
          </w:tcPr>
          <w:p>
            <w:pPr>
              <w:pStyle w:val="Compact"/>
              <w:jc w:val="left"/>
            </w:pPr>
            <w:r>
              <w:t xml:space="preserve">What would not settle it</w:t>
            </w:r>
          </w:p>
        </w:tc>
      </w:tr>
      <w:tr>
        <w:tc>
          <w:p>
            <w:pPr>
              <w:pStyle w:val="Compact"/>
              <w:jc w:val="left"/>
            </w:pPr>
            <w:r>
              <w:t xml:space="preserve">1</w:t>
            </w:r>
          </w:p>
        </w:tc>
        <w:tc>
          <w:p>
            <w:pPr>
              <w:pStyle w:val="Compact"/>
              <w:jc w:val="left"/>
            </w:pPr>
            <w:r>
              <w:rPr>
                <w:rStyle w:val="VerbatimChar"/>
              </w:rPr>
              <w:t xml:space="preserve">g0-scope-research-exclusion</w:t>
            </w:r>
          </w:p>
        </w:tc>
        <w:tc>
          <w:p>
            <w:pPr>
              <w:pStyle w:val="Compact"/>
              <w:jc w:val="left"/>
            </w:pPr>
            <w:r>
              <w:t xml:space="preserve">A description of the model as internal or unreleased, without the reasoning and dates that make it a position. Equally, an assertion that Recital 115 brings development-stage conduct into scope—a recital cannot derogate from enacting terms.</w:t>
            </w:r>
          </w:p>
        </w:tc>
      </w:tr>
      <w:tr>
        <w:tc>
          <w:p>
            <w:pPr>
              <w:pStyle w:val="Compact"/>
              <w:jc w:val="left"/>
            </w:pPr>
            <w:r>
              <w:t xml:space="preserve">2</w:t>
            </w:r>
          </w:p>
        </w:tc>
        <w:tc>
          <w:p>
            <w:pPr>
              <w:pStyle w:val="Compact"/>
              <w:jc w:val="left"/>
            </w:pPr>
            <w:r>
              <w:rPr>
                <w:rStyle w:val="VerbatimChar"/>
              </w:rPr>
              <w:t xml:space="preserve">g3-art55-1a-evaluation</w:t>
            </w:r>
          </w:p>
        </w:tc>
        <w:tc>
          <w:p>
            <w:pPr>
              <w:pStyle w:val="Compact"/>
              <w:jc w:val="left"/>
            </w:pPr>
            <w:r>
              <w:t xml:space="preserve">Public descriptions of the evaluation’s difficulty.</w:t>
            </w:r>
          </w:p>
        </w:tc>
      </w:tr>
      <w:tr>
        <w:tc>
          <w:p>
            <w:pPr>
              <w:pStyle w:val="Compact"/>
              <w:jc w:val="left"/>
            </w:pPr>
            <w:r>
              <w:t xml:space="preserve">3</w:t>
            </w:r>
          </w:p>
        </w:tc>
        <w:tc>
          <w:p>
            <w:pPr>
              <w:pStyle w:val="Compact"/>
              <w:jc w:val="left"/>
            </w:pPr>
            <w:r>
              <w:rPr>
                <w:rStyle w:val="VerbatimChar"/>
              </w:rPr>
              <w:t xml:space="preserve">g3-art55-1b-systemic</w:t>
            </w:r>
          </w:p>
        </w:tc>
        <w:tc>
          <w:p>
            <w:pPr>
              <w:pStyle w:val="Compact"/>
              <w:jc w:val="left"/>
            </w:pPr>
            <w:r>
              <w:t xml:space="preserve">Post-incident remediation commitments.</w:t>
            </w:r>
          </w:p>
        </w:tc>
      </w:tr>
      <w:tr>
        <w:tc>
          <w:p>
            <w:pPr>
              <w:pStyle w:val="Compact"/>
              <w:jc w:val="left"/>
            </w:pPr>
            <w:r>
              <w:t xml:space="preserve">4</w:t>
            </w:r>
          </w:p>
        </w:tc>
        <w:tc>
          <w:p>
            <w:pPr>
              <w:pStyle w:val="Compact"/>
              <w:jc w:val="left"/>
            </w:pPr>
            <w:r>
              <w:rPr>
                <w:rStyle w:val="VerbatimChar"/>
              </w:rPr>
              <w:t xml:space="preserve">g3-art55-1d-cybersecurity</w:t>
            </w:r>
          </w:p>
        </w:tc>
        <w:tc>
          <w:p>
            <w:pPr>
              <w:pStyle w:val="Compact"/>
              <w:jc w:val="left"/>
            </w:pPr>
            <w:r>
              <w:t xml:space="preserve">A description of the exploit chain, which is already public.</w:t>
            </w:r>
          </w:p>
        </w:tc>
      </w:tr>
      <w:tr>
        <w:tc>
          <w:p>
            <w:pPr>
              <w:pStyle w:val="Compact"/>
              <w:jc w:val="left"/>
            </w:pPr>
            <w:r>
              <w:t xml:space="preserve">5</w:t>
            </w:r>
          </w:p>
        </w:tc>
        <w:tc>
          <w:p>
            <w:pPr>
              <w:pStyle w:val="Compact"/>
              <w:jc w:val="left"/>
            </w:pPr>
            <w:r>
              <w:rPr>
                <w:rStyle w:val="VerbatimChar"/>
              </w:rPr>
              <w:t xml:space="preserve">g1-art3-49-limbs</w:t>
            </w:r>
          </w:p>
        </w:tc>
        <w:tc>
          <w:p>
            <w:pPr>
              <w:pStyle w:val="Compact"/>
              <w:jc w:val="left"/>
            </w:pPr>
            <w:r>
              <w:t xml:space="preserve">The provider’s internal classification of the episode, which uses a taxonomy the Regulation does not employ.</w:t>
            </w:r>
          </w:p>
        </w:tc>
      </w:tr>
      <w:tr>
        <w:tc>
          <w:p>
            <w:pPr>
              <w:pStyle w:val="Compact"/>
              <w:jc w:val="left"/>
            </w:pPr>
            <w:r>
              <w:t xml:space="preserve">6</w:t>
            </w:r>
          </w:p>
        </w:tc>
        <w:tc>
          <w:p>
            <w:pPr>
              <w:pStyle w:val="Compact"/>
              <w:jc w:val="left"/>
            </w:pPr>
            <w:r>
              <w:rPr>
                <w:rStyle w:val="VerbatimChar"/>
              </w:rPr>
              <w:t xml:space="preserve">g2-art55-1c-timing</w:t>
            </w:r>
          </w:p>
        </w:tc>
        <w:tc>
          <w:p>
            <w:pPr>
              <w:pStyle w:val="Compact"/>
              <w:jc w:val="left"/>
            </w:pPr>
            <w:r>
              <w:t xml:space="preserve">The public disclosure date, which is not the same as the date the view was formed. Nor confirmation that ‘a report was filed’ without its particulars.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4">
    <w:nsid w:val="71315dca"/>
    <w:multiLevelType w:val="multilevel"/>
    <w:lvl w:ilvl="0">
      <w:start w:val="4"/>
      <w:numFmt w:val="decimal"/>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Roman"/>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Roman"/>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Roman"/>
      <w:lvlText w:val="%9."/>
      <w:lvlJc w:val="left"/>
      <w:pPr>
        <w:tabs>
          <w:tab w:val="num" w:pos="5760"/>
        </w:tabs>
        <w:ind w:left="6240" w:hanging="480"/>
      </w:pPr>
    </w:lvl>
  </w:abstractNum>
  <w:abstractNum w:abstractNumId="99216">
    <w:nsid w:val="47261bad"/>
    <w:multiLevelType w:val="multilevel"/>
    <w:lvl w:ilvl="0">
      <w:start w:val="6"/>
      <w:numFmt w:val="decimal"/>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Roman"/>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Roman"/>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lowerLetter"/>
      <w:lvlText w:val="%8."/>
      <w:lvlJc w:val="left"/>
      <w:pPr>
        <w:tabs>
          <w:tab w:val="num" w:pos="5040"/>
        </w:tabs>
        <w:ind w:left="5520" w:hanging="480"/>
      </w:pPr>
    </w:lvl>
    <w:lvl w:ilvl="8">
      <w:start w:val="6"/>
      <w:numFmt w:val="lowerRoman"/>
      <w:lvlText w:val="%9."/>
      <w:lvlJc w:val="left"/>
      <w:pPr>
        <w:tabs>
          <w:tab w:val="num" w:pos="5760"/>
        </w:tabs>
        <w:ind w:left="6240" w:hanging="480"/>
      </w:pPr>
    </w:lvl>
  </w:abstractNum>
  <w:abstractNum w:abstractNumId="99217">
    <w:nsid w:val="b3cbbdee"/>
    <w:multiLevelType w:val="multilevel"/>
    <w:lvl w:ilvl="0">
      <w:start w:val="7"/>
      <w:numFmt w:val="decimal"/>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Roman"/>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Roman"/>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lowerLetter"/>
      <w:lvlText w:val="%8."/>
      <w:lvlJc w:val="left"/>
      <w:pPr>
        <w:tabs>
          <w:tab w:val="num" w:pos="5040"/>
        </w:tabs>
        <w:ind w:left="5520" w:hanging="480"/>
      </w:pPr>
    </w:lvl>
    <w:lvl w:ilvl="8">
      <w:start w:val="7"/>
      <w:numFmt w:val="lowerRoman"/>
      <w:lvlText w:val="%9."/>
      <w:lvlJc w:val="left"/>
      <w:pPr>
        <w:tabs>
          <w:tab w:val="num" w:pos="5760"/>
        </w:tabs>
        <w:ind w:left="6240" w:hanging="480"/>
      </w:pPr>
    </w:lvl>
  </w:abstractNum>
  <w:abstractNum w:abstractNumId="992110">
    <w:nsid w:val="4fbe019a"/>
    <w:multiLevelType w:val="multilevel"/>
    <w:lvl w:ilvl="0">
      <w:start w:val="10"/>
      <w:numFmt w:val="decimal"/>
      <w:lvlText w:val="%1."/>
      <w:lvlJc w:val="left"/>
      <w:pPr>
        <w:tabs>
          <w:tab w:val="num" w:pos="0"/>
        </w:tabs>
        <w:ind w:left="480" w:hanging="480"/>
      </w:pPr>
    </w:lvl>
    <w:lvl w:ilvl="1">
      <w:start w:val="10"/>
      <w:numFmt w:val="lowerLetter"/>
      <w:lvlText w:val="%2."/>
      <w:lvlJc w:val="left"/>
      <w:pPr>
        <w:tabs>
          <w:tab w:val="num" w:pos="720"/>
        </w:tabs>
        <w:ind w:left="1200" w:hanging="480"/>
      </w:pPr>
    </w:lvl>
    <w:lvl w:ilvl="2">
      <w:start w:val="10"/>
      <w:numFmt w:val="lowerRoman"/>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lowerLetter"/>
      <w:lvlText w:val="%5."/>
      <w:lvlJc w:val="left"/>
      <w:pPr>
        <w:tabs>
          <w:tab w:val="num" w:pos="2880"/>
        </w:tabs>
        <w:ind w:left="3360" w:hanging="480"/>
      </w:pPr>
    </w:lvl>
    <w:lvl w:ilvl="5">
      <w:start w:val="10"/>
      <w:numFmt w:val="lowerRoman"/>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lowerLetter"/>
      <w:lvlText w:val="%8."/>
      <w:lvlJc w:val="left"/>
      <w:pPr>
        <w:tabs>
          <w:tab w:val="num" w:pos="5040"/>
        </w:tabs>
        <w:ind w:left="5520" w:hanging="480"/>
      </w:pPr>
    </w:lvl>
    <w:lvl w:ilvl="8">
      <w:start w:val="10"/>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2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2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2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request</dc:title>
  <dc:creator/>
  <cp:keywords/>
  <dcterms:created xsi:type="dcterms:W3CDTF">2026-09-14T07:13:29Z</dcterms:created>
  <dcterms:modified xsi:type="dcterms:W3CDTF">2026-09-14T07:13:29Z</dcterms:modified>
</cp:coreProperties>
</file>

<file path=docProps/custom.xml><?xml version="1.0" encoding="utf-8"?>
<Properties xmlns="http://schemas.openxmlformats.org/officeDocument/2006/custom-properties" xmlns:vt="http://schemas.openxmlformats.org/officeDocument/2006/docPropsVTypes"/>
</file>