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the-wiki-episode"/>
      <w:r>
        <w:t xml:space="preserve">The wiki episode</w:t>
      </w:r>
      <w:bookmarkEnd w:id="24"/>
    </w:p>
    <w:p>
      <w:pPr>
        <w:pStyle w:val="FirstParagraph"/>
      </w:pPr>
      <w:r>
        <w:t xml:space="preserve">The same three facts govern the models whose agents wrote to the wiki between May and June 2026, and the matrix reads the same way for them. Two differences. First, the record does not say which models they were: the independent analysis attributes the edits to agents presenting themselves as the provider’s systems, and the provider’s acknowledgment does not name a model, so Request 1’s identification question comes before anything in §1. Second, a report on that episode has been filed with the Commission and its receipt confirmed, so if §1 resolves at A, B or C for those models the timing question at Request 11a is live from the date of awareness—and if it resolves at D, a report was filed on a model to which Article 55(1), point (c) did not apply, which is worth knowing too.</w:t>
      </w:r>
    </w:p>
    <w:p>
      <w:pPr>
        <w:pStyle w:val="Heading2"/>
      </w:pPr>
      <w:bookmarkStart w:id="25" w:name="reading-the-matrix-against-this-incident"/>
      <w:r>
        <w:t xml:space="preserve">Reading the matrix against this incident</w:t>
      </w:r>
      <w:bookmarkEnd w:id="25"/>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2026-09-13T14:40:39Z</dcterms:created>
  <dcterms:modified xsi:type="dcterms:W3CDTF">2026-09-13T14:40:39Z</dcterms:modified>
</cp:coreProperties>
</file>

<file path=docProps/custom.xml><?xml version="1.0" encoding="utf-8"?>
<Properties xmlns="http://schemas.openxmlformats.org/officeDocument/2006/custom-properties" xmlns:vt="http://schemas.openxmlformats.org/officeDocument/2006/docPropsVTypes"/>
</file>