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article 91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It has not been issued.</w:t>
      </w:r>
    </w:p>
    <w:p>
      <w:pPr>
        <w:pStyle w:val="BlockText"/>
      </w:pPr>
      <w:r>
        <w:t xml:space="preserve">Drafted by an external researcher as a submission to the Apart Research / CeSIA</w:t>
      </w:r>
      <w:r>
        <w:t xml:space="preserve"> </w:t>
      </w:r>
      <w:r>
        <w:rPr>
          <w:i/>
        </w:rPr>
        <w:t xml:space="preserve">AI Incident Response Sprint</w:t>
      </w:r>
      <w:r>
        <w:t xml:space="preserve">, 11–13 September 2026. It is</w:t>
      </w:r>
      <w:r>
        <w:t xml:space="preserve"> </w:t>
      </w:r>
      <w:r>
        <w:rPr>
          <w:b/>
        </w:rPr>
        <w:t xml:space="preserve">not</w:t>
      </w:r>
      <w:r>
        <w:t xml:space="preserve"> </w:t>
      </w:r>
      <w:r>
        <w:t xml:space="preserve">a document of the European Commission, the AI Office, or any Union body; it has not been adopted, sent, or endorsed by any of them; and no Union body was consulted in its preparation.</w:t>
      </w:r>
    </w:p>
    <w:p>
      <w:pPr>
        <w:pStyle w:val="BlockText"/>
      </w:pPr>
      <w:r>
        <w:t xml:space="preserve">All fields requiring an issuing authority’s input—reference number, date, signatory, response address—are left as explicit placeholders in square brackets, deliberately</w:t>
      </w:r>
      <w:r>
        <w:t xml:space="preserve"> </w:t>
      </w:r>
      <w:r>
        <w:rPr>
          <w:b/>
        </w:rPr>
        <w:t xml:space="preserve">not</w:t>
      </w:r>
      <w:r>
        <w:t xml:space="preserve"> </w:t>
      </w:r>
      <w:r>
        <w:t xml:space="preserve">filled with plausible values, so that this document cannot be mistaken for or repurposed as an issued request.</w:t>
      </w:r>
    </w:p>
    <w:p>
      <w:pPr>
        <w:pStyle w:val="BlockText"/>
      </w:pPr>
      <w:r>
        <w:t xml:space="preserve">Its purpose is to show that the unresolved questions identified in the accompanying analysis can be expressed in the form the Regulation prescribes, and to offer drafting a competent authority could adapt.</w:t>
      </w:r>
    </w:p>
    <w:p>
      <w:pPr>
        <w:pStyle w:val="BlockText"/>
      </w:pPr>
      <w:r>
        <w:t xml:space="preserve">It is one document of an enforcement pack. The reasoning behind each request is in</w:t>
      </w:r>
      <w:r>
        <w:t xml:space="preserve"> </w:t>
      </w:r>
      <w:r>
        <w:rPr>
          <w:rStyle w:val="VerbatimChar"/>
        </w:rPr>
        <w:t xml:space="preserve">issuing-note.md</w:t>
      </w:r>
      <w:r>
        <w:t xml:space="preserve">; what each answer does is in</w:t>
      </w:r>
      <w:r>
        <w:t xml:space="preserve"> </w:t>
      </w:r>
      <w:r>
        <w:rPr>
          <w:rStyle w:val="VerbatimChar"/>
        </w:rPr>
        <w:t xml:space="preserve">answer-matrix.md</w:t>
      </w:r>
      <w:r>
        <w:t xml:space="preserve">; the whole is introduced by</w:t>
      </w:r>
      <w:r>
        <w:t xml:space="preserve"> </w:t>
      </w:r>
      <w:r>
        <w:rPr>
          <w:rStyle w:val="VerbatimChar"/>
        </w:rPr>
        <w:t xml:space="preserve">cover-note.md</w:t>
      </w:r>
      <w:r>
        <w:t xml:space="preserve">.</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 and, the Provider being established in a third country, its authorised representative established in the Union appointed under Article 54, on whom this request is also served</w:t>
      </w:r>
      <w:r>
        <w:t xml:space="preserve"> </w:t>
      </w:r>
      <w:r>
        <w:rPr>
          <w:b/>
        </w:rPr>
        <w:t xml:space="preserve">Issued by:</w:t>
      </w:r>
      <w:r>
        <w:t xml:space="preserve"> </w:t>
      </w:r>
      <w:r>
        <w:t xml:space="preserve">[European Commission—“the Commission”]</w:t>
      </w:r>
    </w:p>
    <w:p>
      <w:r>
        <w:pict>
          <v:rect style="width:0;height:1.5pt" o:hralign="center" o:hrstd="t" o:hr="t"/>
        </w:pic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w:t>
      </w:r>
    </w:p>
    <w:p>
      <w:pPr>
        <w:numPr>
          <w:ilvl w:val="0"/>
          <w:numId w:val="1001"/>
        </w:numPr>
      </w:pPr>
      <w:r>
        <w:t xml:space="preserve">No alternative basis is stated. Article 91(3) is not another label for the same act: it requires a duly substantiated request from the scientific panel, already made, and a finding that access is necessary and proportionate for the fulfilment of that panel’s tasks. Those conditions either exist on the date of signature or they do not, and a request that reserves the choice states no basis at all. Where the scientific panel has made such a request, a separate instrument should be issued under Article 91(3) reciting it and its date.</w:t>
      </w:r>
    </w:p>
    <w:p>
      <w:pPr>
        <w:numPr>
          <w:ilvl w:val="0"/>
          <w:numId w:val="1001"/>
        </w:numPr>
      </w:pPr>
      <w:r>
        <w:t xml:space="preserve">The provisions to which the requested information relates are</w:t>
      </w:r>
      <w:r>
        <w:t xml:space="preserve"> </w:t>
      </w:r>
      <w:r>
        <w:rPr>
          <w:b/>
        </w:rPr>
        <w:t xml:space="preserve">Articles 2(1), point (a), 2(8), 3 points (3), (9), (10), (11), (57) and (63), 51, 52(1), 53(1)(a)</w:t>
      </w:r>
      <w:r>
        <w:t xml:space="preserve"> </w:t>
      </w:r>
      <w:r>
        <w:t xml:space="preserve">and</w:t>
      </w:r>
      <w:r>
        <w:t xml:space="preserve"> </w:t>
      </w:r>
      <w:r>
        <w:rPr>
          <w:b/>
        </w:rPr>
        <w:t xml:space="preserve">Article 55(1) and (2)</w:t>
      </w:r>
      <w:r>
        <w:t xml:space="preserve">, together with</w:t>
      </w:r>
      <w:r>
        <w:t xml:space="preserve"> </w:t>
      </w:r>
      <w:r>
        <w:rPr>
          <w:b/>
        </w:rPr>
        <w:t xml:space="preserve">Recital 97</w:t>
      </w:r>
      <w:r>
        <w:t xml:space="preserve">; and, for Request 11c alone,</w:t>
      </w:r>
      <w:r>
        <w:t xml:space="preserve"> </w:t>
      </w:r>
      <w:r>
        <w:rPr>
          <w:b/>
        </w:rPr>
        <w:t xml:space="preserve">Articles 6, 73 and 75(1) and (1a)</w:t>
      </w:r>
      <w:r>
        <w:t xml:space="preserve">. Chapter V has applied since 2 August 2025 pursuant to Article 113, point (b); Article 91 itself, in Chapter IX, has applied since 2 August 2026 under the general rule in Article 113. The Code of Practice for General-Purpose AI Models, Safety and Security Chapter, is relevant to Requests 11a and 12 by operation of Article 55(2).</w:t>
      </w:r>
    </w:p>
    <w:p>
      <w:pPr>
        <w:pStyle w:val="FirstParagraph"/>
      </w:pPr>
      <w:r>
        <w:t xml:space="preserve">3a.</w:t>
      </w:r>
      <w:r>
        <w:t xml:space="preserve"> </w:t>
      </w: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[The act of adoption and the signatory’s delegated competence are to be recited here by the issuing authority; both are internal to the Commission and are not drafted by an external author.]</w:t>
      </w:r>
    </w:p>
    <w:p>
      <w:pPr>
        <w:pStyle w:val="Heading2"/>
      </w:pPr>
      <w:bookmarkStart w:id="24" w:name="part-b-purpose"/>
      <w:r>
        <w:t xml:space="preserve">Part B: Purpose</w:t>
      </w:r>
      <w:bookmarkEnd w:id="24"/>
    </w:p>
    <w:p>
      <w:pPr>
        <w:numPr>
          <w:ilvl w:val="0"/>
          <w:numId w:val="1002"/>
        </w:numPr>
      </w:pPr>
      <w:r>
        <w:t xml:space="preserve">The Commission is considering two publicly reported episodes involving AI models developed by the Provider:</w:t>
      </w:r>
    </w:p>
    <w:p>
      <w:pPr>
        <w:numPr>
          <w:ilvl w:val="0"/>
          <w:numId w:val="1000"/>
        </w:numPr>
      </w:pPr>
      <w:r>
        <w:t xml:space="preserve">(a) the reported access to and activity within the production infrastructure of a third party between 9 and 13 July 2026, which the Provider attributed to its own models on 21 July 2026; and</w:t>
      </w:r>
    </w:p>
    <w:p>
      <w:pPr>
        <w:numPr>
          <w:ilvl w:val="0"/>
          <w:numId w:val="1000"/>
        </w:numPr>
      </w:pPr>
      <w:r>
        <w:t xml:space="preserve">(b) reported writing activity on a third-party community wiki between 24 May and 22 June 2026, with a further attempted burst on 1–2 July 2026, publicly reported by independent researchers on 4 September 2026 and acknowledged by the Provider on 5 September 2026.</w:t>
      </w:r>
    </w:p>
    <w:p>
      <w:pPr>
        <w:numPr>
          <w:ilvl w:val="0"/>
          <w:numId w:val="1002"/>
        </w:numPr>
      </w:pPr>
      <w:r>
        <w:t xml:space="preserve">The Commission has</w:t>
      </w:r>
      <w:r>
        <w:t xml:space="preserve"> </w:t>
      </w:r>
      <w:r>
        <w:rPr>
          <w:b/>
        </w:rPr>
        <w:t xml:space="preserve">not</w:t>
      </w:r>
      <w:r>
        <w:t xml:space="preserve"> </w:t>
      </w:r>
      <w:r>
        <w:t xml:space="preserve">formed a view that either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in particular with Articles 52(1), 53(1) and 55(1), which the public record does not resolve.</w:t>
      </w:r>
    </w:p>
    <w:p>
      <w:pPr>
        <w:numPr>
          <w:ilvl w:val="0"/>
          <w:numId w:val="1002"/>
        </w:numPr>
      </w:pPr>
      <w:r>
        <w:rPr>
          <w:b/>
        </w:rPr>
        <w:t xml:space="preserve">The threshold question is one of scope.</w:t>
      </w:r>
      <w:r>
        <w:t xml:space="preserve"> </w:t>
      </w:r>
      <w:r>
        <w:t xml:space="preserve">Article 3, point (63) excludes from the definition of ‘general-purpose AI model’ those models “used for research, development or prototyping activities before they are placed on the market”, and Article 2(8) excludes pre-market research, testing and development activity. Public accounts describe the model principally involved in the episode at paragraph 4(a) as an internal research model not intended for release. Whether that model was placed on the market, in the Union, and carries systemic risk are facts on which the application of Chapter V depends, and they are asked first, at Section I. The Provider is invited, not required, to state its position on them.</w:t>
      </w:r>
    </w:p>
    <w:p>
      <w:pPr>
        <w:pStyle w:val="Heading2"/>
      </w:pPr>
      <w:bookmarkStart w:id="25" w:name="part-c-defined-terms"/>
      <w:r>
        <w:t xml:space="preserve">Part C: Defined terms</w:t>
      </w:r>
      <w:bookmarkEnd w:id="25"/>
    </w:p>
    <w:p>
      <w:pPr>
        <w:numPr>
          <w:ilvl w:val="0"/>
          <w:numId w:val="1003"/>
        </w:numPr>
      </w:pPr>
      <w:r>
        <w:t xml:space="preserve">In this request:</w:t>
      </w:r>
    </w:p>
    <w:p>
      <w:pPr>
        <w:numPr>
          <w:ilvl w:val="0"/>
          <w:numId w:val="1000"/>
        </w:numPr>
      </w:pPr>
      <w:r>
        <w:rPr>
          <w:b/>
        </w:rPr>
        <w:t xml:space="preserve">“the Research Model”</w:t>
      </w:r>
      <w:r>
        <w:t xml:space="preserve"> </w:t>
      </w:r>
      <w:r>
        <w:t xml:space="preserve">means the model the Provider itself designated “IM1” in its published account of 26 August 2026. A third party’s report of the same date refers to a model it designates “HPIM”; whether that designation refers to the Research Model is among the matters on which information is requested (Request 1), and nothing in this request requires the Provider to construe the third party’s nomenclature.</w:t>
      </w:r>
    </w:p>
    <w:p>
      <w:pPr>
        <w:numPr>
          <w:ilvl w:val="0"/>
          <w:numId w:val="1000"/>
        </w:numPr>
      </w:pPr>
      <w:r>
        <w:rPr>
          <w:b/>
        </w:rPr>
        <w:t xml:space="preserve">“the Deployed Model”</w:t>
      </w:r>
      <w:r>
        <w:t xml:space="preserve"> </w:t>
      </w:r>
      <w:r>
        <w:t xml:space="preserve">means the model publicly designated GPT-5.6 Sol. The label is for the purposes of this request only; it is not a determination that the model is a general-purpose AI model with systemic risk within Article 51, which Requests 2 and 5 ask about.</w:t>
      </w:r>
    </w:p>
    <w:p>
      <w:pPr>
        <w:numPr>
          <w:ilvl w:val="0"/>
          <w:numId w:val="1000"/>
        </w:numPr>
      </w:pPr>
      <w:r>
        <w:rPr>
          <w:b/>
        </w:rPr>
        <w:t xml:space="preserve">“the Evaluation”</w:t>
      </w:r>
      <w:r>
        <w:t xml:space="preserve"> </w:t>
      </w:r>
      <w:r>
        <w:t xml:space="preserve">means the cyber-capability evaluation during which the episode at paragraph 4(a) originated.</w:t>
      </w:r>
    </w:p>
    <w:p>
      <w:pPr>
        <w:numPr>
          <w:ilvl w:val="0"/>
          <w:numId w:val="1000"/>
        </w:numPr>
      </w:pPr>
      <w:r>
        <w:rPr>
          <w:b/>
        </w:rPr>
        <w:t xml:space="preserve">“the Code”</w:t>
      </w:r>
      <w:r>
        <w:t xml:space="preserve"> </w:t>
      </w:r>
      <w:r>
        <w:t xml:space="preserve">means the General-Purpose AI Code of Practice.</w:t>
      </w:r>
    </w:p>
    <w:p>
      <w:pPr>
        <w:pStyle w:val="Heading2"/>
      </w:pPr>
      <w:bookmarkStart w:id="26" w:name="part-d-information-required"/>
      <w:r>
        <w:t xml:space="preserve">Part D: Information required</w:t>
      </w:r>
      <w:bookmarkEnd w:id="26"/>
    </w:p>
    <w:p>
      <w:pPr>
        <w:pStyle w:val="FirstParagraph"/>
      </w:pPr>
      <w:r>
        <w:rPr>
          <w:b/>
        </w:rPr>
        <w:t xml:space="preserve">Before the requests, four things that govern all of them.</w:t>
      </w:r>
    </w:p>
    <w:p>
      <w:pPr>
        <w:pStyle w:val="BodyText"/>
      </w:pPr>
      <w:r>
        <w:rPr>
          <w:i/>
        </w:rPr>
        <w:t xml:space="preserve">Nothing here requires an admission.</w:t>
      </w:r>
      <w:r>
        <w:t xml:space="preserve"> </w:t>
      </w:r>
      <w:r>
        <w:t xml:space="preserve">The Commission has formed no view that any obligation has been contravened. Where a request below asks the Provider to state a position on the legal characterisation of facts—whether a model falls within Article 3, point (63), whether activity fell within Article 2(8), which of the conditions in Recital 97 it relies on—the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 The scope of a request is not conditional on that position.</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without disclosing the privileged content. Privilege is not a ground for withholding the underlying facts, or the dates on which steps were taken. The privilege recognised in that case-law protects communications with</w:t>
      </w:r>
      <w:r>
        <w:t xml:space="preserve"> </w:t>
      </w:r>
      <w:r>
        <w:rPr>
          <w:b/>
        </w:rPr>
        <w:t xml:space="preserve">independent</w:t>
      </w:r>
      <w:r>
        <w:t xml:space="preserve"> </w:t>
      </w:r>
      <w:r>
        <w:t xml:space="preserve">lawyers, meaning lawyers not bound to the client by a relationship of employment (</w:t>
      </w:r>
      <w:r>
        <w:rPr>
          <w:i/>
        </w:rPr>
        <w:t xml:space="preserve">AM &amp; S</w:t>
      </w:r>
      <w:r>
        <w:t xml:space="preserve">, 155/79, ¶21), and it does not cover exchanges within a company or group with in-house lawyers (</w:t>
      </w:r>
      <w:r>
        <w:rPr>
          <w:i/>
        </w:rPr>
        <w:t xml:space="preserve">Akzo Nobel</w:t>
      </w:r>
      <w:r>
        <w:t xml:space="preserve">, C-550/07 P, ¶44). A claim of privilege over the Provider’s own internal legal consideration of the episodes is to be assessed on that footing.</w:t>
      </w:r>
    </w:p>
    <w:p>
      <w:pPr>
        <w:pStyle w:val="BodyText"/>
      </w:pPr>
      <w:r>
        <w:rPr>
          <w:i/>
        </w:rPr>
        <w:t xml:space="preserve">No structured dialogue has been initiated</w:t>
      </w:r>
      <w:r>
        <w:t xml:space="preserve"> </w:t>
      </w:r>
      <w:r>
        <w:t xml:space="preserve">under Article 91(2) in respect of these matters. The Commission remains willing to engage with the Provider in addition to this request.</w:t>
      </w:r>
    </w:p>
    <w:p>
      <w:pPr>
        <w:pStyle w:val="Heading3"/>
      </w:pPr>
      <w:bookmarkStart w:id="27" w:name="Xabbe7b8f0477a2fbffba580e08873d97d0074e7"/>
      <w:r>
        <w:t xml:space="preserve">Section I: Scope and status of the models concerned</w:t>
      </w:r>
      <w:bookmarkEnd w:id="27"/>
    </w:p>
    <w:p>
      <w:pPr>
        <w:pStyle w:val="FirstParagraph"/>
      </w:pPr>
      <w:r>
        <w:rPr>
          <w:b/>
        </w:rPr>
        <w:t xml:space="preserve">Request 1.</w:t>
      </w:r>
      <w:r>
        <w:t xml:space="preserve"> </w:t>
      </w:r>
      <w:r>
        <w:t xml:space="preserve">Identify, by the Provider’s own designation, every model whose agents took part in the episode at paragraph 4(a), and state the role of each. State whether the model the independent investigation designates “HPIM” is the Research Model.</w:t>
      </w:r>
    </w:p>
    <w:p>
      <w:pPr>
        <w:pStyle w:val="BodyText"/>
      </w:pPr>
      <w:r>
        <w:rPr>
          <w:b/>
        </w:rPr>
        <w:t xml:space="preserve">Request 2.</w:t>
      </w:r>
      <w:r>
        <w:t xml:space="preserve"> </w:t>
      </w:r>
      <w:r>
        <w:t xml:space="preserve">For the Research Model, state the cumulative amount of computation used for its training, measured in floating-point operations, estimated in accordance with the approach set out in the Annex to the Commission’s guidelines of 19 November 2025 (C(2025) 7719 final), together with a description of the approach used to estimate it; and state whether that amount exceeds 10²⁵ FLOP for the purposes of the presumption in Article 51(2).</w:t>
      </w:r>
    </w:p>
    <w:p>
      <w:pPr>
        <w:pStyle w:val="BodyText"/>
      </w:pPr>
      <w:r>
        <w:rPr>
          <w:b/>
        </w:rPr>
        <w:t xml:space="preserve">Request 2a.</w:t>
      </w:r>
      <w:r>
        <w:t xml:space="preserve"> </w:t>
      </w:r>
      <w:r>
        <w:t xml:space="preserve">Independently of the figure sought at Request 2, state the Provider’s position on each of the criteria in</w:t>
      </w:r>
      <w:r>
        <w:t xml:space="preserve"> </w:t>
      </w:r>
      <w:r>
        <w:rPr>
          <w:b/>
        </w:rPr>
        <w:t xml:space="preserve">Annex XIII</w:t>
      </w:r>
      <w:r>
        <w:t xml:space="preserve"> </w:t>
      </w:r>
      <w:r>
        <w:t xml:space="preserve">as they apply to the Research Model, and in particular criterion (e): the benchmarks and evaluations of its capabilities, including the number of tasks performed without additional training, its adaptability to new and distinct tasks,</w:t>
      </w:r>
      <w:r>
        <w:t xml:space="preserve"> </w:t>
      </w:r>
      <w:r>
        <w:rPr>
          <w:b/>
        </w:rPr>
        <w:t xml:space="preserve">its level of autonomy and scalability, and the tools to which it had access</w:t>
      </w:r>
      <w:r>
        <w:t xml:space="preserve"> </w:t>
      </w:r>
      <w:r>
        <w:t xml:space="preserve">during the Evaluation.</w:t>
      </w:r>
    </w:p>
    <w:p>
      <w:pPr>
        <w:pStyle w:val="BodyText"/>
      </w:pPr>
      <w:r>
        <w:rPr>
          <w:b/>
        </w:rPr>
        <w:t xml:space="preserve">Request 2b.</w:t>
      </w:r>
      <w:r>
        <w:t xml:space="preserve"> </w:t>
      </w:r>
      <w:r>
        <w:t xml:space="preserve">State whether the Research Model was developed downstream of the same large pre-training run as any general-purpose AI model the Provider has placed on the market, identifying that model; and state whether the Research Model, or any model developed downstream of the same large pre-training run, is or was at any time intended for placing on the market, with the date of any decision to that effect or against it.</w:t>
      </w:r>
    </w:p>
    <w:p>
      <w:pPr>
        <w:pStyle w:val="BodyText"/>
      </w:pPr>
      <w:r>
        <w:rPr>
          <w:b/>
        </w:rPr>
        <w:t xml:space="preserve">Request 3.</w:t>
      </w:r>
      <w:r>
        <w:t xml:space="preserve"> </w:t>
      </w:r>
      <w:r>
        <w:t xml:space="preserve">State the Provider’s position on whether the Research Model falls within the exception in</w:t>
      </w:r>
      <w:r>
        <w:t xml:space="preserve"> </w:t>
      </w:r>
      <w:r>
        <w:rPr>
          <w:b/>
        </w:rPr>
        <w:t xml:space="preserve">Article 3, point (63)</w:t>
      </w:r>
      <w:r>
        <w:t xml:space="preserve"> </w:t>
      </w:r>
      <w:r>
        <w:t xml:space="preserve">for “AI models that are used for research, development or prototyping activities before they are placed on the market”, together with the reasons for that position and the date from which it is said to apply.</w:t>
      </w:r>
    </w:p>
    <w:p>
      <w:pPr>
        <w:pStyle w:val="BodyText"/>
      </w:pPr>
      <w:r>
        <w:rPr>
          <w:b/>
        </w:rPr>
        <w:t xml:space="preserve">Request 4.</w:t>
      </w:r>
      <w:r>
        <w:t xml:space="preserve"> </w:t>
      </w:r>
      <w:r>
        <w:t xml:space="preserve">State whether any part of the Evaluation involved use of the model in real-world conditions outside a laboratory or simulated environment, and if so describe the environment, the systems and third parties reachable from it, and the dates. Provide the records evidencing the environment and its egress configuration.</w:t>
      </w:r>
    </w:p>
    <w:p>
      <w:pPr>
        <w:pStyle w:val="BodyText"/>
      </w:pPr>
      <w:r>
        <w:rPr>
          <w:b/>
        </w:rPr>
        <w:t xml:space="preserve">Request 4a.</w:t>
      </w:r>
      <w:r>
        <w:t xml:space="preserve"> </w:t>
      </w:r>
      <w:r>
        <w:t xml:space="preserve">State whether the Research Model was</w:t>
      </w:r>
      <w:r>
        <w:t xml:space="preserve"> </w:t>
      </w:r>
      <w:r>
        <w:rPr>
          <w:b/>
        </w:rPr>
        <w:t xml:space="preserve">integrated into an AI system of the Provider’s own</w:t>
      </w:r>
      <w:r>
        <w:t xml:space="preserve"> </w:t>
      </w:r>
      <w:r>
        <w:t xml:space="preserve">which was made available on the market or</w:t>
      </w:r>
      <w:r>
        <w:t xml:space="preserve"> </w:t>
      </w:r>
      <w:r>
        <w:rPr>
          <w:b/>
        </w:rPr>
        <w:t xml:space="preserve">put into service</w:t>
      </w:r>
      <w:r>
        <w:t xml:space="preserve"> </w:t>
      </w:r>
      <w:r>
        <w:t xml:space="preserve">within the meaning of Article 3, point (11), including for the Provider’s own use, at any time before or after the Evaluation; if so, state when, and</w:t>
      </w:r>
      <w:r>
        <w:t xml:space="preserve"> </w:t>
      </w:r>
      <w:r>
        <w:rPr>
          <w:b/>
        </w:rPr>
        <w:t xml:space="preserve">where</w:t>
      </w:r>
      <w:r>
        <w:t xml:space="preserve">—in particular whether that system was made available or put into service in the Union, whether staff or systems located in the Union used it, and whether its output was used in the Union. State whether, and on what date, the Provider appointed an authorised representative under Article 54 in respect of the Research Model or of any model developed downstream of the same large pre-training run. If the Provider contends the model nonetheless falls outside the obligations for models, it may state which of the conditions set out in Recital 97 it relies on.</w:t>
      </w:r>
    </w:p>
    <w:p>
      <w:pPr>
        <w:pStyle w:val="BodyText"/>
      </w:pPr>
      <w:r>
        <w:rPr>
          <w:b/>
        </w:rPr>
        <w:t xml:space="preserve">Request 5.</w:t>
      </w:r>
      <w:r>
        <w:t xml:space="preserve"> </w:t>
      </w:r>
      <w:r>
        <w:t xml:space="preserve">State whether the Provider has made any notification to the Commission under</w:t>
      </w:r>
      <w:r>
        <w:t xml:space="preserve"> </w:t>
      </w:r>
      <w:r>
        <w:rPr>
          <w:b/>
        </w:rPr>
        <w:t xml:space="preserve">Article 52(1)</w:t>
      </w:r>
      <w:r>
        <w:t xml:space="preserve"> </w:t>
      </w:r>
      <w:r>
        <w:t xml:space="preserve">in respect of either the Research Model or the Deployed Model, and if so its date; or, if not, the basis on which it considers no such obligation arose.</w:t>
      </w:r>
    </w:p>
    <w:p>
      <w:pPr>
        <w:pStyle w:val="Heading3"/>
      </w:pPr>
      <w:bookmarkStart w:id="28" w:name="X8e9f80986bfdc82a900b3ce224e356ec580389e"/>
      <w:r>
        <w:t xml:space="preserve">Section II: Evaluation design and documentation (Articles 53(1)(a), 55(1)(a))</w:t>
      </w:r>
      <w:bookmarkEnd w:id="28"/>
    </w:p>
    <w:p>
      <w:pPr>
        <w:pStyle w:val="FirstParagraph"/>
      </w:pPr>
      <w:r>
        <w:rPr>
          <w:b/>
        </w:rPr>
        <w:t xml:space="preserve">Request 6.</w:t>
      </w:r>
      <w:r>
        <w:t xml:space="preserve"> </w:t>
      </w:r>
      <w:r>
        <w:t xml:space="preserve">Provide the technical documentation drawn up under Article 53(1), point (a) for the Deployed Model, and for the Research Model to the extent the Provider considers that provision to apply to it, insofar as it concerns the training and testing process and the results of evaluation, limited to the Evaluation.</w:t>
      </w:r>
    </w:p>
    <w:p>
      <w:pPr>
        <w:pStyle w:val="BodyText"/>
      </w:pPr>
      <w:r>
        <w:rPr>
          <w:b/>
        </w:rPr>
        <w:t xml:space="preserve">Request 7.</w:t>
      </w:r>
      <w:r>
        <w:t xml:space="preserve"> </w:t>
      </w:r>
      <w:r>
        <w:t xml:space="preserve">Provide the protocol governing the Evaluation, including its containment and network-egress requirements, the basis on which safeguards the Provider has described as “system prompts, harnesses, and control mechanisms such as our auto-review models and safety classifiers” were not applied in the evaluation environment, and the record of adversarial testing documented pursuant to Article 55(1), point (a).</w:t>
      </w:r>
    </w:p>
    <w:p>
      <w:pPr>
        <w:pStyle w:val="Heading3"/>
      </w:pPr>
      <w:bookmarkStart w:id="29" w:name="Xeb4055895cfa503f21973c7886d9dca311480ae"/>
      <w:r>
        <w:t xml:space="preserve">Section III: Systemic risk and cybersecurity (Article 55(1), points (b) and (d))</w:t>
      </w:r>
      <w:bookmarkEnd w:id="29"/>
    </w:p>
    <w:p>
      <w:pPr>
        <w:pStyle w:val="FirstParagraph"/>
      </w:pPr>
      <w:r>
        <w:rPr>
          <w:b/>
        </w:rPr>
        <w:t xml:space="preserve">Request 8.</w:t>
      </w:r>
      <w:r>
        <w:t xml:space="preserve"> </w:t>
      </w:r>
      <w:r>
        <w:t xml:space="preserve">Provide the assessment of systemic risks at Union level conducted pursuant to</w:t>
      </w:r>
      <w:r>
        <w:t xml:space="preserve"> </w:t>
      </w:r>
      <w:r>
        <w:rPr>
          <w:b/>
        </w:rPr>
        <w:t xml:space="preserve">Article 55(1), point (b)</w:t>
      </w:r>
      <w:r>
        <w:t xml:space="preserve"> </w:t>
      </w:r>
      <w:r>
        <w:t xml:space="preserve">in respect of the Deployed Model, insofar as it addresses</w:t>
      </w:r>
      <w:r>
        <w:t xml:space="preserve"> </w:t>
      </w:r>
      <w:r>
        <w:rPr>
          <w:b/>
        </w:rPr>
        <w:t xml:space="preserve">sources</w:t>
      </w:r>
      <w:r>
        <w:t xml:space="preserve"> </w:t>
      </w:r>
      <w:r>
        <w:t xml:space="preserve">of systemic risk, and state whether loss of containment of a model during internal evaluation was identified as such a source before July 2026.</w:t>
      </w:r>
    </w:p>
    <w:p>
      <w:pPr>
        <w:pStyle w:val="BodyText"/>
      </w:pPr>
      <w:r>
        <w:rPr>
          <w:b/>
        </w:rPr>
        <w:t xml:space="preserve">Request 9.</w:t>
      </w:r>
      <w:r>
        <w:t xml:space="preserve"> </w:t>
      </w:r>
      <w:r>
        <w:t xml:space="preserve">Provide documentation of the cybersecurity protection maintained pursuant to</w:t>
      </w:r>
      <w:r>
        <w:t xml:space="preserve"> </w:t>
      </w:r>
      <w:r>
        <w:rPr>
          <w:b/>
        </w:rPr>
        <w:t xml:space="preserve">Article 55(1), point (d)</w:t>
      </w:r>
      <w:r>
        <w:t xml:space="preserve">, addressing the matters Recital 115 identifies for consideration, and covering: (a) the egress control architecture in place before 9 July 2026; (b) the server-side request forgery against the remote-repository service by which outbound requests were reportedly issued on the models’ behalf; and (c) the position following the rebuild of that service after the outage of 4 July 2026.</w:t>
      </w:r>
    </w:p>
    <w:p>
      <w:pPr>
        <w:pStyle w:val="Heading3"/>
      </w:pPr>
      <w:bookmarkStart w:id="30" w:name="Xb95c3c397e887adae1f6ef4872523cfaa4f2a37"/>
      <w:r>
        <w:t xml:space="preserve">Section IV: Tracking, classification and reporting (Article 55(1)(c), Article 55(2))</w:t>
      </w:r>
      <w:bookmarkEnd w:id="30"/>
    </w:p>
    <w:p>
      <w:pPr>
        <w:pStyle w:val="FirstParagraph"/>
      </w:pPr>
      <w:r>
        <w:rPr>
          <w:b/>
        </w:rPr>
        <w:t xml:space="preserve">Request 10.</w:t>
      </w:r>
      <w:r>
        <w:t xml:space="preserve"> </w:t>
      </w:r>
      <w:r>
        <w:t xml:space="preserve">For each episode at paragraph 4, provide the records maintained pursuant to the obligation at Article 55(1), point (c) to “keep track of” and “document” relevant information, to the extent the Provider considers that provision to apply.</w:t>
      </w:r>
    </w:p>
    <w:p>
      <w:pPr>
        <w:pStyle w:val="BodyText"/>
      </w:pPr>
      <w:r>
        <w:rPr>
          <w:b/>
        </w:rPr>
        <w:t xml:space="preserve">Request 11.</w:t>
      </w:r>
      <w:r>
        <w:t xml:space="preserve"> </w:t>
      </w:r>
      <w:r>
        <w:t xml:space="preserve">For each episode, state the date on which the Provider first formed the view that the episode had occurred, and the date on which it first considered whether the episode constituted a serious incident within Article 3, point (49), with the record of that consideration and its outcome; and state whether any report has been made to the Commission, the AI Office or any national competent authority, with its date and the provision relied on.</w:t>
      </w:r>
    </w:p>
    <w:p>
      <w:pPr>
        <w:pStyle w:val="BodyText"/>
      </w:pPr>
      <w:r>
        <w:rPr>
          <w:b/>
        </w:rPr>
        <w:t xml:space="preserve">Request 11a.</w:t>
      </w:r>
      <w:r>
        <w:t xml:space="preserve"> </w:t>
      </w:r>
      <w:r>
        <w:t xml:space="preserve">Where the Provider adheres to the Code of Practice, state for each episode</w:t>
      </w:r>
      <w:r>
        <w:t xml:space="preserve"> </w:t>
      </w:r>
      <w:r>
        <w:rPr>
          <w:b/>
        </w:rPr>
        <w:t xml:space="preserve">the date on which it became aware of the involvement of its model</w:t>
      </w:r>
      <w:r>
        <w:t xml:space="preserve">, that being the date from which the periods in Measure 9.3 of the Safety and Security Chapter run, and the date on which it first established or suspected with reasonable likelihood a causal relationship between its model and the event. State which of the four categories in Measure 9.3 it assigned to each episode,</w:t>
      </w:r>
      <w:r>
        <w:t xml:space="preserve"> </w:t>
      </w:r>
      <w:r>
        <w:rPr>
          <w:b/>
        </w:rPr>
        <w:t xml:space="preserve">including whether either was treated as “a serious cybersecurity breach, including the (self-)exfiltration of model weights and cyberattacks”</w:t>
      </w:r>
      <w:r>
        <w:t xml:space="preserve">, and provide the initial, intermediate and final reports submitted under that Measure, or state that none were submitted and on what basis.</w:t>
      </w:r>
    </w:p>
    <w:p>
      <w:pPr>
        <w:pStyle w:val="BodyText"/>
      </w:pPr>
      <w:r>
        <w:rPr>
          <w:b/>
        </w:rPr>
        <w:t xml:space="preserve">Request 11b.</w:t>
      </w:r>
      <w:r>
        <w:t xml:space="preserve"> </w:t>
      </w:r>
      <w:r>
        <w:t xml:space="preserve">State, for each episode, whether and on what basis the Provider considered Article 55(1), point (c) to apply to it, and where the Provider considered that it did not apply, the reasoning. The Provider is invited, not required, to say whether it applied the reading of that provision set out at paragraph (100) of the Commission guidelines of 19 November 2025 (C(2025) 7719 final), or the definition at Article 3, point (49), or another basis.</w:t>
      </w:r>
    </w:p>
    <w:p>
      <w:pPr>
        <w:pStyle w:val="BodyText"/>
      </w:pPr>
      <w:r>
        <w:rPr>
          <w:b/>
        </w:rPr>
        <w:t xml:space="preserve">Request 11c.</w:t>
      </w:r>
      <w:r>
        <w:t xml:space="preserve"> </w:t>
      </w:r>
      <w:r>
        <w:t xml:space="preserve">State whether the Research Model was integrated into any AI system of the Provider, or of an undertaking of which the Provider forms part, and for each such system state whether the Provider classifies it as a high-risk AI system within the meaning of Article 6. Where it does, state whether any serious incident concerning that system was reported to the AI Office under</w:t>
      </w:r>
      <w:r>
        <w:t xml:space="preserve"> </w:t>
      </w:r>
      <w:r>
        <w:rPr>
          <w:b/>
        </w:rPr>
        <w:t xml:space="preserve">Article 75(1a)</w:t>
      </w:r>
      <w:r>
        <w:t xml:space="preserve"> </w:t>
      </w:r>
      <w:r>
        <w:t xml:space="preserve">in respect of either episode, on what date, and provide the report. Where the Provider considers that no such system is high-risk, state the basis.</w:t>
      </w:r>
    </w:p>
    <w:p>
      <w:pPr>
        <w:pStyle w:val="BodyText"/>
      </w:pPr>
      <w:r>
        <w:rPr>
          <w:b/>
        </w:rPr>
        <w:t xml:space="preserve">Request 12.</w:t>
      </w:r>
      <w:r>
        <w:t xml:space="preserve"> </w:t>
      </w:r>
      <w:r>
        <w:t xml:space="preserve">State whether the Provider relies on the Code to demonstrate compliance under</w:t>
      </w:r>
      <w:r>
        <w:t xml:space="preserve"> </w:t>
      </w:r>
      <w:r>
        <w:rPr>
          <w:b/>
        </w:rPr>
        <w:t xml:space="preserve">Article 55(2)</w:t>
      </w:r>
      <w:r>
        <w:t xml:space="preserve"> </w:t>
      </w:r>
      <w:r>
        <w:t xml:space="preserve">or on alternative adequate means; and provide, as applicable, the Safety and Security Framework and the Safety and Security Model Report insofar as either bears on the episodes at paragraph 4.</w:t>
      </w:r>
    </w:p>
    <w:p>
      <w:r>
        <w:pict>
          <v:rect style="width:0;height:1.5pt" o:hralign="center" o:hrstd="t" o:hr="t"/>
        </w:pict>
      </w:r>
    </w:p>
    <w:p>
      <w:pPr>
        <w:pStyle w:val="Heading2"/>
      </w:pPr>
      <w:bookmarkStart w:id="31" w:name="part-e-period-for-response"/>
      <w:r>
        <w:t xml:space="preserve">Part E: Period for response</w:t>
      </w:r>
      <w:bookmarkEnd w:id="31"/>
    </w:p>
    <w:p>
      <w:pPr>
        <w:numPr>
          <w:ilvl w:val="0"/>
          <w:numId w:val="1004"/>
        </w:numPr>
      </w:pPr>
      <w:r>
        <w:t xml:space="preserve">The Provider shall supply the information requested at Section I by</w:t>
      </w:r>
      <w:r>
        <w:t xml:space="preserve"> </w:t>
      </w:r>
      <w:r>
        <w:rPr>
          <w:b/>
        </w:rPr>
        <w:t xml:space="preserve">[date]</w:t>
      </w:r>
      <w:r>
        <w:t xml:space="preserve">, and the information and documents requested at Sections II to IV by</w:t>
      </w:r>
      <w:r>
        <w:t xml:space="preserve"> </w:t>
      </w:r>
      <w:r>
        <w:rPr>
          <w:b/>
        </w:rPr>
        <w:t xml:space="preserve">[date]</w:t>
      </w:r>
      <w:r>
        <w:t xml:space="preserve">, those being the periods set by the Commission for the purposes of Article 91(4).</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 Absent such a grant, the period set at paragraph 9 applies to the whole of this request.</w:t>
      </w:r>
    </w:p>
    <w:p>
      <w:pPr>
        <w:numPr>
          <w:ilvl w:val="0"/>
          <w:numId w:val="1004"/>
        </w:numPr>
      </w:pPr>
      <w:r>
        <w:t xml:space="preserve">Information supplied in response to this request is subject to Article 78, which applies to information and data obtained by the Commission in carrying out its tasks under the Regulation, and which does not prevent the sharing, use in proceedings or disclosure that Article 78 itself and Union law otherwise permit. The Provider is not invited to withhold information on confidentiality grounds, but should identify material it considers confidential, including trade secrets, so that it may be handled accordingly.</w:t>
      </w:r>
    </w:p>
    <w:p>
      <w:pPr>
        <w:pStyle w:val="Heading2"/>
      </w:pPr>
      <w:bookmarkStart w:id="32" w:name="part-f-indication-of-fines-article-914"/>
      <w:r>
        <w:t xml:space="preserve">Part F: Indication of fines (Article 91(4))</w:t>
      </w:r>
      <w:bookmarkEnd w:id="32"/>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in the case of legal persons, companies or firms, by the persons authorised to represent them by law or by their statutes.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 and identifying any request to which a complete answer has not been given and why.</w:t>
      </w:r>
    </w:p>
    <w:p>
      <w:pPr>
        <w:numPr>
          <w:ilvl w:val="0"/>
          <w:numId w:val="1005"/>
        </w:numPr>
      </w:pPr>
      <w:r>
        <w:rPr>
          <w:b/>
        </w:rPr>
        <w:t xml:space="preserve">Temporal scope.</w:t>
      </w:r>
      <w:r>
        <w:t xml:space="preserve"> </w:t>
      </w:r>
      <w:r>
        <w:t xml:space="preserve">Article 101 has applied since 2 August 2026, Article 113, point (b) having excepted it from the earlier application date of Chapter XII. Paragraph 12 concerns compliance with this request, and nothing in this request states a position on the application of Article 101(1), point (a) to any conduct.</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of information and each document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33" w:name="annex-provisions-relied-on"/>
      <w:r>
        <w:t xml:space="preserve">Annex: provisions relied on</w:t>
      </w:r>
      <w:bookmarkEnd w:id="33"/>
    </w:p>
    <w:p>
      <w:pPr>
        <w:pStyle w:val="FirstParagraph"/>
      </w:pPr>
      <w:r>
        <w:t xml:space="preserve">Regulation (EU) 2024/1689, OJ L, 2024/1689, 12.7.2024; consolidated text CELEX</w:t>
      </w:r>
      <w:r>
        <w:t xml:space="preserve"> </w:t>
      </w:r>
      <w:r>
        <w:rPr>
          <w:rStyle w:val="VerbatimChar"/>
        </w:rPr>
        <w:t xml:space="preserve">02024R1689-20260727</w:t>
      </w:r>
      <w:r>
        <w:t xml:space="preserve">, incorporating Regulation (EU) 2026/1744. Articles 2(1), point (a), 2(8), 3 points (1), (3), (9), (10), (11), (47), (49), (57), (62), (63), (66), 6, 51, 52, 53(1)(a), 55, 68, 73, 75, 78, 90, 91, 101, 113. Recitals 97, 114 and 115 from the authentic Official Journal text, CELEX</w:t>
      </w:r>
      <w:r>
        <w:t xml:space="preserve"> </w:t>
      </w:r>
      <w:r>
        <w:rPr>
          <w:rStyle w:val="VerbatimChar"/>
        </w:rPr>
        <w:t xml:space="preserve">32024R1689</w:t>
      </w:r>
      <w:r>
        <w:t xml:space="preserve">, the consolidated text omitting recitals. Commission guidelines C(2025) 7719 final, paragraphs 22, 51, 54 and 100, and the Annex on training compute.</w:t>
      </w:r>
    </w:p>
    <w:p>
      <w:pPr>
        <w:pStyle w:val="BodyText"/>
      </w:pPr>
      <w:r>
        <w:t xml:space="preserve">Directive (EU) 2022/2557, OJ L 333, 27.12.2022, Article 2, points (1), (4) and (5), as imported by Article 3, point (62) of the Regulation.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7">
    <w:nsid w:val="47261bad"/>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9">
    <w:nsid w:val="b3cbbdee"/>
    <w:multiLevelType w:val="multilevel"/>
    <w:lvl w:ilvl="0">
      <w:start w:val="9"/>
      <w:numFmt w:val="decimal"/>
      <w:lvlText w:val="%1."/>
      <w:lvlJc w:val="left"/>
      <w:pPr>
        <w:tabs>
          <w:tab w:val="num" w:pos="0"/>
        </w:tabs>
        <w:ind w:left="480" w:hanging="480"/>
      </w:pPr>
    </w:lvl>
    <w:lvl w:ilvl="1">
      <w:start w:val="9"/>
      <w:numFmt w:val="lowerLetter"/>
      <w:lvlText w:val="%2."/>
      <w:lvlJc w:val="left"/>
      <w:pPr>
        <w:tabs>
          <w:tab w:val="num" w:pos="720"/>
        </w:tabs>
        <w:ind w:left="1200" w:hanging="480"/>
      </w:pPr>
    </w:lvl>
    <w:lvl w:ilvl="2">
      <w:start w:val="9"/>
      <w:numFmt w:val="lowerRoman"/>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lowerLetter"/>
      <w:lvlText w:val="%5."/>
      <w:lvlJc w:val="left"/>
      <w:pPr>
        <w:tabs>
          <w:tab w:val="num" w:pos="2880"/>
        </w:tabs>
        <w:ind w:left="3360" w:hanging="480"/>
      </w:pPr>
    </w:lvl>
    <w:lvl w:ilvl="5">
      <w:start w:val="9"/>
      <w:numFmt w:val="lowerRoman"/>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lowerLetter"/>
      <w:lvlText w:val="%8."/>
      <w:lvlJc w:val="left"/>
      <w:pPr>
        <w:tabs>
          <w:tab w:val="num" w:pos="5040"/>
        </w:tabs>
        <w:ind w:left="5520" w:hanging="480"/>
      </w:pPr>
    </w:lvl>
    <w:lvl w:ilvl="8">
      <w:start w:val="9"/>
      <w:numFmt w:val="lowerRoman"/>
      <w:lvlText w:val="%9."/>
      <w:lvlJc w:val="left"/>
      <w:pPr>
        <w:tabs>
          <w:tab w:val="num" w:pos="5760"/>
        </w:tabs>
        <w:ind w:left="6240" w:hanging="480"/>
      </w:pPr>
    </w:lvl>
  </w:abstractNum>
  <w:abstractNum w:abstractNumId="992112">
    <w:nsid w:val="4fbe019a"/>
    <w:multiLevelType w:val="multilevel"/>
    <w:lvl w:ilvl="0">
      <w:start w:val="12"/>
      <w:numFmt w:val="decimal"/>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Roman"/>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Roman"/>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lowerLetter"/>
      <w:lvlText w:val="%8."/>
      <w:lvlJc w:val="left"/>
      <w:pPr>
        <w:tabs>
          <w:tab w:val="num" w:pos="5040"/>
        </w:tabs>
        <w:ind w:left="5520" w:hanging="480"/>
      </w:pPr>
    </w:lvl>
    <w:lvl w:ilvl="8">
      <w:start w:val="12"/>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2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2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article 91 request</dc:title>
  <dc:creator/>
  <cp:keywords/>
  <dcterms:created xsi:type="dcterms:W3CDTF">2026-09-13T14:40:39Z</dcterms:created>
  <dcterms:modified xsi:type="dcterms:W3CDTF">2026-09-13T14:40:39Z</dcterms:modified>
</cp:coreProperties>
</file>

<file path=docProps/custom.xml><?xml version="1.0" encoding="utf-8"?>
<Properties xmlns="http://schemas.openxmlformats.org/officeDocument/2006/custom-properties" xmlns:vt="http://schemas.openxmlformats.org/officeDocument/2006/docPropsVTypes"/>
</file>