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 article 91 request</w:t>
      </w:r>
    </w:p>
    <w:p>
      <w:r>
        <w:pict>
          <v:rect style="width:0;height:1.5pt" o:hralign="center" o:hrstd="t" o:hr="t"/>
        </w:pict>
      </w:r>
    </w:p>
    <w:p>
      <w:pPr>
        <w:pStyle w:val="Heading2"/>
      </w:pPr>
      <w:bookmarkStart w:id="20" w:name="X32f49316695db949efb5e4d5324cd01f0cb9c15"/>
      <w:r>
        <w:t xml:space="preserve">⚠ PROVENANCE—READ FIRST</w:t>
      </w:r>
      <w:bookmarkEnd w:id="20"/>
    </w:p>
    <w:p>
      <w:pPr>
        <w:pStyle w:val="BlockText"/>
      </w:pPr>
      <w:r>
        <w:rPr>
          <w:b/>
        </w:rPr>
        <w:t xml:space="preserve">This is a MODEL instrument. It has not been issued.</w:t>
      </w:r>
    </w:p>
    <w:p>
      <w:pPr>
        <w:pStyle w:val="BlockText"/>
      </w:pPr>
      <w:r>
        <w:t xml:space="preserve">Drafted by an external researcher as a submission to the Apart Research / CeSIA</w:t>
      </w:r>
      <w:r>
        <w:t xml:space="preserve"> </w:t>
      </w:r>
      <w:r>
        <w:rPr>
          <w:i/>
        </w:rPr>
        <w:t xml:space="preserve">AI Incident Response Sprint</w:t>
      </w:r>
      <w:r>
        <w:t xml:space="preserve">, 11–13 September 2026. It is</w:t>
      </w:r>
      <w:r>
        <w:t xml:space="preserve"> </w:t>
      </w:r>
      <w:r>
        <w:rPr>
          <w:b/>
        </w:rPr>
        <w:t xml:space="preserve">not</w:t>
      </w:r>
      <w:r>
        <w:t xml:space="preserve"> </w:t>
      </w:r>
      <w:r>
        <w:t xml:space="preserve">a document of the European Commission, the AI Office, or any Union body; it has not been adopted, sent, or endorsed by any of them; and no Union body was consulted in its preparation.</w:t>
      </w:r>
    </w:p>
    <w:p>
      <w:pPr>
        <w:pStyle w:val="BlockText"/>
      </w:pPr>
      <w:r>
        <w:t xml:space="preserve">All fields requiring an issuing authority’s input—reference number, date, signatory, response address—are left as explicit placeholders in square brackets, deliberately</w:t>
      </w:r>
      <w:r>
        <w:t xml:space="preserve"> </w:t>
      </w:r>
      <w:r>
        <w:rPr>
          <w:b/>
        </w:rPr>
        <w:t xml:space="preserve">not</w:t>
      </w:r>
      <w:r>
        <w:t xml:space="preserve"> </w:t>
      </w:r>
      <w:r>
        <w:t xml:space="preserve">filled with plausible values, so that this document cannot be mistaken for or repurposed as an issued request.</w:t>
      </w:r>
    </w:p>
    <w:p>
      <w:pPr>
        <w:pStyle w:val="BlockText"/>
      </w:pPr>
      <w:r>
        <w:t xml:space="preserve">Its purpose is to show that the unresolved questions identified in the accompanying analysis can be expressed in the form the Regulation prescribes, and to offer drafting a competent authority could adapt.</w:t>
      </w:r>
    </w:p>
    <w:p>
      <w:pPr>
        <w:pStyle w:val="BlockText"/>
      </w:pPr>
      <w:r>
        <w:t xml:space="preserve">It is one document of an enforcement pack. The reasoning behind each request is in</w:t>
      </w:r>
      <w:r>
        <w:t xml:space="preserve"> </w:t>
      </w:r>
      <w:r>
        <w:rPr>
          <w:rStyle w:val="VerbatimChar"/>
        </w:rPr>
        <w:t xml:space="preserve">issuing-note.md</w:t>
      </w:r>
      <w:r>
        <w:t xml:space="preserve">; what each answer does is in</w:t>
      </w:r>
      <w:r>
        <w:t xml:space="preserve"> </w:t>
      </w:r>
      <w:r>
        <w:rPr>
          <w:rStyle w:val="VerbatimChar"/>
        </w:rPr>
        <w:t xml:space="preserve">answer-matrix.md</w:t>
      </w:r>
      <w:r>
        <w:t xml:space="preserve">; the whole is introduced by</w:t>
      </w:r>
      <w:r>
        <w:t xml:space="preserve"> </w:t>
      </w:r>
      <w:r>
        <w:rPr>
          <w:rStyle w:val="VerbatimChar"/>
        </w:rPr>
        <w:t xml:space="preserve">cover-note.md</w:t>
      </w:r>
      <w:r>
        <w:t xml:space="preserve">.</w:t>
      </w:r>
    </w:p>
    <w:p>
      <w:r>
        <w:pict>
          <v:rect style="width:0;height:1.5pt" o:hralign="center" o:hrstd="t" o:hr="t"/>
        </w:pict>
      </w:r>
    </w:p>
    <w:p>
      <w:pPr>
        <w:pStyle w:val="Heading1"/>
      </w:pPr>
      <w:bookmarkStart w:id="21" w:name="model-request-for-information"/>
      <w:r>
        <w:t xml:space="preserve">MODEL REQUEST FOR INFORMATION</w:t>
      </w:r>
      <w:bookmarkEnd w:id="21"/>
    </w:p>
    <w:p>
      <w:pPr>
        <w:pStyle w:val="Heading3"/>
      </w:pPr>
      <w:bookmarkStart w:id="22" w:name="X015028fccd58ab28b0770611eecabed70d7e02b"/>
      <w:r>
        <w:t xml:space="preserve">under Article 91 of Regulation (EU) 2024/1689</w:t>
      </w:r>
      <w:bookmarkEnd w:id="22"/>
    </w:p>
    <w:p>
      <w:pPr>
        <w:pStyle w:val="FirstParagraph"/>
      </w:pPr>
      <w:r>
        <w:rPr>
          <w:b/>
        </w:rPr>
        <w:t xml:space="preserve">Reference:</w:t>
      </w:r>
      <w:r>
        <w:t xml:space="preserve"> </w:t>
      </w:r>
      <w:r>
        <w:t xml:space="preserve">[to be assigned by the issuing authority]</w:t>
      </w:r>
      <w:r>
        <w:t xml:space="preserve"> </w:t>
      </w:r>
      <w:r>
        <w:rPr>
          <w:b/>
        </w:rPr>
        <w:t xml:space="preserve">Date:</w:t>
      </w:r>
      <w:r>
        <w:t xml:space="preserve"> </w:t>
      </w:r>
      <w:r>
        <w:t xml:space="preserve">[to be inserted]</w:t>
      </w:r>
      <w:r>
        <w:t xml:space="preserve"> </w:t>
      </w:r>
      <w:r>
        <w:rPr>
          <w:b/>
        </w:rPr>
        <w:t xml:space="preserve">Addressee:</w:t>
      </w:r>
      <w:r>
        <w:t xml:space="preserve"> </w:t>
      </w:r>
      <w:r>
        <w:t xml:space="preserve">[Provider concerned—“the Provider”], and, the Provider being established in a third country, its authorised representative established in the Union appointed under Article 54, on whom this request is also served</w:t>
      </w:r>
      <w:r>
        <w:t xml:space="preserve"> </w:t>
      </w:r>
      <w:r>
        <w:rPr>
          <w:b/>
        </w:rPr>
        <w:t xml:space="preserve">Issued by:</w:t>
      </w:r>
      <w:r>
        <w:t xml:space="preserve"> </w:t>
      </w:r>
      <w:r>
        <w:t xml:space="preserve">[European Commission—“the Commission”]</w:t>
      </w:r>
    </w:p>
    <w:p>
      <w:r>
        <w:pict>
          <v:rect style="width:0;height:1.5pt" o:hralign="center" o:hrstd="t" o:hr="t"/>
        </w:pict>
      </w:r>
    </w:p>
    <w:p>
      <w:pPr>
        <w:pStyle w:val="Heading2"/>
      </w:pPr>
      <w:bookmarkStart w:id="23" w:name="part-a-legal-basis"/>
      <w:r>
        <w:t xml:space="preserve">Part A: Legal basis</w:t>
      </w:r>
      <w:bookmarkEnd w:id="23"/>
    </w:p>
    <w:p>
      <w:pPr>
        <w:numPr>
          <w:ilvl w:val="0"/>
          <w:numId w:val="1001"/>
        </w:numPr>
      </w:pPr>
      <w:r>
        <w:t xml:space="preserve">This request is made under</w:t>
      </w:r>
      <w:r>
        <w:t xml:space="preserve"> </w:t>
      </w:r>
      <w:r>
        <w:rPr>
          <w:b/>
        </w:rPr>
        <w:t xml:space="preserve">Article 91(1)</w:t>
      </w:r>
      <w:r>
        <w:t xml:space="preserve"> </w:t>
      </w:r>
      <w:r>
        <w:t xml:space="preserve">of Regulation (EU) 2024/1689 (“the Regulation”), which empowers the Commission to request from the provider of a general-purpose AI model “the documentation drawn up by the provider in accordance with Articles 53 and 55, or any additional information that is necessary for the purpose of assessing compliance of the provider with this Regulation”.</w:t>
      </w:r>
    </w:p>
    <w:p>
      <w:pPr>
        <w:numPr>
          <w:ilvl w:val="0"/>
          <w:numId w:val="1001"/>
        </w:numPr>
      </w:pPr>
      <w:r>
        <w:t xml:space="preserve">No alternative basis is stated. Article 91(3) is not another label for the same act: it requires a duly substantiated request from the scientific panel, already made, and a finding that access is necessary and proportionate for the fulfilment of that panel’s tasks. Those conditions either exist on the date of signature or they do not, and a request that reserves the choice states no basis at all. Where the scientific panel has made such a request, a separate instrument should be issued under Article 91(3) reciting it and its date.</w:t>
      </w:r>
    </w:p>
    <w:p>
      <w:pPr>
        <w:numPr>
          <w:ilvl w:val="0"/>
          <w:numId w:val="1001"/>
        </w:numPr>
      </w:pPr>
      <w:r>
        <w:t xml:space="preserve">The provisions to which the requested information relates are</w:t>
      </w:r>
      <w:r>
        <w:t xml:space="preserve"> </w:t>
      </w:r>
      <w:r>
        <w:rPr>
          <w:b/>
        </w:rPr>
        <w:t xml:space="preserve">Articles 2(1), point (a), 2(8), 3 points (3), (9), (10), (11), (57) and (63), 51, 52(1), 53(1)(a)</w:t>
      </w:r>
      <w:r>
        <w:t xml:space="preserve"> </w:t>
      </w:r>
      <w:r>
        <w:t xml:space="preserve">and</w:t>
      </w:r>
      <w:r>
        <w:t xml:space="preserve"> </w:t>
      </w:r>
      <w:r>
        <w:rPr>
          <w:b/>
        </w:rPr>
        <w:t xml:space="preserve">Article 55(1) and (2)</w:t>
      </w:r>
      <w:r>
        <w:t xml:space="preserve">, together with</w:t>
      </w:r>
      <w:r>
        <w:t xml:space="preserve"> </w:t>
      </w:r>
      <w:r>
        <w:rPr>
          <w:b/>
        </w:rPr>
        <w:t xml:space="preserve">Recital 97</w:t>
      </w:r>
      <w:r>
        <w:t xml:space="preserve">; and, for Request 11c alone,</w:t>
      </w:r>
      <w:r>
        <w:t xml:space="preserve"> </w:t>
      </w:r>
      <w:r>
        <w:rPr>
          <w:b/>
        </w:rPr>
        <w:t xml:space="preserve">Articles 6, 73 and 75(1) and (1a)</w:t>
      </w:r>
      <w:r>
        <w:t xml:space="preserve">. Chapter V has applied since 2 August 2025 pursuant to Article 113, point (b); Article 91 itself, in Chapter IX, has applied since 2 August 2026 under the general rule in Article 113. The Code of Practice for General-Purpose AI Models, Safety and Security Chapter, is relevant to Requests 11a and 12 by operation of Article 55(2).</w:t>
      </w:r>
    </w:p>
    <w:p>
      <w:pPr>
        <w:pStyle w:val="FirstParagraph"/>
      </w:pPr>
      <w:r>
        <w:t xml:space="preserve">3a.</w:t>
      </w:r>
      <w:r>
        <w:t xml:space="preserve"> </w:t>
      </w:r>
      <w:r>
        <w:rPr>
          <w:b/>
        </w:rPr>
        <w:t xml:space="preserve">Empowerment.</w:t>
      </w:r>
      <w:r>
        <w:t xml:space="preserve"> </w:t>
      </w:r>
      <w:r>
        <w:t xml:space="preserve">Having regard to Regulation (EU) 2024/1689, and in particular Article 91(1) and (4) thereof, and to the Commission’s competence under Article 88 in respect of providers of general-purpose AI models. [The act of adoption and the signatory’s delegated competence are to be recited here by the issuing authority; both are internal to the Commission and are not drafted by an external author.]</w:t>
      </w:r>
    </w:p>
    <w:p>
      <w:pPr>
        <w:pStyle w:val="Heading2"/>
      </w:pPr>
      <w:bookmarkStart w:id="24" w:name="part-b-purpose"/>
      <w:r>
        <w:t xml:space="preserve">Part B: Purpose</w:t>
      </w:r>
      <w:bookmarkEnd w:id="24"/>
    </w:p>
    <w:p>
      <w:pPr>
        <w:numPr>
          <w:ilvl w:val="0"/>
          <w:numId w:val="1002"/>
        </w:numPr>
      </w:pPr>
      <w:r>
        <w:t xml:space="preserve">The Commission is considering two publicly reported episodes involving AI models developed by the Provider:</w:t>
      </w:r>
    </w:p>
    <w:p>
      <w:pPr>
        <w:numPr>
          <w:ilvl w:val="0"/>
          <w:numId w:val="1000"/>
        </w:numPr>
      </w:pPr>
      <w:r>
        <w:t xml:space="preserve">(a) the reported access to and activity within the production infrastructure of a third party between 9 and 13 July 2026, which the Provider attributed to its own models on 21 July 2026; and</w:t>
      </w:r>
    </w:p>
    <w:p>
      <w:pPr>
        <w:numPr>
          <w:ilvl w:val="0"/>
          <w:numId w:val="1000"/>
        </w:numPr>
      </w:pPr>
      <w:r>
        <w:t xml:space="preserve">(b) reported writing activity on a third-party community wiki between 24 May and 22 June 2026, with a further attempted burst on 1–2 July 2026, publicly reported by independent researchers on 4 September 2026 and acknowledged by the Provider on 5 September 2026.</w:t>
      </w:r>
    </w:p>
    <w:p>
      <w:pPr>
        <w:numPr>
          <w:ilvl w:val="0"/>
          <w:numId w:val="1002"/>
        </w:numPr>
      </w:pPr>
      <w:r>
        <w:t xml:space="preserve">The Commission has</w:t>
      </w:r>
      <w:r>
        <w:t xml:space="preserve"> </w:t>
      </w:r>
      <w:r>
        <w:rPr>
          <w:b/>
        </w:rPr>
        <w:t xml:space="preserve">not</w:t>
      </w:r>
      <w:r>
        <w:t xml:space="preserve"> </w:t>
      </w:r>
      <w:r>
        <w:t xml:space="preserve">formed a view that either episode constitutes a serious incident within the meaning of Article 3, point (49), that any obligation under the Regulation applies to any particular model, or that any obligation has been contravened. The purpose of this request, in the terms of Article 91(1), is to obtain information necessary for the purpose of assessing compliance of the Provider with this Regulation, in particular with Articles 52(1), 53(1) and 55(1), which the public record does not resolve.</w:t>
      </w:r>
    </w:p>
    <w:p>
      <w:pPr>
        <w:numPr>
          <w:ilvl w:val="0"/>
          <w:numId w:val="1002"/>
        </w:numPr>
      </w:pPr>
      <w:r>
        <w:rPr>
          <w:b/>
        </w:rPr>
        <w:t xml:space="preserve">The threshold question is one of scope.</w:t>
      </w:r>
      <w:r>
        <w:t xml:space="preserve"> </w:t>
      </w:r>
      <w:r>
        <w:t xml:space="preserve">Article 3, point (63) excludes from the definition of ‘general-purpose AI model’ those models “used for research, development or prototyping activities before they are placed on the market”, and Article 2(8) provides that the Regulation does not apply to research, testing or development activity prior to placing on the market or putting into service, save for testing in real-world conditions within the meaning of Article 3, point (57). Public accounts describe the model principally involved in the episode at paragraph 4(a) as an internal research model not intended for release. Recital 97 provides that a model integrated into its provider’s own AI system made available on the market or put into service is to be considered placed on the market, subject to three cumulative conditions the third of which is unavailable to a model with systemic risk; Article 2(1), point (a) and Article 3, point (11) locate placing on the market and own use in the Union; and the Commission’s guidelines of 19 November 2025 (C(2025) 7719 final) at paragraph 22 treat a model’s lifecycle as beginning at the start of its large pre-training run, so that different stages of development are not different models. The facts those provisions turn on are asked at Section I, and the Provider is invited, not required, to state its position on them.</w:t>
      </w:r>
    </w:p>
    <w:p>
      <w:pPr>
        <w:pStyle w:val="Heading2"/>
      </w:pPr>
      <w:bookmarkStart w:id="25" w:name="part-c-defined-terms"/>
      <w:r>
        <w:t xml:space="preserve">Part C: Defined terms</w:t>
      </w:r>
      <w:bookmarkEnd w:id="25"/>
    </w:p>
    <w:p>
      <w:pPr>
        <w:numPr>
          <w:ilvl w:val="0"/>
          <w:numId w:val="1003"/>
        </w:numPr>
      </w:pPr>
      <w:r>
        <w:t xml:space="preserve">In this request:</w:t>
      </w:r>
    </w:p>
    <w:p>
      <w:pPr>
        <w:numPr>
          <w:ilvl w:val="0"/>
          <w:numId w:val="1000"/>
        </w:numPr>
      </w:pPr>
      <w:r>
        <w:rPr>
          <w:b/>
        </w:rPr>
        <w:t xml:space="preserve">“the Research Model”</w:t>
      </w:r>
      <w:r>
        <w:t xml:space="preserve"> </w:t>
      </w:r>
      <w:r>
        <w:t xml:space="preserve">means the model the Provider itself designated “IM1” in its published account of 26 August 2026. A third party’s report of the same date refers to a model it designates “HPIM”; whether that designation refers to the Research Model is among the matters on which information is requested (Request 1), and nothing in this request requires the Provider to construe the third party’s nomenclature.</w:t>
      </w:r>
    </w:p>
    <w:p>
      <w:pPr>
        <w:numPr>
          <w:ilvl w:val="0"/>
          <w:numId w:val="1000"/>
        </w:numPr>
      </w:pPr>
      <w:r>
        <w:rPr>
          <w:b/>
        </w:rPr>
        <w:t xml:space="preserve">“the Deployed Model”</w:t>
      </w:r>
      <w:r>
        <w:t xml:space="preserve"> </w:t>
      </w:r>
      <w:r>
        <w:t xml:space="preserve">means the general-purpose AI model publicly designated GPT-5.6 Sol.</w:t>
      </w:r>
    </w:p>
    <w:p>
      <w:pPr>
        <w:numPr>
          <w:ilvl w:val="0"/>
          <w:numId w:val="1000"/>
        </w:numPr>
      </w:pPr>
      <w:r>
        <w:rPr>
          <w:b/>
        </w:rPr>
        <w:t xml:space="preserve">“the Evaluation”</w:t>
      </w:r>
      <w:r>
        <w:t xml:space="preserve"> </w:t>
      </w:r>
      <w:r>
        <w:t xml:space="preserve">means the cyber-capability evaluation during which the episode at paragraph 4(a) originated.</w:t>
      </w:r>
    </w:p>
    <w:p>
      <w:pPr>
        <w:numPr>
          <w:ilvl w:val="0"/>
          <w:numId w:val="1000"/>
        </w:numPr>
      </w:pPr>
      <w:r>
        <w:rPr>
          <w:b/>
        </w:rPr>
        <w:t xml:space="preserve">“the Code”</w:t>
      </w:r>
      <w:r>
        <w:t xml:space="preserve"> </w:t>
      </w:r>
      <w:r>
        <w:t xml:space="preserve">means the General-Purpose AI Code of Practice.</w:t>
      </w:r>
    </w:p>
    <w:p>
      <w:pPr>
        <w:pStyle w:val="Heading2"/>
      </w:pPr>
      <w:bookmarkStart w:id="26" w:name="part-d-information-required"/>
      <w:r>
        <w:t xml:space="preserve">Part D: Information required</w:t>
      </w:r>
      <w:bookmarkEnd w:id="26"/>
    </w:p>
    <w:p>
      <w:pPr>
        <w:pStyle w:val="FirstParagraph"/>
      </w:pPr>
      <w:r>
        <w:rPr>
          <w:b/>
        </w:rPr>
        <w:t xml:space="preserve">Before the requests, four things that govern all of them.</w:t>
      </w:r>
    </w:p>
    <w:p>
      <w:pPr>
        <w:pStyle w:val="BodyText"/>
      </w:pPr>
      <w:r>
        <w:rPr>
          <w:i/>
        </w:rPr>
        <w:t xml:space="preserve">Nothing here requires an admission.</w:t>
      </w:r>
      <w:r>
        <w:t xml:space="preserve"> </w:t>
      </w:r>
      <w:r>
        <w:t xml:space="preserve">The Commission has formed no view that any obligation has been contravened. Where a request below asks the Provider to state a position on the legal characterisation of facts—whether a model falls within Article 3, point (63), whether activity fell within Article 2(8), which of the conditions in Recital 97 it relies on—the Provider may answer or decline, no adverse inference will be drawn from declining, and nothing in this request requires the Provider to admit any infringement. The facts and documents requested are required; the reasoning about them is invited.</w:t>
      </w:r>
    </w:p>
    <w:p>
      <w:pPr>
        <w:pStyle w:val="BodyText"/>
      </w:pPr>
      <w:r>
        <w:rPr>
          <w:i/>
        </w:rPr>
        <w:t xml:space="preserve">Applicability does not limit production.</w:t>
      </w:r>
      <w:r>
        <w:t xml:space="preserve"> </w:t>
      </w:r>
      <w:r>
        <w:t xml:space="preserve">Where the Provider considers that a provision does not apply to a model, it shall nonetheless provide the internal documentation it holds covering the matters that provision describes, and may state its position on applicability separately. The scope of a request is not conditional on that position.</w:t>
      </w:r>
    </w:p>
    <w:p>
      <w:pPr>
        <w:pStyle w:val="BodyText"/>
      </w:pPr>
      <w:r>
        <w:rPr>
          <w:i/>
        </w:rPr>
        <w:t xml:space="preserve">Legal professional privilege is preserved.</w:t>
      </w:r>
      <w:r>
        <w:t xml:space="preserve"> </w:t>
      </w:r>
      <w:r>
        <w:t xml:space="preserve">Nothing in this request requires production of communications protected by legal professional privilege as recognised in the case-law of the Court of Justice. Where the Provider withholds a document on that ground it shall provide a schedule identifying the document, its date, the category of author and recipient, and the basis of the claim, without disclosing the privileged content. Privilege is not a ground for withholding the underlying facts, or the dates on which steps were taken. The privilege recognised in that case-law protects communications with</w:t>
      </w:r>
      <w:r>
        <w:t xml:space="preserve"> </w:t>
      </w:r>
      <w:r>
        <w:rPr>
          <w:b/>
        </w:rPr>
        <w:t xml:space="preserve">independent</w:t>
      </w:r>
      <w:r>
        <w:t xml:space="preserve"> </w:t>
      </w:r>
      <w:r>
        <w:t xml:space="preserve">lawyers, meaning lawyers not bound to the client by a relationship of employment (</w:t>
      </w:r>
      <w:r>
        <w:rPr>
          <w:i/>
        </w:rPr>
        <w:t xml:space="preserve">AM &amp; S</w:t>
      </w:r>
      <w:r>
        <w:t xml:space="preserve">, 155/79, ¶21), and it does not cover exchanges within a company or group with in-house lawyers (</w:t>
      </w:r>
      <w:r>
        <w:rPr>
          <w:i/>
        </w:rPr>
        <w:t xml:space="preserve">Akzo Nobel</w:t>
      </w:r>
      <w:r>
        <w:t xml:space="preserve">, C-550/07 P, ¶44). A claim of privilege over the Provider’s own internal legal consideration of the episodes is to be assessed on that footing.</w:t>
      </w:r>
    </w:p>
    <w:p>
      <w:pPr>
        <w:pStyle w:val="BodyText"/>
      </w:pPr>
      <w:r>
        <w:rPr>
          <w:i/>
        </w:rPr>
        <w:t xml:space="preserve">No structured dialogue has been initiated</w:t>
      </w:r>
      <w:r>
        <w:t xml:space="preserve"> </w:t>
      </w:r>
      <w:r>
        <w:t xml:space="preserve">under Article 91(2) in respect of these matters. The Commission remains willing to engage with the Provider in addition to this request.</w:t>
      </w:r>
    </w:p>
    <w:p>
      <w:pPr>
        <w:pStyle w:val="Heading3"/>
      </w:pPr>
      <w:bookmarkStart w:id="27" w:name="Xabbe7b8f0477a2fbffba580e08873d97d0074e7"/>
      <w:r>
        <w:t xml:space="preserve">Section I: Scope and status of the models concerned</w:t>
      </w:r>
      <w:bookmarkEnd w:id="27"/>
    </w:p>
    <w:p>
      <w:pPr>
        <w:pStyle w:val="FirstParagraph"/>
      </w:pPr>
      <w:r>
        <w:rPr>
          <w:b/>
        </w:rPr>
        <w:t xml:space="preserve">Request 1.</w:t>
      </w:r>
      <w:r>
        <w:t xml:space="preserve"> </w:t>
      </w:r>
      <w:r>
        <w:t xml:space="preserve">Identify, by the Provider’s own designation, every model whose agents took part in the episode at paragraph 4(a), and state the role of each. State whether the model the independent investigation designates “HPIM” is the Research Model.</w:t>
      </w:r>
    </w:p>
    <w:p>
      <w:pPr>
        <w:pStyle w:val="BodyText"/>
      </w:pPr>
      <w:r>
        <w:rPr>
          <w:b/>
        </w:rPr>
        <w:t xml:space="preserve">Request 2.</w:t>
      </w:r>
      <w:r>
        <w:t xml:space="preserve"> </w:t>
      </w:r>
      <w:r>
        <w:t xml:space="preserve">For the Research Model, state the cumulative amount of computation used for its training, measured in floating-point operations, estimated in accordance with the approach set out in the Annex to the Commission’s guidelines of 19 November 2025 (C(2025) 7719 final), together with a description of the approach used to estimate it; and state whether that amount exceeds 10²⁵ FLOP for the purposes of the presumption in Article 51(2).</w:t>
      </w:r>
    </w:p>
    <w:p>
      <w:pPr>
        <w:pStyle w:val="BodyText"/>
      </w:pPr>
      <w:r>
        <w:rPr>
          <w:b/>
        </w:rPr>
        <w:t xml:space="preserve">Request 2a.</w:t>
      </w:r>
      <w:r>
        <w:t xml:space="preserve"> </w:t>
      </w:r>
      <w:r>
        <w:t xml:space="preserve">Independently of the figure sought at Request 2, state the Provider’s position on each of the criteria in</w:t>
      </w:r>
      <w:r>
        <w:t xml:space="preserve"> </w:t>
      </w:r>
      <w:r>
        <w:rPr>
          <w:b/>
        </w:rPr>
        <w:t xml:space="preserve">Annex XIII</w:t>
      </w:r>
      <w:r>
        <w:t xml:space="preserve"> </w:t>
      </w:r>
      <w:r>
        <w:t xml:space="preserve">as they apply to the Research Model, and in particular criterion (e): the benchmarks and evaluations of its capabilities, including the number of tasks performed without additional training, its adaptability to new and distinct tasks,</w:t>
      </w:r>
      <w:r>
        <w:t xml:space="preserve"> </w:t>
      </w:r>
      <w:r>
        <w:rPr>
          <w:b/>
        </w:rPr>
        <w:t xml:space="preserve">its level of autonomy and scalability, and the tools to which it had access</w:t>
      </w:r>
      <w:r>
        <w:t xml:space="preserve"> </w:t>
      </w:r>
      <w:r>
        <w:t xml:space="preserve">during the Evaluation.</w:t>
      </w:r>
    </w:p>
    <w:p>
      <w:pPr>
        <w:pStyle w:val="BodyText"/>
      </w:pPr>
      <w:r>
        <w:rPr>
          <w:b/>
        </w:rPr>
        <w:t xml:space="preserve">Request 2b.</w:t>
      </w:r>
      <w:r>
        <w:t xml:space="preserve"> </w:t>
      </w:r>
      <w:r>
        <w:t xml:space="preserve">State whether the Research Model was developed downstream of the same large pre-training run as any general-purpose AI model the Provider has placed on the market, identifying that model; and state whether the Research Model, or any model developed downstream of the same large pre-training run, is or was at any time intended for placing on the market, with the date of any decision to that effect or against it.</w:t>
      </w:r>
    </w:p>
    <w:p>
      <w:pPr>
        <w:pStyle w:val="BodyText"/>
      </w:pPr>
      <w:r>
        <w:rPr>
          <w:b/>
        </w:rPr>
        <w:t xml:space="preserve">Request 3.</w:t>
      </w:r>
      <w:r>
        <w:t xml:space="preserve"> </w:t>
      </w:r>
      <w:r>
        <w:t xml:space="preserve">State the Provider’s position on whether the Research Model falls within the exception in</w:t>
      </w:r>
      <w:r>
        <w:t xml:space="preserve"> </w:t>
      </w:r>
      <w:r>
        <w:rPr>
          <w:b/>
        </w:rPr>
        <w:t xml:space="preserve">Article 3, point (63)</w:t>
      </w:r>
      <w:r>
        <w:t xml:space="preserve"> </w:t>
      </w:r>
      <w:r>
        <w:t xml:space="preserve">for “AI models that are used for research, development or prototyping activities before they are placed on the market”, together with the reasons for that position and the date from which it is said to apply.</w:t>
      </w:r>
    </w:p>
    <w:p>
      <w:pPr>
        <w:pStyle w:val="BodyText"/>
      </w:pPr>
      <w:r>
        <w:rPr>
          <w:b/>
        </w:rPr>
        <w:t xml:space="preserve">Request 4.</w:t>
      </w:r>
      <w:r>
        <w:t xml:space="preserve"> </w:t>
      </w:r>
      <w:r>
        <w:t xml:space="preserve">State whether any part of the Evaluation involved use of the model in real-world conditions outside a laboratory or simulated environment, and if so describe the environment, the systems and third parties reachable from it, and the dates. Provide the records evidencing the environment and its egress configuration.</w:t>
      </w:r>
    </w:p>
    <w:p>
      <w:pPr>
        <w:pStyle w:val="BodyText"/>
      </w:pPr>
      <w:r>
        <w:rPr>
          <w:b/>
        </w:rPr>
        <w:t xml:space="preserve">Request 4a.</w:t>
      </w:r>
      <w:r>
        <w:t xml:space="preserve"> </w:t>
      </w:r>
      <w:r>
        <w:t xml:space="preserve">State whether the Research Model was</w:t>
      </w:r>
      <w:r>
        <w:t xml:space="preserve"> </w:t>
      </w:r>
      <w:r>
        <w:rPr>
          <w:b/>
        </w:rPr>
        <w:t xml:space="preserve">integrated into an AI system of the Provider’s own</w:t>
      </w:r>
      <w:r>
        <w:t xml:space="preserve"> </w:t>
      </w:r>
      <w:r>
        <w:t xml:space="preserve">which was made available on the market or</w:t>
      </w:r>
      <w:r>
        <w:t xml:space="preserve"> </w:t>
      </w:r>
      <w:r>
        <w:rPr>
          <w:b/>
        </w:rPr>
        <w:t xml:space="preserve">put into service</w:t>
      </w:r>
      <w:r>
        <w:t xml:space="preserve"> </w:t>
      </w:r>
      <w:r>
        <w:t xml:space="preserve">within the meaning of Article 3, point (11), including for the Provider’s own use, at any time before or after the Evaluation; if so, state when, and</w:t>
      </w:r>
      <w:r>
        <w:t xml:space="preserve"> </w:t>
      </w:r>
      <w:r>
        <w:rPr>
          <w:b/>
        </w:rPr>
        <w:t xml:space="preserve">where</w:t>
      </w:r>
      <w:r>
        <w:t xml:space="preserve">—in particular whether that system was made available or put into service in the Union, whether staff or systems located in the Union used it, and whether its output was used in the Union. State whether, and on what date, the Provider appointed an authorised representative under Article 54 in respect of the Research Model or of any model developed downstream of the same large pre-training run. If the Provider contends the model nonetheless falls outside the obligations for models, it may state which of the conditions set out in Recital 97 it relies on.</w:t>
      </w:r>
    </w:p>
    <w:p>
      <w:pPr>
        <w:pStyle w:val="BodyText"/>
      </w:pPr>
      <w:r>
        <w:rPr>
          <w:b/>
        </w:rPr>
        <w:t xml:space="preserve">Request 5.</w:t>
      </w:r>
      <w:r>
        <w:t xml:space="preserve"> </w:t>
      </w:r>
      <w:r>
        <w:t xml:space="preserve">State whether the Provider has made any notification to the Commission under</w:t>
      </w:r>
      <w:r>
        <w:t xml:space="preserve"> </w:t>
      </w:r>
      <w:r>
        <w:rPr>
          <w:b/>
        </w:rPr>
        <w:t xml:space="preserve">Article 52(1)</w:t>
      </w:r>
      <w:r>
        <w:t xml:space="preserve"> </w:t>
      </w:r>
      <w:r>
        <w:t xml:space="preserve">in respect of either the Research Model or the Deployed Model, and if so its date; or, if not, the basis on which it considers no such obligation arose.</w:t>
      </w:r>
    </w:p>
    <w:p>
      <w:pPr>
        <w:pStyle w:val="Heading3"/>
      </w:pPr>
      <w:bookmarkStart w:id="28" w:name="X8e9f80986bfdc82a900b3ce224e356ec580389e"/>
      <w:r>
        <w:t xml:space="preserve">Section II: Evaluation design and documentation (Articles 53(1)(a), 55(1)(a))</w:t>
      </w:r>
      <w:bookmarkEnd w:id="28"/>
    </w:p>
    <w:p>
      <w:pPr>
        <w:pStyle w:val="FirstParagraph"/>
      </w:pPr>
      <w:r>
        <w:rPr>
          <w:b/>
        </w:rPr>
        <w:t xml:space="preserve">Request 6.</w:t>
      </w:r>
      <w:r>
        <w:t xml:space="preserve"> </w:t>
      </w:r>
      <w:r>
        <w:t xml:space="preserve">Provide the technical documentation drawn up under Article 53(1), point (a) for the Deployed Model, and for the Research Model to the extent the Provider considers that provision to apply to it, insofar as it concerns the training and testing process and the results of evaluation, limited to the Evaluation.</w:t>
      </w:r>
    </w:p>
    <w:p>
      <w:pPr>
        <w:pStyle w:val="BodyText"/>
      </w:pPr>
      <w:r>
        <w:rPr>
          <w:b/>
        </w:rPr>
        <w:t xml:space="preserve">Request 7.</w:t>
      </w:r>
      <w:r>
        <w:t xml:space="preserve"> </w:t>
      </w:r>
      <w:r>
        <w:t xml:space="preserve">Provide the protocol governing the Evaluation, including its containment and network-egress requirements, the basis on which safeguards the Provider has described as “system prompts, harnesses, and control mechanisms such as our auto-review models and safety classifiers” were not applied in the evaluation environment, and the record of adversarial testing documented pursuant to Article 55(1), point (a).</w:t>
      </w:r>
    </w:p>
    <w:p>
      <w:pPr>
        <w:pStyle w:val="Heading3"/>
      </w:pPr>
      <w:bookmarkStart w:id="29" w:name="Xeb4055895cfa503f21973c7886d9dca311480ae"/>
      <w:r>
        <w:t xml:space="preserve">Section III: Systemic risk and cybersecurity (Article 55(1), points (b) and (d))</w:t>
      </w:r>
      <w:bookmarkEnd w:id="29"/>
    </w:p>
    <w:p>
      <w:pPr>
        <w:pStyle w:val="FirstParagraph"/>
      </w:pPr>
      <w:r>
        <w:rPr>
          <w:b/>
        </w:rPr>
        <w:t xml:space="preserve">Request 8.</w:t>
      </w:r>
      <w:r>
        <w:t xml:space="preserve"> </w:t>
      </w:r>
      <w:r>
        <w:t xml:space="preserve">Provide the assessment of systemic risks at Union level conducted pursuant to</w:t>
      </w:r>
      <w:r>
        <w:t xml:space="preserve"> </w:t>
      </w:r>
      <w:r>
        <w:rPr>
          <w:b/>
        </w:rPr>
        <w:t xml:space="preserve">Article 55(1), point (b)</w:t>
      </w:r>
      <w:r>
        <w:t xml:space="preserve"> </w:t>
      </w:r>
      <w:r>
        <w:t xml:space="preserve">in respect of the Deployed Model, insofar as it addresses</w:t>
      </w:r>
      <w:r>
        <w:t xml:space="preserve"> </w:t>
      </w:r>
      <w:r>
        <w:rPr>
          <w:b/>
        </w:rPr>
        <w:t xml:space="preserve">sources</w:t>
      </w:r>
      <w:r>
        <w:t xml:space="preserve"> </w:t>
      </w:r>
      <w:r>
        <w:t xml:space="preserve">of systemic risk, and state whether loss of containment of a model during internal evaluation was identified as such a source before July 2026.</w:t>
      </w:r>
    </w:p>
    <w:p>
      <w:pPr>
        <w:pStyle w:val="BodyText"/>
      </w:pPr>
      <w:r>
        <w:rPr>
          <w:b/>
        </w:rPr>
        <w:t xml:space="preserve">Request 9.</w:t>
      </w:r>
      <w:r>
        <w:t xml:space="preserve"> </w:t>
      </w:r>
      <w:r>
        <w:t xml:space="preserve">Provide documentation of the cybersecurity protection maintained pursuant to</w:t>
      </w:r>
      <w:r>
        <w:t xml:space="preserve"> </w:t>
      </w:r>
      <w:r>
        <w:rPr>
          <w:b/>
        </w:rPr>
        <w:t xml:space="preserve">Article 55(1), point (d)</w:t>
      </w:r>
      <w:r>
        <w:t xml:space="preserve">, addressing the matters Recital 115 identifies for consideration, and covering: (a) the egress control architecture in place before 9 July 2026; (b) the server-side request forgery against the remote-repository service by which outbound requests were reportedly issued on the models’ behalf; and (c) the position following the rebuild of that service after the outage of 4 July 2026.</w:t>
      </w:r>
    </w:p>
    <w:p>
      <w:pPr>
        <w:pStyle w:val="Heading3"/>
      </w:pPr>
      <w:bookmarkStart w:id="30" w:name="Xb95c3c397e887adae1f6ef4872523cfaa4f2a37"/>
      <w:r>
        <w:t xml:space="preserve">Section IV: Tracking, classification and reporting (Article 55(1)(c), Article 55(2))</w:t>
      </w:r>
      <w:bookmarkEnd w:id="30"/>
    </w:p>
    <w:p>
      <w:pPr>
        <w:pStyle w:val="FirstParagraph"/>
      </w:pPr>
      <w:r>
        <w:rPr>
          <w:b/>
        </w:rPr>
        <w:t xml:space="preserve">Request 10.</w:t>
      </w:r>
      <w:r>
        <w:t xml:space="preserve"> </w:t>
      </w:r>
      <w:r>
        <w:t xml:space="preserve">For each episode at paragraph 4, provide the records maintained pursuant to the obligation at Article 55(1), point (c) to “keep track of” and “document” relevant information, to the extent the Provider considers that provision to apply.</w:t>
      </w:r>
    </w:p>
    <w:p>
      <w:pPr>
        <w:pStyle w:val="BodyText"/>
      </w:pPr>
      <w:r>
        <w:rPr>
          <w:b/>
        </w:rPr>
        <w:t xml:space="preserve">Request 11.</w:t>
      </w:r>
      <w:r>
        <w:t xml:space="preserve"> </w:t>
      </w:r>
      <w:r>
        <w:t xml:space="preserve">For each episode, state the date on which the Provider first formed the view that the episode had occurred, and the date on which it first considered whether the episode constituted a serious incident within Article 3, point (49), with the record of that consideration and its outcome; and state whether any report has been made to the Commission, the AI Office or any national competent authority, with its date and the provision relied on.</w:t>
      </w:r>
    </w:p>
    <w:p>
      <w:pPr>
        <w:pStyle w:val="BodyText"/>
      </w:pPr>
      <w:r>
        <w:rPr>
          <w:b/>
        </w:rPr>
        <w:t xml:space="preserve">Request 11a.</w:t>
      </w:r>
      <w:r>
        <w:t xml:space="preserve"> </w:t>
      </w:r>
      <w:r>
        <w:t xml:space="preserve">Where the Provider adheres to the Code of Practice, state for each episode</w:t>
      </w:r>
      <w:r>
        <w:t xml:space="preserve"> </w:t>
      </w:r>
      <w:r>
        <w:rPr>
          <w:b/>
        </w:rPr>
        <w:t xml:space="preserve">the date on which it became aware of the involvement of its model</w:t>
      </w:r>
      <w:r>
        <w:t xml:space="preserve">, that being the date from which the periods in Measure 9.3 of the Safety and Security Chapter run, and the date on which it first established or suspected with reasonable likelihood a causal relationship between its model and the event. State which of the four categories in Measure 9.3 it assigned to each episode,</w:t>
      </w:r>
      <w:r>
        <w:t xml:space="preserve"> </w:t>
      </w:r>
      <w:r>
        <w:rPr>
          <w:b/>
        </w:rPr>
        <w:t xml:space="preserve">including whether either was treated as “a serious cybersecurity breach, including the (self-)exfiltration of model weights and cyberattacks”</w:t>
      </w:r>
      <w:r>
        <w:t xml:space="preserve">, and provide the initial, intermediate and final reports submitted under that Measure, or state that none were submitted and on what basis.</w:t>
      </w:r>
    </w:p>
    <w:p>
      <w:pPr>
        <w:pStyle w:val="BodyText"/>
      </w:pPr>
      <w:r>
        <w:rPr>
          <w:b/>
        </w:rPr>
        <w:t xml:space="preserve">Request 11b.</w:t>
      </w:r>
      <w:r>
        <w:t xml:space="preserve"> </w:t>
      </w:r>
      <w:r>
        <w:t xml:space="preserve">State, for each episode, whether the Provider treated the episode as falling within Article 55(1), point (c)</w:t>
      </w:r>
      <w:r>
        <w:t xml:space="preserve"> </w:t>
      </w:r>
      <w:r>
        <w:rPr>
          <w:b/>
        </w:rPr>
        <w:t xml:space="preserve">as a serious cybersecurity breach related to the model or its physical infrastructure</w:t>
      </w:r>
      <w:r>
        <w:t xml:space="preserve">, within the meaning given at paragraph (100) of the Commission guidelines of 19 November 2025 (C(2025) 7719 final), that reading being anchored in Article 55(1), points (b) and (d) and not requiring any of the events listed in Article 3, point (49); or, alternatively, as an incident or malfunctioning of the model leading directly or indirectly to an event listed in Article 3, point (49), points (a) to (d); or on some other basis, which should be stated. Where the Provider considers that no such route applies, state the reasoning.</w:t>
      </w:r>
    </w:p>
    <w:p>
      <w:pPr>
        <w:pStyle w:val="BodyText"/>
      </w:pPr>
      <w:r>
        <w:rPr>
          <w:b/>
        </w:rPr>
        <w:t xml:space="preserve">Request 11c.</w:t>
      </w:r>
      <w:r>
        <w:t xml:space="preserve"> </w:t>
      </w:r>
      <w:r>
        <w:t xml:space="preserve">State whether the Research Model was integrated into any AI system of the Provider, or of an undertaking of which the Provider forms part, and for each such system state whether the Provider classifies it as a high-risk AI system within the meaning of Article 6. Where it does, state whether any serious incident concerning that system was reported to the AI Office under</w:t>
      </w:r>
      <w:r>
        <w:t xml:space="preserve"> </w:t>
      </w:r>
      <w:r>
        <w:rPr>
          <w:b/>
        </w:rPr>
        <w:t xml:space="preserve">Article 75(1a)</w:t>
      </w:r>
      <w:r>
        <w:t xml:space="preserve"> </w:t>
      </w:r>
      <w:r>
        <w:t xml:space="preserve">in respect of either episode, on what date, and provide the report. Where the Provider considers that no such system is high-risk, state the basis.</w:t>
      </w:r>
    </w:p>
    <w:p>
      <w:pPr>
        <w:pStyle w:val="BodyText"/>
      </w:pPr>
      <w:r>
        <w:rPr>
          <w:b/>
        </w:rPr>
        <w:t xml:space="preserve">Request 12.</w:t>
      </w:r>
      <w:r>
        <w:t xml:space="preserve"> </w:t>
      </w:r>
      <w:r>
        <w:t xml:space="preserve">State whether the Provider relies on the Code to demonstrate compliance under</w:t>
      </w:r>
      <w:r>
        <w:t xml:space="preserve"> </w:t>
      </w:r>
      <w:r>
        <w:rPr>
          <w:b/>
        </w:rPr>
        <w:t xml:space="preserve">Article 55(2)</w:t>
      </w:r>
      <w:r>
        <w:t xml:space="preserve"> </w:t>
      </w:r>
      <w:r>
        <w:t xml:space="preserve">or on alternative adequate means; and provide, as applicable, the Safety and Security Framework and the Safety and Security Model Report insofar as either bears on the episodes at paragraph 4.</w:t>
      </w:r>
    </w:p>
    <w:p>
      <w:r>
        <w:pict>
          <v:rect style="width:0;height:1.5pt" o:hralign="center" o:hrstd="t" o:hr="t"/>
        </w:pict>
      </w:r>
    </w:p>
    <w:p>
      <w:pPr>
        <w:pStyle w:val="Heading2"/>
      </w:pPr>
      <w:bookmarkStart w:id="31" w:name="part-e-period-for-response"/>
      <w:r>
        <w:t xml:space="preserve">Part E: Period for response</w:t>
      </w:r>
      <w:bookmarkEnd w:id="31"/>
    </w:p>
    <w:p>
      <w:pPr>
        <w:numPr>
          <w:ilvl w:val="0"/>
          <w:numId w:val="1004"/>
        </w:numPr>
      </w:pPr>
      <w:r>
        <w:t xml:space="preserve">The Provider shall supply the information requested at Section I by</w:t>
      </w:r>
      <w:r>
        <w:t xml:space="preserve"> </w:t>
      </w:r>
      <w:r>
        <w:rPr>
          <w:b/>
        </w:rPr>
        <w:t xml:space="preserve">[date]</w:t>
      </w:r>
      <w:r>
        <w:t xml:space="preserve">, and the information and documents requested at Sections II to IV by</w:t>
      </w:r>
      <w:r>
        <w:t xml:space="preserve"> </w:t>
      </w:r>
      <w:r>
        <w:rPr>
          <w:b/>
        </w:rPr>
        <w:t xml:space="preserve">[date]</w:t>
      </w:r>
      <w:r>
        <w:t xml:space="preserve">, those being the periods set by the Commission for the purposes of Article 91(4).</w:t>
      </w:r>
    </w:p>
    <w:p>
      <w:pPr>
        <w:numPr>
          <w:ilvl w:val="0"/>
          <w:numId w:val="1004"/>
        </w:numPr>
      </w:pPr>
      <w:r>
        <w:t xml:space="preserve">Where the Provider considers that it cannot comply in full within that period, it may apply in writing, before the expiry of the period and with reasons, for an extension in respect of identified items. An extension takes effect only if granted by the Commission in writing. Absent such a grant, the period set at paragraph 9 applies to the whole of this request.</w:t>
      </w:r>
    </w:p>
    <w:p>
      <w:pPr>
        <w:numPr>
          <w:ilvl w:val="0"/>
          <w:numId w:val="1004"/>
        </w:numPr>
      </w:pPr>
      <w:r>
        <w:t xml:space="preserve">Information supplied in response to this request is subject to Article 78, which applies to information and data obtained by the Commission in carrying out its tasks under the Regulation, and which does not prevent the sharing, use in proceedings or disclosure that Article 78 itself and Union law otherwise permit. The Provider is not invited to withhold information on confidentiality grounds, but should identify material it considers confidential, including trade secrets, so that it may be handled accordingly.</w:t>
      </w:r>
    </w:p>
    <w:p>
      <w:pPr>
        <w:pStyle w:val="Heading2"/>
      </w:pPr>
      <w:bookmarkStart w:id="32" w:name="part-f-indication-of-fines-article-914"/>
      <w:r>
        <w:t xml:space="preserve">Part F: Indication of fines (Article 91(4))</w:t>
      </w:r>
      <w:bookmarkEnd w:id="32"/>
    </w:p>
    <w:p>
      <w:pPr>
        <w:numPr>
          <w:ilvl w:val="0"/>
          <w:numId w:val="1005"/>
        </w:numPr>
      </w:pPr>
      <w:r>
        <w:t xml:space="preserve">In accordance with Article 91(4), attention is drawn to</w:t>
      </w:r>
      <w:r>
        <w:t xml:space="preserve"> </w:t>
      </w:r>
      <w:r>
        <w:rPr>
          <w:b/>
        </w:rPr>
        <w:t xml:space="preserve">Article 101(1), point (b)</w:t>
      </w:r>
      <w:r>
        <w:t xml:space="preserve">, under which the Commission may impose on providers of general-purpose AI models fines not exceeding</w:t>
      </w:r>
      <w:r>
        <w:t xml:space="preserve"> </w:t>
      </w:r>
      <w:r>
        <w:rPr>
          <w:b/>
        </w:rPr>
        <w:t xml:space="preserve">3% of annual total worldwide turnover in the preceding financial year or EUR 15 000 000, whichever is higher</w:t>
      </w:r>
      <w:r>
        <w:t xml:space="preserve">, where it finds that the provider intentionally or negligently “failed to comply with a request for a document or for information pursuant to Article 91, or supplied incorrect, incomplete or misleading information”.</w:t>
      </w:r>
    </w:p>
    <w:p>
      <w:pPr>
        <w:numPr>
          <w:ilvl w:val="0"/>
          <w:numId w:val="1005"/>
        </w:numPr>
      </w:pPr>
      <w:r>
        <w:t xml:space="preserve">In accordance with</w:t>
      </w:r>
      <w:r>
        <w:t xml:space="preserve"> </w:t>
      </w:r>
      <w:r>
        <w:rPr>
          <w:b/>
        </w:rPr>
        <w:t xml:space="preserve">Article 91(5)</w:t>
      </w:r>
      <w:r>
        <w:t xml:space="preserve">, the information requested shall be supplied by the Provider or its representative; in the case of legal persons, companies or firms, by the persons authorised to represent them by law or by their statutes. Lawyers duly authorised to act may supply information on behalf of their clients; the Provider nevertheless remains fully responsible if the information supplied is incomplete, incorrect or misleading. The response shall be accompanied by a statement, signed by a person authorised to represent the Provider, that the information supplied is to the best of that person’s knowledge correct, complete and not misleading, and identifying any request to which a complete answer has not been given and why.</w:t>
      </w:r>
    </w:p>
    <w:p>
      <w:pPr>
        <w:numPr>
          <w:ilvl w:val="0"/>
          <w:numId w:val="1005"/>
        </w:numPr>
      </w:pPr>
      <w:r>
        <w:rPr>
          <w:b/>
        </w:rPr>
        <w:t xml:space="preserve">Temporal scope.</w:t>
      </w:r>
      <w:r>
        <w:t xml:space="preserve"> </w:t>
      </w:r>
      <w:r>
        <w:t xml:space="preserve">Article 101 has applied since 2 August 2026, Article 113, point (b) having excepted it from the earlier application date of Chapter XII. Paragraph 12 concerns compliance with this request, and nothing in this request states a position on the application of Article 101(1), point (a) to any conduct.</w:t>
      </w:r>
    </w:p>
    <w:p>
      <w:pPr>
        <w:numPr>
          <w:ilvl w:val="0"/>
          <w:numId w:val="1005"/>
        </w:numPr>
      </w:pPr>
      <w:r>
        <w:rPr>
          <w:b/>
        </w:rPr>
        <w:t xml:space="preserve">Format, channel and language.</w:t>
      </w:r>
      <w:r>
        <w:t xml:space="preserve"> </w:t>
      </w:r>
      <w:r>
        <w:t xml:space="preserve">The response shall be provided in English, in electronic form, to</w:t>
      </w:r>
      <w:r>
        <w:t xml:space="preserve"> </w:t>
      </w:r>
      <w:r>
        <w:rPr>
          <w:b/>
        </w:rPr>
        <w:t xml:space="preserve">[address]</w:t>
      </w:r>
      <w:r>
        <w:t xml:space="preserve">, with each item of information and each document identified by the number of the request to which it responds.</w:t>
      </w:r>
    </w:p>
    <w:p>
      <w:pPr>
        <w:pStyle w:val="FirstParagraph"/>
      </w:pPr>
      <w:r>
        <w:rPr>
          <w:b/>
        </w:rPr>
        <w:t xml:space="preserve">[Signature block—to be completed by the issuing authority]</w:t>
      </w:r>
    </w:p>
    <w:p>
      <w:r>
        <w:pict>
          <v:rect style="width:0;height:1.5pt" o:hralign="center" o:hrstd="t" o:hr="t"/>
        </w:pict>
      </w:r>
    </w:p>
    <w:p>
      <w:pPr>
        <w:pStyle w:val="Heading2"/>
      </w:pPr>
      <w:bookmarkStart w:id="33" w:name="annex-provisions-relied-on"/>
      <w:r>
        <w:t xml:space="preserve">Annex: provisions relied on</w:t>
      </w:r>
      <w:bookmarkEnd w:id="33"/>
    </w:p>
    <w:p>
      <w:pPr>
        <w:pStyle w:val="FirstParagraph"/>
      </w:pPr>
      <w:r>
        <w:t xml:space="preserve">Regulation (EU) 2024/1689, OJ L, 2024/1689, 12.7.2024; consolidated text CELEX</w:t>
      </w:r>
      <w:r>
        <w:t xml:space="preserve"> </w:t>
      </w:r>
      <w:r>
        <w:rPr>
          <w:rStyle w:val="VerbatimChar"/>
        </w:rPr>
        <w:t xml:space="preserve">02024R1689-20260727</w:t>
      </w:r>
      <w:r>
        <w:t xml:space="preserve">, incorporating Regulation (EU) 2026/1744. Articles 2(1), point (a), 2(8), 3 points (1), (3), (9), (10), (11), (47), (49), (57), (62), (63), (66), 6, 51, 52, 53(1)(a), 55, 68, 73, 75, 78, 90, 91, 101, 113. Recitals 97, 114 and 115 from the authentic Official Journal text, CELEX</w:t>
      </w:r>
      <w:r>
        <w:t xml:space="preserve"> </w:t>
      </w:r>
      <w:r>
        <w:rPr>
          <w:rStyle w:val="VerbatimChar"/>
        </w:rPr>
        <w:t xml:space="preserve">32024R1689</w:t>
      </w:r>
      <w:r>
        <w:t xml:space="preserve">, the consolidated text omitting recitals. Commission guidelines C(2025) 7719 final, paragraphs 22, 51, 54 and 100, and the Annex on training compute.</w:t>
      </w:r>
    </w:p>
    <w:p>
      <w:pPr>
        <w:pStyle w:val="BodyText"/>
      </w:pPr>
      <w:r>
        <w:t xml:space="preserve">Directive (EU) 2022/2557, OJ L 333, 27.12.2022, Article 2, points (1), (4) and (5), as imported by Article 3, point (62) of the Regulation.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4">
    <w:nsid w:val="71315dca"/>
    <w:multiLevelType w:val="multilevel"/>
    <w:lvl w:ilvl="0">
      <w:start w:val="4"/>
      <w:numFmt w:val="decimal"/>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Roman"/>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Roman"/>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Roman"/>
      <w:lvlText w:val="%9."/>
      <w:lvlJc w:val="left"/>
      <w:pPr>
        <w:tabs>
          <w:tab w:val="num" w:pos="5760"/>
        </w:tabs>
        <w:ind w:left="6240" w:hanging="480"/>
      </w:pPr>
    </w:lvl>
  </w:abstractNum>
  <w:abstractNum w:abstractNumId="99217">
    <w:nsid w:val="47261bad"/>
    <w:multiLevelType w:val="multilevel"/>
    <w:lvl w:ilvl="0">
      <w:start w:val="7"/>
      <w:numFmt w:val="decimal"/>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Roman"/>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Roman"/>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lowerLetter"/>
      <w:lvlText w:val="%8."/>
      <w:lvlJc w:val="left"/>
      <w:pPr>
        <w:tabs>
          <w:tab w:val="num" w:pos="5040"/>
        </w:tabs>
        <w:ind w:left="5520" w:hanging="480"/>
      </w:pPr>
    </w:lvl>
    <w:lvl w:ilvl="8">
      <w:start w:val="7"/>
      <w:numFmt w:val="lowerRoman"/>
      <w:lvlText w:val="%9."/>
      <w:lvlJc w:val="left"/>
      <w:pPr>
        <w:tabs>
          <w:tab w:val="num" w:pos="5760"/>
        </w:tabs>
        <w:ind w:left="6240" w:hanging="480"/>
      </w:pPr>
    </w:lvl>
  </w:abstractNum>
  <w:abstractNum w:abstractNumId="99219">
    <w:nsid w:val="b3cbbdee"/>
    <w:multiLevelType w:val="multilevel"/>
    <w:lvl w:ilvl="0">
      <w:start w:val="9"/>
      <w:numFmt w:val="decimal"/>
      <w:lvlText w:val="%1."/>
      <w:lvlJc w:val="left"/>
      <w:pPr>
        <w:tabs>
          <w:tab w:val="num" w:pos="0"/>
        </w:tabs>
        <w:ind w:left="480" w:hanging="480"/>
      </w:pPr>
    </w:lvl>
    <w:lvl w:ilvl="1">
      <w:start w:val="9"/>
      <w:numFmt w:val="lowerLetter"/>
      <w:lvlText w:val="%2."/>
      <w:lvlJc w:val="left"/>
      <w:pPr>
        <w:tabs>
          <w:tab w:val="num" w:pos="720"/>
        </w:tabs>
        <w:ind w:left="1200" w:hanging="480"/>
      </w:pPr>
    </w:lvl>
    <w:lvl w:ilvl="2">
      <w:start w:val="9"/>
      <w:numFmt w:val="lowerRoman"/>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lowerLetter"/>
      <w:lvlText w:val="%5."/>
      <w:lvlJc w:val="left"/>
      <w:pPr>
        <w:tabs>
          <w:tab w:val="num" w:pos="2880"/>
        </w:tabs>
        <w:ind w:left="3360" w:hanging="480"/>
      </w:pPr>
    </w:lvl>
    <w:lvl w:ilvl="5">
      <w:start w:val="9"/>
      <w:numFmt w:val="lowerRoman"/>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lowerLetter"/>
      <w:lvlText w:val="%8."/>
      <w:lvlJc w:val="left"/>
      <w:pPr>
        <w:tabs>
          <w:tab w:val="num" w:pos="5040"/>
        </w:tabs>
        <w:ind w:left="5520" w:hanging="480"/>
      </w:pPr>
    </w:lvl>
    <w:lvl w:ilvl="8">
      <w:start w:val="9"/>
      <w:numFmt w:val="lowerRoman"/>
      <w:lvlText w:val="%9."/>
      <w:lvlJc w:val="left"/>
      <w:pPr>
        <w:tabs>
          <w:tab w:val="num" w:pos="5760"/>
        </w:tabs>
        <w:ind w:left="6240" w:hanging="480"/>
      </w:pPr>
    </w:lvl>
  </w:abstractNum>
  <w:abstractNum w:abstractNumId="992112">
    <w:nsid w:val="4fbe019a"/>
    <w:multiLevelType w:val="multilevel"/>
    <w:lvl w:ilvl="0">
      <w:start w:val="12"/>
      <w:numFmt w:val="decimal"/>
      <w:lvlText w:val="%1."/>
      <w:lvlJc w:val="left"/>
      <w:pPr>
        <w:tabs>
          <w:tab w:val="num" w:pos="0"/>
        </w:tabs>
        <w:ind w:left="480" w:hanging="480"/>
      </w:pPr>
    </w:lvl>
    <w:lvl w:ilvl="1">
      <w:start w:val="12"/>
      <w:numFmt w:val="lowerLetter"/>
      <w:lvlText w:val="%2."/>
      <w:lvlJc w:val="left"/>
      <w:pPr>
        <w:tabs>
          <w:tab w:val="num" w:pos="720"/>
        </w:tabs>
        <w:ind w:left="1200" w:hanging="480"/>
      </w:pPr>
    </w:lvl>
    <w:lvl w:ilvl="2">
      <w:start w:val="12"/>
      <w:numFmt w:val="lowerRoman"/>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lowerLetter"/>
      <w:lvlText w:val="%5."/>
      <w:lvlJc w:val="left"/>
      <w:pPr>
        <w:tabs>
          <w:tab w:val="num" w:pos="2880"/>
        </w:tabs>
        <w:ind w:left="3360" w:hanging="480"/>
      </w:pPr>
    </w:lvl>
    <w:lvl w:ilvl="5">
      <w:start w:val="12"/>
      <w:numFmt w:val="lowerRoman"/>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lowerLetter"/>
      <w:lvlText w:val="%8."/>
      <w:lvlJc w:val="left"/>
      <w:pPr>
        <w:tabs>
          <w:tab w:val="num" w:pos="5040"/>
        </w:tabs>
        <w:ind w:left="5520" w:hanging="480"/>
      </w:pPr>
    </w:lvl>
    <w:lvl w:ilvl="8">
      <w:start w:val="12"/>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2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2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2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article 91 request</dc:title>
  <dc:creator/>
  <cp:keywords/>
  <dcterms:created xsi:type="dcterms:W3CDTF">2026-09-13T13:38:02Z</dcterms:created>
  <dcterms:modified xsi:type="dcterms:W3CDTF">2026-09-13T13:38:02Z</dcterms:modified>
</cp:coreProperties>
</file>

<file path=docProps/custom.xml><?xml version="1.0" encoding="utf-8"?>
<Properties xmlns="http://schemas.openxmlformats.org/officeDocument/2006/custom-properties" xmlns:vt="http://schemas.openxmlformats.org/officeDocument/2006/docPropsVTypes"/>
</file>