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616161"/>
          <w:sz w:val="20"/>
          <w:szCs w:val="20"/>
        </w:rPr>
        <w:t xml:space="preserve">STUDENT BUSINESS PLAN</w:t>
      </w:r>
    </w:p>
    <w:p>
      <w:pPr>
        <w:spacing w:after="200" w:before="200"/>
        <w:jc w:val="center"/>
      </w:pPr>
      <w:r>
        <w:rPr>
          <w:b/>
          <w:bCs/>
          <w:color w:val="B85042"/>
          <w:sz w:val="64"/>
          <w:szCs w:val="64"/>
        </w:rPr>
        <w:t xml:space="preserve">EDU-SYNC MESH</w:t>
      </w:r>
    </w:p>
    <w:p>
      <w:pPr>
        <w:spacing w:after="400"/>
        <w:jc w:val="center"/>
      </w:pPr>
      <w:r>
        <w:rPr>
          <w:i/>
          <w:iCs/>
          <w:color w:val="2E7D32"/>
          <w:sz w:val="26"/>
          <w:szCs w:val="26"/>
        </w:rPr>
        <w:t xml:space="preserve">The Offline-First AI Tutor Bridging Zimbabwe's Rural-Urban Learning Gap</w:t>
      </w:r>
    </w:p>
    <w:p>
      <w:pPr>
        <w:spacing w:before="800"/>
        <w:jc w:val="center"/>
      </w:pPr>
      <w:r>
        <w:rPr>
          <w:color w:val="1B1B1B"/>
          <w:sz w:val="22"/>
          <w:szCs w:val="22"/>
        </w:rPr>
        <w:t xml:space="preserve">Prepared for: All-University IT Hackathon 2026</w:t>
      </w:r>
    </w:p>
    <w:p>
      <w:pPr>
        <w:spacing w:after="100"/>
        <w:jc w:val="center"/>
      </w:pPr>
      <w:r>
        <w:rPr>
          <w:color w:val="616161"/>
          <w:sz w:val="20"/>
          <w:szCs w:val="20"/>
        </w:rPr>
        <w:t xml:space="preserve">Research, Innovation and Industrialisation Workshop</w:t>
      </w:r>
    </w:p>
    <w:p>
      <w:pPr>
        <w:jc w:val="center"/>
      </w:pPr>
      <w:r>
        <w:rPr>
          <w:color w:val="616161"/>
          <w:sz w:val="20"/>
          <w:szCs w:val="20"/>
        </w:rPr>
        <w:t xml:space="preserve">Prepared by: Brighton | Zimbabwe Open University</w:t>
      </w:r>
    </w:p>
    <w:p>
      <w:r>
        <w:br w:type="page"/>
      </w:r>
    </w:p>
    <w:p>
      <w:pPr>
        <w:pStyle w:val="Heading1"/>
        <w:spacing w:after="160" w:before="320"/>
      </w:pPr>
      <w:r>
        <w:t xml:space="preserve">Table of Contents</w:t>
      </w:r>
    </w:p>
    <w:p>
      <w:pPr>
        <w:spacing w:after="160"/>
        <w:jc w:val="left"/>
      </w:pPr>
      <w:r>
        <w:t xml:space="preserve">1. Business Description</w:t>
      </w:r>
    </w:p>
    <w:p>
      <w:pPr>
        <w:spacing w:after="160"/>
        <w:jc w:val="left"/>
      </w:pPr>
      <w:r>
        <w:t xml:space="preserve">2. Management and Organisation</w:t>
      </w:r>
    </w:p>
    <w:p>
      <w:pPr>
        <w:spacing w:after="160"/>
        <w:jc w:val="left"/>
      </w:pPr>
      <w:r>
        <w:t xml:space="preserve">3. Marketing Plan</w:t>
      </w:r>
    </w:p>
    <w:p>
      <w:pPr>
        <w:spacing w:after="160"/>
        <w:jc w:val="left"/>
      </w:pPr>
      <w:r>
        <w:t xml:space="preserve">4. Operational / Production Plan</w:t>
      </w:r>
    </w:p>
    <w:p>
      <w:pPr>
        <w:spacing w:after="160"/>
        <w:jc w:val="left"/>
      </w:pPr>
      <w:r>
        <w:t xml:space="preserve">5. Financial Plan</w:t>
      </w:r>
    </w:p>
    <w:p>
      <w:pPr>
        <w:spacing w:after="160"/>
        <w:jc w:val="left"/>
      </w:pPr>
      <w:r>
        <w:t xml:space="preserve">6. Elevator Pitch</w:t>
      </w:r>
    </w:p>
    <w:p>
      <w:r>
        <w:br w:type="page"/>
      </w:r>
    </w:p>
    <w:p>
      <w:pPr>
        <w:pStyle w:val="Heading1"/>
        <w:spacing w:after="160" w:before="320"/>
      </w:pPr>
      <w:r>
        <w:t xml:space="preserve">1. Business Description</w:t>
      </w:r>
    </w:p>
    <w:p>
      <w:pPr>
        <w:pStyle w:val="Heading2"/>
        <w:spacing w:after="160" w:before="320"/>
      </w:pPr>
      <w:r>
        <w:t xml:space="preserve">1.1 The Problem</w:t>
      </w:r>
    </w:p>
    <w:p>
      <w:pPr>
        <w:spacing w:after="160"/>
        <w:jc w:val="left"/>
      </w:pPr>
      <w:r>
        <w:t xml:space="preserve">Zimbabwe's rural students face a persistent and measurable education gap. ZIMSEC O-Level pass rates sit at approximately 35% in rural districts such as Madziva, compared to roughly 78% in urban centres such as Harare — a 43 percentage-point gap. This is not a gap in ability or ambition; it is a gap in infrastructure.</w:t>
      </w:r>
    </w:p>
    <w:p>
      <w:pPr>
        <w:spacing w:after="160"/>
        <w:jc w:val="left"/>
      </w:pPr>
      <w:r>
        <w:t xml:space="preserve">Three compounding barriers drive this gap:</w:t>
      </w:r>
    </w:p>
    <w:p>
      <w:pPr>
        <w:pStyle w:val="ListParagraph"/>
        <w:numPr>
          <w:ilvl w:val="0"/>
          <w:numId w:val="2"/>
        </w:numPr>
        <w:spacing w:after="80"/>
      </w:pPr>
      <w:r>
        <w:t xml:space="preserve">Data cost: 1GB of mobile data can consume up to 20% of a rural family's weekly income.</w:t>
      </w:r>
    </w:p>
    <w:p>
      <w:pPr>
        <w:pStyle w:val="ListParagraph"/>
        <w:numPr>
          <w:ilvl w:val="0"/>
          <w:numId w:val="2"/>
        </w:numPr>
        <w:spacing w:after="80"/>
      </w:pPr>
      <w:r>
        <w:t xml:space="preserve">Electricity instability: many rural schools experience 6–8 hours of power outages daily.</w:t>
      </w:r>
    </w:p>
    <w:p>
      <w:pPr>
        <w:pStyle w:val="ListParagraph"/>
        <w:numPr>
          <w:ilvl w:val="0"/>
          <w:numId w:val="2"/>
        </w:numPr>
        <w:spacing w:after="80"/>
      </w:pPr>
      <w:r>
        <w:t xml:space="preserve">Lack of personalised tutoring: urban students have access to extra lessons, private tutors, and computer labs that rural students simply do not have.</w:t>
      </w:r>
    </w:p>
    <w:p>
      <w:pPr>
        <w:spacing w:after="160"/>
        <w:jc w:val="left"/>
      </w:pPr>
      <w:r>
        <w:t xml:space="preserve">We call this combination of barriers “Digital Apartheid” — a structural, not attitudinal, divide.</w:t>
      </w:r>
    </w:p>
    <w:p>
      <w:pPr>
        <w:pStyle w:val="Heading2"/>
        <w:spacing w:after="160" w:before="320"/>
      </w:pPr>
      <w:r>
        <w:t xml:space="preserve">1.2 The Solution</w:t>
      </w:r>
    </w:p>
    <w:p>
      <w:pPr>
        <w:spacing w:after="160"/>
        <w:jc w:val="left"/>
      </w:pPr>
      <w:r>
        <w:t xml:space="preserve">Edu-Sync Mesh takes the opposite approach to most EdTech platforms. Instead of trying to bring expensive internet infrastructure to the village, it brings a local copy of the cloud to the village — a “Village Hub” that needs no active internet connection to operate.</w:t>
      </w:r>
    </w:p>
    <w:p>
      <w:pPr>
        <w:spacing w:after="160"/>
        <w:jc w:val="left"/>
      </w:pPr>
      <w:r>
        <w:t xml:space="preserve">The product has three core components:</w:t>
      </w:r>
    </w:p>
    <w:p>
      <w:pPr>
        <w:pStyle w:val="ListParagraph"/>
        <w:numPr>
          <w:ilvl w:val="0"/>
          <w:numId w:val="2"/>
        </w:numPr>
        <w:spacing w:after="80"/>
      </w:pPr>
      <w:r>
        <w:t xml:space="preserve">Village Hub — a low-cost Raspberry Pi (or repurposed laptop) that hosts the ZIMSEC curriculum, past exam papers, and a compressed offline AI tutor over a local Wi-Fi hotspot. Runs on a car battery or small solar panel.</w:t>
      </w:r>
    </w:p>
    <w:p>
      <w:pPr>
        <w:pStyle w:val="ListParagraph"/>
        <w:numPr>
          <w:ilvl w:val="0"/>
          <w:numId w:val="2"/>
        </w:numPr>
        <w:spacing w:after="80"/>
      </w:pPr>
      <w:r>
        <w:t xml:space="preserve">Data Mule Sync Protocol — a novel synchronisation method where a trusted commuter (a teacher, bus driver, or parent) carries content updates between town and village automatically via their phone — no fibre cable required.</w:t>
      </w:r>
    </w:p>
    <w:p>
      <w:pPr>
        <w:pStyle w:val="ListParagraph"/>
        <w:numPr>
          <w:ilvl w:val="0"/>
          <w:numId w:val="2"/>
        </w:numPr>
        <w:spacing w:after="80"/>
      </w:pPr>
      <w:r>
        <w:t xml:space="preserve">Gamified Peer-to-Peer Sharing — a Progressive Web App (PWA) that lets students share downloaded lessons directly with each other over Wi-Fi Direct, earning “Edu-Coins” for every share.</w:t>
      </w:r>
    </w:p>
    <w:p>
      <w:pPr>
        <w:pStyle w:val="Heading2"/>
        <w:spacing w:after="160" w:before="320"/>
      </w:pPr>
      <w:r>
        <w:t xml:space="preserve">1.3 Mission Statement</w:t>
      </w:r>
    </w:p>
    <w:p>
      <w:pPr>
        <w:spacing w:after="160"/>
        <w:jc w:val="left"/>
      </w:pPr>
      <w:r>
        <w:t xml:space="preserve">To make quality ZIMSEC-aligned education accessible to every Zimbabwean student, regardless of internet access, electricity reliability, or household income.</w:t>
      </w:r>
    </w:p>
    <w:p>
      <w:pPr>
        <w:pStyle w:val="Heading2"/>
        <w:spacing w:after="160" w:before="320"/>
      </w:pPr>
      <w:r>
        <w:t xml:space="preserve">1.4 Vision Statement</w:t>
      </w:r>
    </w:p>
    <w:p>
      <w:pPr>
        <w:spacing w:after="160"/>
        <w:jc w:val="left"/>
      </w:pPr>
      <w:r>
        <w:t xml:space="preserve">A Zimbabwe where a student's postcode no longer determines their pass rate — and a scalable blueprint that can be replicated across rural Africa.</w:t>
      </w:r>
    </w:p>
    <w:p>
      <w:pPr>
        <w:pStyle w:val="Heading2"/>
        <w:spacing w:after="160" w:before="320"/>
      </w:pPr>
      <w:r>
        <w:t xml:space="preserve">1.5 Legal Structure</w:t>
      </w:r>
    </w:p>
    <w:p>
      <w:pPr>
        <w:spacing w:after="160"/>
        <w:jc w:val="left"/>
      </w:pPr>
      <w:r>
        <w:t xml:space="preserve">Edu-Sync Mesh is currently a student-led venture, developed as a hackathon prototype with the intention of registering as a social enterprise (Private Business Corporation) in Zimbabwe upon securing pilot partnerships with the Ministry of Primary and Secondary Education. A social enterprise structure is proposed — rather than a pure non-profit — to allow reinvestment of licensing revenue (Section 5) into scaling hardware deployment.</w:t>
      </w:r>
    </w:p>
    <w:p>
      <w:pPr>
        <w:pStyle w:val="Heading1"/>
        <w:spacing w:after="160" w:before="320"/>
      </w:pPr>
      <w:r>
        <w:t xml:space="preserve">2. Management and Organisation</w:t>
      </w:r>
    </w:p>
    <w:p>
      <w:pPr>
        <w:pStyle w:val="Heading2"/>
        <w:spacing w:after="160" w:before="320"/>
      </w:pPr>
      <w:r>
        <w:t xml:space="preserve">2.1 Organisational Structure</w:t>
      </w:r>
    </w:p>
    <w:p>
      <w:pPr>
        <w:spacing w:after="160"/>
        <w:jc w:val="left"/>
      </w:pPr>
      <w:r>
        <w:t xml:space="preserve">As a student venture entering the pilot phase, Edu-Sync Mesh operates a lean, flat structure. Roles are defined by function rather than seniority, allowing the small founding team to move quickly while remaining accountable for specific deliverables.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rPr>
          <w:tblHeader/>
        </w:trPr>
        <w:tc>
          <w:tcPr>
            <w:tcW w:type="dxa" w:w="2800"/>
            <w:shd w:fill="B85042" w:val="clear"/>
            <w:tcMar>
              <w:top w:type="dxa" w:w="100"/>
              <w:left w:type="dxa" w:w="120"/>
              <w:bottom w:type="dxa" w:w="100"/>
              <w:right w:type="dxa" w:w="120"/>
            </w:tcMar>
          </w:tcPr>
          <w:p>
            <w:pPr>
              <w:jc w:val="left"/>
            </w:pPr>
            <w:r>
              <w:rPr>
                <w:b/>
                <w:bCs/>
                <w:color w:val="FFFFFF"/>
              </w:rPr>
              <w:t xml:space="preserve">Role</w:t>
            </w:r>
          </w:p>
        </w:tc>
        <w:tc>
          <w:tcPr>
            <w:tcW w:type="dxa" w:w="3280"/>
            <w:shd w:fill="B85042" w:val="clear"/>
            <w:tcMar>
              <w:top w:type="dxa" w:w="100"/>
              <w:left w:type="dxa" w:w="120"/>
              <w:bottom w:type="dxa" w:w="100"/>
              <w:right w:type="dxa" w:w="120"/>
            </w:tcMar>
          </w:tcPr>
          <w:p>
            <w:pPr>
              <w:jc w:val="left"/>
            </w:pPr>
            <w:r>
              <w:rPr>
                <w:b/>
                <w:bCs/>
                <w:color w:val="FFFFFF"/>
              </w:rPr>
              <w:t xml:space="preserve">Responsibilities</w:t>
            </w:r>
          </w:p>
        </w:tc>
        <w:tc>
          <w:tcPr>
            <w:tcW w:type="dxa" w:w="3280"/>
            <w:shd w:fill="B85042" w:val="clear"/>
            <w:tcMar>
              <w:top w:type="dxa" w:w="100"/>
              <w:left w:type="dxa" w:w="120"/>
              <w:bottom w:type="dxa" w:w="100"/>
              <w:right w:type="dxa" w:w="120"/>
            </w:tcMar>
          </w:tcPr>
          <w:p>
            <w:pPr>
              <w:jc w:val="left"/>
            </w:pPr>
            <w:r>
              <w:rPr>
                <w:b/>
                <w:bCs/>
                <w:color w:val="FFFFFF"/>
              </w:rPr>
              <w:t xml:space="preserve">Key Skills</w:t>
            </w:r>
          </w:p>
        </w:tc>
      </w:tr>
      <w:tr>
        <w:tc>
          <w:tcPr>
            <w:tcW w:type="dxa" w:w="2800"/>
            <w:tcMar>
              <w:top w:type="dxa" w:w="100"/>
              <w:left w:type="dxa" w:w="120"/>
              <w:bottom w:type="dxa" w:w="100"/>
              <w:right w:type="dxa" w:w="120"/>
            </w:tcMar>
          </w:tcPr>
          <w:p>
            <w:pPr>
              <w:jc w:val="left"/>
            </w:pPr>
            <w:r>
              <w:rPr>
                <w:b w:val="false"/>
                <w:bCs w:val="false"/>
                <w:color w:val="1B1B1B"/>
              </w:rPr>
              <w:t xml:space="preserve">Founder / Team Lead</w:t>
            </w:r>
          </w:p>
        </w:tc>
        <w:tc>
          <w:tcPr>
            <w:tcW w:type="dxa" w:w="3280"/>
            <w:tcMar>
              <w:top w:type="dxa" w:w="100"/>
              <w:left w:type="dxa" w:w="120"/>
              <w:bottom w:type="dxa" w:w="100"/>
              <w:right w:type="dxa" w:w="120"/>
            </w:tcMar>
          </w:tcPr>
          <w:p>
            <w:pPr>
              <w:jc w:val="left"/>
            </w:pPr>
            <w:r>
              <w:rPr>
                <w:b w:val="false"/>
                <w:bCs w:val="false"/>
                <w:color w:val="1B1B1B"/>
              </w:rPr>
              <w:t xml:space="preserve">Product vision, stakeholder engagement (Ministry of Education, schools), pitch delivery</w:t>
            </w:r>
          </w:p>
        </w:tc>
        <w:tc>
          <w:tcPr>
            <w:tcW w:type="dxa" w:w="3280"/>
            <w:tcMar>
              <w:top w:type="dxa" w:w="100"/>
              <w:left w:type="dxa" w:w="120"/>
              <w:bottom w:type="dxa" w:w="100"/>
              <w:right w:type="dxa" w:w="120"/>
            </w:tcMar>
          </w:tcPr>
          <w:p>
            <w:pPr>
              <w:jc w:val="left"/>
            </w:pPr>
            <w:r>
              <w:rPr>
                <w:b w:val="false"/>
                <w:bCs w:val="false"/>
                <w:color w:val="1B1B1B"/>
              </w:rPr>
              <w:t xml:space="preserve">Full-stack development, project management, public speaking</w:t>
            </w:r>
          </w:p>
        </w:tc>
      </w:tr>
      <w:tr>
        <w:tc>
          <w:tcPr>
            <w:tcW w:type="dxa" w:w="2800"/>
            <w:tcMar>
              <w:top w:type="dxa" w:w="100"/>
              <w:left w:type="dxa" w:w="120"/>
              <w:bottom w:type="dxa" w:w="100"/>
              <w:right w:type="dxa" w:w="120"/>
            </w:tcMar>
          </w:tcPr>
          <w:p>
            <w:pPr>
              <w:jc w:val="left"/>
            </w:pPr>
            <w:r>
              <w:rPr>
                <w:b w:val="false"/>
                <w:bCs w:val="false"/>
                <w:color w:val="1B1B1B"/>
              </w:rPr>
              <w:t xml:space="preserve">Technical Lead (Hardware)</w:t>
            </w:r>
          </w:p>
        </w:tc>
        <w:tc>
          <w:tcPr>
            <w:tcW w:type="dxa" w:w="3280"/>
            <w:tcMar>
              <w:top w:type="dxa" w:w="100"/>
              <w:left w:type="dxa" w:w="120"/>
              <w:bottom w:type="dxa" w:w="100"/>
              <w:right w:type="dxa" w:w="120"/>
            </w:tcMar>
          </w:tcPr>
          <w:p>
            <w:pPr>
              <w:jc w:val="left"/>
            </w:pPr>
            <w:r>
              <w:rPr>
                <w:b w:val="false"/>
                <w:bCs w:val="false"/>
                <w:color w:val="1B1B1B"/>
              </w:rPr>
              <w:t xml:space="preserve">Village Hub setup, Raspberry Pi configuration, offline AI model deployment</w:t>
            </w:r>
          </w:p>
        </w:tc>
        <w:tc>
          <w:tcPr>
            <w:tcW w:type="dxa" w:w="3280"/>
            <w:tcMar>
              <w:top w:type="dxa" w:w="100"/>
              <w:left w:type="dxa" w:w="120"/>
              <w:bottom w:type="dxa" w:w="100"/>
              <w:right w:type="dxa" w:w="120"/>
            </w:tcMar>
          </w:tcPr>
          <w:p>
            <w:pPr>
              <w:jc w:val="left"/>
            </w:pPr>
            <w:r>
              <w:rPr>
                <w:b w:val="false"/>
                <w:bCs w:val="false"/>
                <w:color w:val="1B1B1B"/>
              </w:rPr>
              <w:t xml:space="preserve">Linux systems administration, networking, embedded devices</w:t>
            </w:r>
          </w:p>
        </w:tc>
      </w:tr>
      <w:tr>
        <w:tc>
          <w:tcPr>
            <w:tcW w:type="dxa" w:w="2800"/>
            <w:tcMar>
              <w:top w:type="dxa" w:w="100"/>
              <w:left w:type="dxa" w:w="120"/>
              <w:bottom w:type="dxa" w:w="100"/>
              <w:right w:type="dxa" w:w="120"/>
            </w:tcMar>
          </w:tcPr>
          <w:p>
            <w:pPr>
              <w:jc w:val="left"/>
            </w:pPr>
            <w:r>
              <w:rPr>
                <w:b w:val="false"/>
                <w:bCs w:val="false"/>
                <w:color w:val="1B1B1B"/>
              </w:rPr>
              <w:t xml:space="preserve">Technical Lead (Software)</w:t>
            </w:r>
          </w:p>
        </w:tc>
        <w:tc>
          <w:tcPr>
            <w:tcW w:type="dxa" w:w="3280"/>
            <w:tcMar>
              <w:top w:type="dxa" w:w="100"/>
              <w:left w:type="dxa" w:w="120"/>
              <w:bottom w:type="dxa" w:w="100"/>
              <w:right w:type="dxa" w:w="120"/>
            </w:tcMar>
          </w:tcPr>
          <w:p>
            <w:pPr>
              <w:jc w:val="left"/>
            </w:pPr>
            <w:r>
              <w:rPr>
                <w:b w:val="false"/>
                <w:bCs w:val="false"/>
                <w:color w:val="1B1B1B"/>
              </w:rPr>
              <w:t xml:space="preserve">PWA development, offline-first sync architecture (PouchDB/CouchDB)</w:t>
            </w:r>
          </w:p>
        </w:tc>
        <w:tc>
          <w:tcPr>
            <w:tcW w:type="dxa" w:w="3280"/>
            <w:tcMar>
              <w:top w:type="dxa" w:w="100"/>
              <w:left w:type="dxa" w:w="120"/>
              <w:bottom w:type="dxa" w:w="100"/>
              <w:right w:type="dxa" w:w="120"/>
            </w:tcMar>
          </w:tcPr>
          <w:p>
            <w:pPr>
              <w:jc w:val="left"/>
            </w:pPr>
            <w:r>
              <w:rPr>
                <w:b w:val="false"/>
                <w:bCs w:val="false"/>
                <w:color w:val="1B1B1B"/>
              </w:rPr>
              <w:t xml:space="preserve">React, Node.js, database design</w:t>
            </w:r>
          </w:p>
        </w:tc>
      </w:tr>
      <w:tr>
        <w:tc>
          <w:tcPr>
            <w:tcW w:type="dxa" w:w="2800"/>
            <w:tcMar>
              <w:top w:type="dxa" w:w="100"/>
              <w:left w:type="dxa" w:w="120"/>
              <w:bottom w:type="dxa" w:w="100"/>
              <w:right w:type="dxa" w:w="120"/>
            </w:tcMar>
          </w:tcPr>
          <w:p>
            <w:pPr>
              <w:jc w:val="left"/>
            </w:pPr>
            <w:r>
              <w:rPr>
                <w:b w:val="false"/>
                <w:bCs w:val="false"/>
                <w:color w:val="1B1B1B"/>
              </w:rPr>
              <w:t xml:space="preserve">Content &amp; Partnerships Coordinator</w:t>
            </w:r>
          </w:p>
        </w:tc>
        <w:tc>
          <w:tcPr>
            <w:tcW w:type="dxa" w:w="3280"/>
            <w:tcMar>
              <w:top w:type="dxa" w:w="100"/>
              <w:left w:type="dxa" w:w="120"/>
              <w:bottom w:type="dxa" w:w="100"/>
              <w:right w:type="dxa" w:w="120"/>
            </w:tcMar>
          </w:tcPr>
          <w:p>
            <w:pPr>
              <w:jc w:val="left"/>
            </w:pPr>
            <w:r>
              <w:rPr>
                <w:b w:val="false"/>
                <w:bCs w:val="false"/>
                <w:color w:val="1B1B1B"/>
              </w:rPr>
              <w:t xml:space="preserve">ZIMSEC curriculum sourcing, teacher training material, school partnerships</w:t>
            </w:r>
          </w:p>
        </w:tc>
        <w:tc>
          <w:tcPr>
            <w:tcW w:type="dxa" w:w="3280"/>
            <w:tcMar>
              <w:top w:type="dxa" w:w="100"/>
              <w:left w:type="dxa" w:w="120"/>
              <w:bottom w:type="dxa" w:w="100"/>
              <w:right w:type="dxa" w:w="120"/>
            </w:tcMar>
          </w:tcPr>
          <w:p>
            <w:pPr>
              <w:jc w:val="left"/>
            </w:pPr>
            <w:r>
              <w:rPr>
                <w:b w:val="false"/>
                <w:bCs w:val="false"/>
                <w:color w:val="1B1B1B"/>
              </w:rPr>
              <w:t xml:space="preserve">Curriculum knowledge, relationship management</w:t>
            </w:r>
          </w:p>
        </w:tc>
      </w:tr>
      <w:tr>
        <w:tc>
          <w:tcPr>
            <w:tcW w:type="dxa" w:w="2800"/>
            <w:tcMar>
              <w:top w:type="dxa" w:w="100"/>
              <w:left w:type="dxa" w:w="120"/>
              <w:bottom w:type="dxa" w:w="100"/>
              <w:right w:type="dxa" w:w="120"/>
            </w:tcMar>
          </w:tcPr>
          <w:p>
            <w:pPr>
              <w:jc w:val="left"/>
            </w:pPr>
            <w:r>
              <w:rPr>
                <w:b w:val="false"/>
                <w:bCs w:val="false"/>
                <w:color w:val="1B1B1B"/>
              </w:rPr>
              <w:t xml:space="preserve">Finance &amp; Operations</w:t>
            </w:r>
          </w:p>
        </w:tc>
        <w:tc>
          <w:tcPr>
            <w:tcW w:type="dxa" w:w="3280"/>
            <w:tcMar>
              <w:top w:type="dxa" w:w="100"/>
              <w:left w:type="dxa" w:w="120"/>
              <w:bottom w:type="dxa" w:w="100"/>
              <w:right w:type="dxa" w:w="120"/>
            </w:tcMar>
          </w:tcPr>
          <w:p>
            <w:pPr>
              <w:jc w:val="left"/>
            </w:pPr>
            <w:r>
              <w:rPr>
                <w:b w:val="false"/>
                <w:bCs w:val="false"/>
                <w:color w:val="1B1B1B"/>
              </w:rPr>
              <w:t xml:space="preserve">Budget tracking, grant/sponsorship applications, pilot logistics</w:t>
            </w:r>
          </w:p>
        </w:tc>
        <w:tc>
          <w:tcPr>
            <w:tcW w:type="dxa" w:w="3280"/>
            <w:tcMar>
              <w:top w:type="dxa" w:w="100"/>
              <w:left w:type="dxa" w:w="120"/>
              <w:bottom w:type="dxa" w:w="100"/>
              <w:right w:type="dxa" w:w="120"/>
            </w:tcMar>
          </w:tcPr>
          <w:p>
            <w:pPr>
              <w:jc w:val="left"/>
            </w:pPr>
            <w:r>
              <w:rPr>
                <w:b w:val="false"/>
                <w:bCs w:val="false"/>
                <w:color w:val="1B1B1B"/>
              </w:rPr>
              <w:t xml:space="preserve">Financial planning, reporting</w:t>
            </w:r>
          </w:p>
        </w:tc>
      </w:tr>
    </w:tbl>
    <w:p>
      <w:pPr>
        <w:spacing w:before="240"/>
      </w:pPr>
    </w:p>
    <w:p>
      <w:pPr>
        <w:pStyle w:val="Heading2"/>
        <w:spacing w:after="160" w:before="320"/>
      </w:pPr>
      <w:r>
        <w:t xml:space="preserve">2.2 Advisory &amp; Support Network</w:t>
      </w:r>
    </w:p>
    <w:p>
      <w:pPr>
        <w:pStyle w:val="ListParagraph"/>
        <w:numPr>
          <w:ilvl w:val="0"/>
          <w:numId w:val="2"/>
        </w:numPr>
        <w:spacing w:after="80"/>
      </w:pPr>
      <w:r>
        <w:t xml:space="preserve">University supervisor / IT department mentor — technical guidance and academic credibility</w:t>
      </w:r>
    </w:p>
    <w:p>
      <w:pPr>
        <w:pStyle w:val="ListParagraph"/>
        <w:numPr>
          <w:ilvl w:val="0"/>
          <w:numId w:val="2"/>
        </w:numPr>
        <w:spacing w:after="80"/>
      </w:pPr>
      <w:r>
        <w:t xml:space="preserve">Rural school headteacher (pilot partner) — ground-truth feedback on classroom usability</w:t>
      </w:r>
    </w:p>
    <w:p>
      <w:pPr>
        <w:pStyle w:val="ListParagraph"/>
        <w:numPr>
          <w:ilvl w:val="0"/>
          <w:numId w:val="2"/>
        </w:numPr>
        <w:spacing w:after="80"/>
      </w:pPr>
      <w:r>
        <w:t xml:space="preserve">Ministry of Primary and Secondary Education liaison (target, post-pilot) — curriculum approval and scaling pathway</w:t>
      </w:r>
    </w:p>
    <w:p>
      <w:pPr>
        <w:pStyle w:val="Heading2"/>
        <w:spacing w:after="160" w:before="320"/>
      </w:pPr>
      <w:r>
        <w:t xml:space="preserve">2.3 Governance &amp; Decision-Making</w:t>
      </w:r>
    </w:p>
    <w:p>
      <w:pPr>
        <w:spacing w:after="160"/>
        <w:jc w:val="left"/>
      </w:pPr>
      <w:r>
        <w:t xml:space="preserve">During the pilot phase, decisions are made by consensus within the founding team, with the Team Lead holding final say on scope and timeline to keep delivery on schedule. As the venture scales past the pilot (Section 4.3), a formal advisory board will be established including a Ministry of Education representative and a school principal from a partner district.</w:t>
      </w:r>
    </w:p>
    <w:p>
      <w:pPr>
        <w:pStyle w:val="Heading1"/>
        <w:spacing w:after="160" w:before="320"/>
      </w:pPr>
      <w:r>
        <w:t xml:space="preserve">3. Marketing Plan</w:t>
      </w:r>
    </w:p>
    <w:p>
      <w:pPr>
        <w:pStyle w:val="Heading2"/>
        <w:spacing w:after="160" w:before="320"/>
      </w:pPr>
      <w:r>
        <w:t xml:space="preserve">3.1 Target Market</w:t>
      </w:r>
    </w:p>
    <w:p>
      <w:pPr>
        <w:spacing w:after="160"/>
        <w:jc w:val="left"/>
      </w:pPr>
      <w:r>
        <w:t xml:space="preserve">Edu-Sync Mesh serves two connected customer segments:</w:t>
      </w:r>
    </w:p>
    <w:p>
      <w:pPr>
        <w:pStyle w:val="ListParagraph"/>
        <w:numPr>
          <w:ilvl w:val="0"/>
          <w:numId w:val="2"/>
        </w:numPr>
        <w:spacing w:after="80"/>
      </w:pPr>
      <w:r>
        <w:t xml:space="preserve">Primary users: Rural O-Level students (Form 1–4) in under-resourced government schools across Zimbabwe's ten provinces — an estimated 200,000+ eligible students.</w:t>
      </w:r>
    </w:p>
    <w:p>
      <w:pPr>
        <w:pStyle w:val="ListParagraph"/>
        <w:numPr>
          <w:ilvl w:val="0"/>
          <w:numId w:val="2"/>
        </w:numPr>
        <w:spacing w:after="80"/>
      </w:pPr>
      <w:r>
        <w:t xml:space="preserve">Primary buyers/adopters: School administrations and the Ministry of Primary and Secondary Education, who fund and approve hardware deployment and curriculum access.</w:t>
      </w:r>
    </w:p>
    <w:p>
      <w:pPr>
        <w:pStyle w:val="ListParagraph"/>
        <w:numPr>
          <w:ilvl w:val="0"/>
          <w:numId w:val="2"/>
        </w:numPr>
        <w:spacing w:after="80"/>
      </w:pPr>
      <w:r>
        <w:t xml:space="preserve">Secondary beneficiaries: Rural teachers, who gain a ready-made lesson library and student progress visibility without needing connectivity themselves.</w:t>
      </w:r>
    </w:p>
    <w:p>
      <w:pPr>
        <w:pStyle w:val="Heading2"/>
        <w:spacing w:after="160" w:before="320"/>
      </w:pPr>
      <w:r>
        <w:t xml:space="preserve">3.2 Market Positioning</w:t>
      </w:r>
    </w:p>
    <w:p>
      <w:pPr>
        <w:spacing w:after="160"/>
        <w:jc w:val="left"/>
      </w:pPr>
      <w:r>
        <w:t xml:space="preserve">Edu-Sync Mesh is positioned as the only ZIMSEC-aligned learning platform that requires zero ongoing data cost and zero permanent internet connection — a category existing platforms (Khan Academy, Google Classroom, private tutoring apps) cannot occupy, since all of them assume connectivity.</w:t>
      </w:r>
    </w:p>
    <w:p>
      <w:pPr>
        <w:pStyle w:val="Heading2"/>
        <w:spacing w:after="160" w:before="320"/>
      </w:pPr>
      <w:r>
        <w:t xml:space="preserve">3.3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shd w:fill="B85042" w:val="clear"/>
            <w:tcMar>
              <w:top w:type="dxa" w:w="100"/>
              <w:left w:type="dxa" w:w="120"/>
              <w:bottom w:type="dxa" w:w="100"/>
              <w:right w:type="dxa" w:w="120"/>
            </w:tcMar>
          </w:tcPr>
          <w:p>
            <w:pPr>
              <w:jc w:val="left"/>
            </w:pPr>
            <w:r>
              <w:rPr>
                <w:b/>
                <w:bCs/>
                <w:color w:val="FFFFFF"/>
              </w:rPr>
              <w:t xml:space="preserve">Feature</w:t>
            </w:r>
          </w:p>
        </w:tc>
        <w:tc>
          <w:tcPr>
            <w:tcW w:type="dxa" w:w="1700"/>
            <w:shd w:fill="2E7D32" w:val="clear"/>
            <w:tcMar>
              <w:top w:type="dxa" w:w="100"/>
              <w:left w:type="dxa" w:w="120"/>
              <w:bottom w:type="dxa" w:w="100"/>
              <w:right w:type="dxa" w:w="120"/>
            </w:tcMar>
          </w:tcPr>
          <w:p>
            <w:pPr>
              <w:jc w:val="center"/>
            </w:pPr>
            <w:r>
              <w:rPr>
                <w:b/>
                <w:bCs/>
                <w:color w:val="FFFFFF"/>
              </w:rPr>
              <w:t xml:space="preserve">Edu-Sync Mesh</w:t>
            </w:r>
          </w:p>
        </w:tc>
        <w:tc>
          <w:tcPr>
            <w:tcW w:type="dxa" w:w="1700"/>
            <w:shd w:fill="EFEFEF" w:val="clear"/>
            <w:tcMar>
              <w:top w:type="dxa" w:w="100"/>
              <w:left w:type="dxa" w:w="120"/>
              <w:bottom w:type="dxa" w:w="100"/>
              <w:right w:type="dxa" w:w="120"/>
            </w:tcMar>
          </w:tcPr>
          <w:p>
            <w:pPr>
              <w:jc w:val="center"/>
            </w:pPr>
            <w:r>
              <w:rPr>
                <w:b/>
                <w:bCs/>
                <w:color w:val="1B1B1B"/>
              </w:rPr>
              <w:t xml:space="preserve">Khan Academy</w:t>
            </w:r>
          </w:p>
        </w:tc>
        <w:tc>
          <w:tcPr>
            <w:tcW w:type="dxa" w:w="1700"/>
            <w:shd w:fill="EFEFEF" w:val="clear"/>
            <w:tcMar>
              <w:top w:type="dxa" w:w="100"/>
              <w:left w:type="dxa" w:w="120"/>
              <w:bottom w:type="dxa" w:w="100"/>
              <w:right w:type="dxa" w:w="120"/>
            </w:tcMar>
          </w:tcPr>
          <w:p>
            <w:pPr>
              <w:jc w:val="center"/>
            </w:pPr>
            <w:r>
              <w:rPr>
                <w:b/>
                <w:bCs/>
                <w:color w:val="1B1B1B"/>
              </w:rPr>
              <w:t xml:space="preserve">Google Classroom</w:t>
            </w:r>
          </w:p>
        </w:tc>
        <w:tc>
          <w:tcPr>
            <w:tcW w:type="dxa" w:w="1700"/>
            <w:shd w:fill="EFEFEF" w:val="clear"/>
            <w:tcMar>
              <w:top w:type="dxa" w:w="100"/>
              <w:left w:type="dxa" w:w="120"/>
              <w:bottom w:type="dxa" w:w="100"/>
              <w:right w:type="dxa" w:w="120"/>
            </w:tcMar>
          </w:tcPr>
          <w:p>
            <w:pPr>
              <w:jc w:val="center"/>
            </w:pPr>
            <w:r>
              <w:rPr>
                <w:b/>
                <w:bCs/>
                <w:color w:val="1B1B1B"/>
              </w:rPr>
              <w:t xml:space="preserve">Local LMS</w:t>
            </w:r>
          </w:p>
        </w:tc>
      </w:tr>
      <w:tr>
        <w:tc>
          <w:tcPr>
            <w:tcW w:type="dxa" w:w="2560"/>
            <w:tcMar>
              <w:top w:type="dxa" w:w="100"/>
              <w:left w:type="dxa" w:w="120"/>
              <w:bottom w:type="dxa" w:w="100"/>
              <w:right w:type="dxa" w:w="120"/>
            </w:tcMar>
          </w:tcPr>
          <w:p>
            <w:pPr>
              <w:jc w:val="left"/>
            </w:pPr>
            <w:r>
              <w:rPr>
                <w:b w:val="false"/>
                <w:bCs w:val="false"/>
                <w:color w:val="1B1B1B"/>
              </w:rPr>
              <w:t xml:space="preserve">Works fully offline</w:t>
            </w:r>
          </w:p>
        </w:tc>
        <w:tc>
          <w:tcPr>
            <w:tcW w:type="dxa" w:w="1700"/>
            <w:tcMar>
              <w:top w:type="dxa" w:w="100"/>
              <w:left w:type="dxa" w:w="120"/>
              <w:bottom w:type="dxa" w:w="100"/>
              <w:right w:type="dxa" w:w="120"/>
            </w:tcMar>
          </w:tcPr>
          <w:p>
            <w:pPr>
              <w:jc w:val="center"/>
            </w:pPr>
            <w:r>
              <w:rPr>
                <w:b/>
                <w:bCs/>
                <w:color w:val="2E7D32"/>
              </w:rPr>
              <w:t xml:space="preserve">Yes</w:t>
            </w:r>
          </w:p>
        </w:tc>
        <w:tc>
          <w:tcPr>
            <w:tcW w:type="dxa" w:w="1700"/>
            <w:tcMar>
              <w:top w:type="dxa" w:w="100"/>
              <w:left w:type="dxa" w:w="120"/>
              <w:bottom w:type="dxa" w:w="100"/>
              <w:right w:type="dxa" w:w="120"/>
            </w:tcMar>
          </w:tcPr>
          <w:p>
            <w:pPr>
              <w:jc w:val="center"/>
            </w:pPr>
            <w:r>
              <w:rPr>
                <w:b w:val="false"/>
                <w:bCs w:val="false"/>
                <w:color w:val="B85042"/>
              </w:rPr>
              <w:t xml:space="preserve">No</w:t>
            </w:r>
          </w:p>
        </w:tc>
        <w:tc>
          <w:tcPr>
            <w:tcW w:type="dxa" w:w="1700"/>
            <w:tcMar>
              <w:top w:type="dxa" w:w="100"/>
              <w:left w:type="dxa" w:w="120"/>
              <w:bottom w:type="dxa" w:w="100"/>
              <w:right w:type="dxa" w:w="120"/>
            </w:tcMar>
          </w:tcPr>
          <w:p>
            <w:pPr>
              <w:jc w:val="center"/>
            </w:pPr>
            <w:r>
              <w:rPr>
                <w:b w:val="false"/>
                <w:bCs w:val="false"/>
                <w:color w:val="B85042"/>
              </w:rPr>
              <w:t xml:space="preserve">No</w:t>
            </w:r>
          </w:p>
        </w:tc>
        <w:tc>
          <w:tcPr>
            <w:tcW w:type="dxa" w:w="1700"/>
            <w:tcMar>
              <w:top w:type="dxa" w:w="100"/>
              <w:left w:type="dxa" w:w="120"/>
              <w:bottom w:type="dxa" w:w="100"/>
              <w:right w:type="dxa" w:w="120"/>
            </w:tcMar>
          </w:tcPr>
          <w:p>
            <w:pPr>
              <w:jc w:val="center"/>
            </w:pPr>
            <w:r>
              <w:rPr>
                <w:b w:val="false"/>
                <w:bCs w:val="false"/>
                <w:color w:val="1B1B1B"/>
              </w:rPr>
              <w:t xml:space="preserve">Partial</w:t>
            </w:r>
          </w:p>
        </w:tc>
      </w:tr>
      <w:tr>
        <w:tc>
          <w:tcPr>
            <w:tcW w:type="dxa" w:w="2560"/>
            <w:tcMar>
              <w:top w:type="dxa" w:w="100"/>
              <w:left w:type="dxa" w:w="120"/>
              <w:bottom w:type="dxa" w:w="100"/>
              <w:right w:type="dxa" w:w="120"/>
            </w:tcMar>
          </w:tcPr>
          <w:p>
            <w:pPr>
              <w:jc w:val="left"/>
            </w:pPr>
            <w:r>
              <w:rPr>
                <w:b w:val="false"/>
                <w:bCs w:val="false"/>
                <w:color w:val="1B1B1B"/>
              </w:rPr>
              <w:t xml:space="preserve">Data cost to student</w:t>
            </w:r>
          </w:p>
        </w:tc>
        <w:tc>
          <w:tcPr>
            <w:tcW w:type="dxa" w:w="1700"/>
            <w:tcMar>
              <w:top w:type="dxa" w:w="100"/>
              <w:left w:type="dxa" w:w="120"/>
              <w:bottom w:type="dxa" w:w="100"/>
              <w:right w:type="dxa" w:w="120"/>
            </w:tcMar>
          </w:tcPr>
          <w:p>
            <w:pPr>
              <w:jc w:val="center"/>
            </w:pPr>
            <w:r>
              <w:rPr>
                <w:b/>
                <w:bCs/>
                <w:color w:val="2E7D32"/>
              </w:rPr>
              <w:t xml:space="preserve">$0</w:t>
            </w:r>
          </w:p>
        </w:tc>
        <w:tc>
          <w:tcPr>
            <w:tcW w:type="dxa" w:w="1700"/>
            <w:tcMar>
              <w:top w:type="dxa" w:w="100"/>
              <w:left w:type="dxa" w:w="120"/>
              <w:bottom w:type="dxa" w:w="100"/>
              <w:right w:type="dxa" w:w="120"/>
            </w:tcMar>
          </w:tcPr>
          <w:p>
            <w:pPr>
              <w:jc w:val="center"/>
            </w:pPr>
            <w:r>
              <w:rPr>
                <w:b w:val="false"/>
                <w:bCs w:val="false"/>
                <w:color w:val="B85042"/>
              </w:rPr>
              <w:t xml:space="preserve">$10–20/mo</w:t>
            </w:r>
          </w:p>
        </w:tc>
        <w:tc>
          <w:tcPr>
            <w:tcW w:type="dxa" w:w="1700"/>
            <w:tcMar>
              <w:top w:type="dxa" w:w="100"/>
              <w:left w:type="dxa" w:w="120"/>
              <w:bottom w:type="dxa" w:w="100"/>
              <w:right w:type="dxa" w:w="120"/>
            </w:tcMar>
          </w:tcPr>
          <w:p>
            <w:pPr>
              <w:jc w:val="center"/>
            </w:pPr>
            <w:r>
              <w:rPr>
                <w:b w:val="false"/>
                <w:bCs w:val="false"/>
                <w:color w:val="B85042"/>
              </w:rPr>
              <w:t xml:space="preserve">$10–20/mo</w:t>
            </w:r>
          </w:p>
        </w:tc>
        <w:tc>
          <w:tcPr>
            <w:tcW w:type="dxa" w:w="1700"/>
            <w:tcMar>
              <w:top w:type="dxa" w:w="100"/>
              <w:left w:type="dxa" w:w="120"/>
              <w:bottom w:type="dxa" w:w="100"/>
              <w:right w:type="dxa" w:w="120"/>
            </w:tcMar>
          </w:tcPr>
          <w:p>
            <w:pPr>
              <w:jc w:val="center"/>
            </w:pPr>
            <w:r>
              <w:rPr>
                <w:b w:val="false"/>
                <w:bCs w:val="false"/>
                <w:color w:val="1B1B1B"/>
              </w:rPr>
              <w:t xml:space="preserve">$5–15/mo</w:t>
            </w:r>
          </w:p>
        </w:tc>
      </w:tr>
      <w:tr>
        <w:tc>
          <w:tcPr>
            <w:tcW w:type="dxa" w:w="2560"/>
            <w:tcMar>
              <w:top w:type="dxa" w:w="100"/>
              <w:left w:type="dxa" w:w="120"/>
              <w:bottom w:type="dxa" w:w="100"/>
              <w:right w:type="dxa" w:w="120"/>
            </w:tcMar>
          </w:tcPr>
          <w:p>
            <w:pPr>
              <w:jc w:val="left"/>
            </w:pPr>
            <w:r>
              <w:rPr>
                <w:b w:val="false"/>
                <w:bCs w:val="false"/>
                <w:color w:val="1B1B1B"/>
              </w:rPr>
              <w:t xml:space="preserve">Local AI tutor (Shona)</w:t>
            </w:r>
          </w:p>
        </w:tc>
        <w:tc>
          <w:tcPr>
            <w:tcW w:type="dxa" w:w="1700"/>
            <w:tcMar>
              <w:top w:type="dxa" w:w="100"/>
              <w:left w:type="dxa" w:w="120"/>
              <w:bottom w:type="dxa" w:w="100"/>
              <w:right w:type="dxa" w:w="120"/>
            </w:tcMar>
          </w:tcPr>
          <w:p>
            <w:pPr>
              <w:jc w:val="center"/>
            </w:pPr>
            <w:r>
              <w:rPr>
                <w:b/>
                <w:bCs/>
                <w:color w:val="2E7D32"/>
              </w:rPr>
              <w:t xml:space="preserve">Yes</w:t>
            </w:r>
          </w:p>
        </w:tc>
        <w:tc>
          <w:tcPr>
            <w:tcW w:type="dxa" w:w="1700"/>
            <w:tcMar>
              <w:top w:type="dxa" w:w="100"/>
              <w:left w:type="dxa" w:w="120"/>
              <w:bottom w:type="dxa" w:w="100"/>
              <w:right w:type="dxa" w:w="120"/>
            </w:tcMar>
          </w:tcPr>
          <w:p>
            <w:pPr>
              <w:jc w:val="center"/>
            </w:pPr>
            <w:r>
              <w:rPr>
                <w:b w:val="false"/>
                <w:bCs w:val="false"/>
                <w:color w:val="B85042"/>
              </w:rPr>
              <w:t xml:space="preserve">No</w:t>
            </w:r>
          </w:p>
        </w:tc>
        <w:tc>
          <w:tcPr>
            <w:tcW w:type="dxa" w:w="1700"/>
            <w:tcMar>
              <w:top w:type="dxa" w:w="100"/>
              <w:left w:type="dxa" w:w="120"/>
              <w:bottom w:type="dxa" w:w="100"/>
              <w:right w:type="dxa" w:w="120"/>
            </w:tcMar>
          </w:tcPr>
          <w:p>
            <w:pPr>
              <w:jc w:val="center"/>
            </w:pPr>
            <w:r>
              <w:rPr>
                <w:b w:val="false"/>
                <w:bCs w:val="false"/>
                <w:color w:val="B85042"/>
              </w:rPr>
              <w:t xml:space="preserve">No</w:t>
            </w:r>
          </w:p>
        </w:tc>
        <w:tc>
          <w:tcPr>
            <w:tcW w:type="dxa" w:w="1700"/>
            <w:tcMar>
              <w:top w:type="dxa" w:w="100"/>
              <w:left w:type="dxa" w:w="120"/>
              <w:bottom w:type="dxa" w:w="100"/>
              <w:right w:type="dxa" w:w="120"/>
            </w:tcMar>
          </w:tcPr>
          <w:p>
            <w:pPr>
              <w:jc w:val="center"/>
            </w:pPr>
            <w:r>
              <w:rPr>
                <w:b w:val="false"/>
                <w:bCs w:val="false"/>
                <w:color w:val="B85042"/>
              </w:rPr>
              <w:t xml:space="preserve">No</w:t>
            </w:r>
          </w:p>
        </w:tc>
      </w:tr>
      <w:tr>
        <w:tc>
          <w:tcPr>
            <w:tcW w:type="dxa" w:w="2560"/>
            <w:tcMar>
              <w:top w:type="dxa" w:w="100"/>
              <w:left w:type="dxa" w:w="120"/>
              <w:bottom w:type="dxa" w:w="100"/>
              <w:right w:type="dxa" w:w="120"/>
            </w:tcMar>
          </w:tcPr>
          <w:p>
            <w:pPr>
              <w:jc w:val="left"/>
            </w:pPr>
            <w:r>
              <w:rPr>
                <w:b w:val="false"/>
                <w:bCs w:val="false"/>
                <w:color w:val="1B1B1B"/>
              </w:rPr>
              <w:t xml:space="preserve">Setup cost per school</w:t>
            </w:r>
          </w:p>
        </w:tc>
        <w:tc>
          <w:tcPr>
            <w:tcW w:type="dxa" w:w="1700"/>
            <w:tcMar>
              <w:top w:type="dxa" w:w="100"/>
              <w:left w:type="dxa" w:w="120"/>
              <w:bottom w:type="dxa" w:w="100"/>
              <w:right w:type="dxa" w:w="120"/>
            </w:tcMar>
          </w:tcPr>
          <w:p>
            <w:pPr>
              <w:jc w:val="center"/>
            </w:pPr>
            <w:r>
              <w:rPr>
                <w:b/>
                <w:bCs/>
                <w:color w:val="2E7D32"/>
              </w:rPr>
              <w:t xml:space="preserve">$50</w:t>
            </w:r>
          </w:p>
        </w:tc>
        <w:tc>
          <w:tcPr>
            <w:tcW w:type="dxa" w:w="1700"/>
            <w:tcMar>
              <w:top w:type="dxa" w:w="100"/>
              <w:left w:type="dxa" w:w="120"/>
              <w:bottom w:type="dxa" w:w="100"/>
              <w:right w:type="dxa" w:w="120"/>
            </w:tcMar>
          </w:tcPr>
          <w:p>
            <w:pPr>
              <w:jc w:val="center"/>
            </w:pPr>
            <w:r>
              <w:rPr>
                <w:b w:val="false"/>
                <w:bCs w:val="false"/>
                <w:color w:val="1B1B1B"/>
              </w:rPr>
              <w:t xml:space="preserve">$0*</w:t>
            </w:r>
          </w:p>
        </w:tc>
        <w:tc>
          <w:tcPr>
            <w:tcW w:type="dxa" w:w="1700"/>
            <w:tcMar>
              <w:top w:type="dxa" w:w="100"/>
              <w:left w:type="dxa" w:w="120"/>
              <w:bottom w:type="dxa" w:w="100"/>
              <w:right w:type="dxa" w:w="120"/>
            </w:tcMar>
          </w:tcPr>
          <w:p>
            <w:pPr>
              <w:jc w:val="center"/>
            </w:pPr>
            <w:r>
              <w:rPr>
                <w:b w:val="false"/>
                <w:bCs w:val="false"/>
                <w:color w:val="1B1B1B"/>
              </w:rPr>
              <w:t xml:space="preserve">$0*</w:t>
            </w:r>
          </w:p>
        </w:tc>
        <w:tc>
          <w:tcPr>
            <w:tcW w:type="dxa" w:w="1700"/>
            <w:tcMar>
              <w:top w:type="dxa" w:w="100"/>
              <w:left w:type="dxa" w:w="120"/>
              <w:bottom w:type="dxa" w:w="100"/>
              <w:right w:type="dxa" w:w="120"/>
            </w:tcMar>
          </w:tcPr>
          <w:p>
            <w:pPr>
              <w:jc w:val="center"/>
            </w:pPr>
            <w:r>
              <w:rPr>
                <w:b w:val="false"/>
                <w:bCs w:val="false"/>
                <w:color w:val="B85042"/>
              </w:rPr>
              <w:t xml:space="preserve">$500+</w:t>
            </w:r>
          </w:p>
        </w:tc>
      </w:tr>
    </w:tbl>
    <w:p>
      <w:pPr>
        <w:spacing w:after="200" w:before="120"/>
      </w:pPr>
      <w:r>
        <w:rPr>
          <w:i/>
          <w:iCs/>
          <w:color w:val="616161"/>
          <w:sz w:val="18"/>
          <w:szCs w:val="18"/>
        </w:rPr>
        <w:t xml:space="preserve">*Free to install, but unusable without ongoing internet/data cost, which is the actual barrier for our target market.</w:t>
      </w:r>
    </w:p>
    <w:p>
      <w:pPr>
        <w:pStyle w:val="Heading2"/>
        <w:spacing w:after="160" w:before="320"/>
      </w:pPr>
      <w:r>
        <w:t xml:space="preserve">3.4 Marketing &amp; Adoption Strategy</w:t>
      </w:r>
    </w:p>
    <w:p>
      <w:pPr>
        <w:pStyle w:val="ListParagraph"/>
        <w:numPr>
          <w:ilvl w:val="0"/>
          <w:numId w:val="2"/>
        </w:numPr>
        <w:spacing w:after="80"/>
      </w:pPr>
      <w:r>
        <w:t xml:space="preserve">Phase 1 – Direct school partnerships: Approach headteachers and School Development Committees directly in pilot districts; no cost to schools during pilot.</w:t>
      </w:r>
    </w:p>
    <w:p>
      <w:pPr>
        <w:pStyle w:val="ListParagraph"/>
        <w:numPr>
          <w:ilvl w:val="0"/>
          <w:numId w:val="2"/>
        </w:numPr>
        <w:spacing w:after="80"/>
      </w:pPr>
      <w:r>
        <w:t xml:space="preserve">Phase 2 – Ministry endorsement: Use pilot results (pass-rate improvement data) to secure a formal endorsement letter from the Ministry of Primary and Secondary Education, which becomes the credibility signal for wider adoption.</w:t>
      </w:r>
    </w:p>
    <w:p>
      <w:pPr>
        <w:pStyle w:val="ListParagraph"/>
        <w:numPr>
          <w:ilvl w:val="0"/>
          <w:numId w:val="2"/>
        </w:numPr>
        <w:spacing w:after="80"/>
      </w:pPr>
      <w:r>
        <w:t xml:space="preserve">Phase 3 – Word-of-mouth via Edu-Coins leaderboard: The gamified sharing system is deliberately viral — students are incentivised to recruit peers into the sharing network, driving organic adoption within a school.</w:t>
      </w:r>
    </w:p>
    <w:p>
      <w:pPr>
        <w:pStyle w:val="ListParagraph"/>
        <w:numPr>
          <w:ilvl w:val="0"/>
          <w:numId w:val="2"/>
        </w:numPr>
        <w:spacing w:after="80"/>
      </w:pPr>
      <w:r>
        <w:t xml:space="preserve">Phase 4 – Telecom &amp; corporate sponsorship visibility: Partner with Econet/NetOne/Telecel for “Connect Days” and CSR-aligned press coverage, positioning sponsors alongside a tangible national education outcome.</w:t>
      </w:r>
    </w:p>
    <w:p>
      <w:pPr>
        <w:pStyle w:val="Heading2"/>
        <w:spacing w:after="160" w:before="320"/>
      </w:pPr>
      <w:r>
        <w:t xml:space="preserve">3.5 Pricing Strategy</w:t>
      </w:r>
    </w:p>
    <w:p>
      <w:pPr>
        <w:spacing w:after="160"/>
        <w:jc w:val="left"/>
      </w:pPr>
      <w:r>
        <w:t xml:space="preserve">Free to students and schools at point of use. Revenue is generated upstream from institutional and corporate partners (see Section 5.2), keeping the model consistent with the mission of zero-cost access for rural families.</w:t>
      </w:r>
    </w:p>
    <w:p>
      <w:pPr>
        <w:pStyle w:val="Heading1"/>
        <w:spacing w:after="160" w:before="320"/>
      </w:pPr>
      <w:r>
        <w:t xml:space="preserve">4. Operational / Production Plan</w:t>
      </w:r>
    </w:p>
    <w:p>
      <w:pPr>
        <w:pStyle w:val="Heading2"/>
        <w:spacing w:after="160" w:before="320"/>
      </w:pPr>
      <w:r>
        <w:t xml:space="preserve">4.1 Product Components</w:t>
      </w:r>
    </w:p>
    <w:p>
      <w:pPr>
        <w:pStyle w:val="ListParagraph"/>
        <w:numPr>
          <w:ilvl w:val="0"/>
          <w:numId w:val="2"/>
        </w:numPr>
        <w:spacing w:after="80"/>
      </w:pPr>
      <w:r>
        <w:t xml:space="preserve">Hardware: Raspberry Pi 4 (4GB), 128GB microSD card, 12V battery, optional 100W solar panel — approx. $50 total per Village Hub.</w:t>
      </w:r>
    </w:p>
    <w:p>
      <w:pPr>
        <w:pStyle w:val="ListParagraph"/>
        <w:numPr>
          <w:ilvl w:val="0"/>
          <w:numId w:val="2"/>
        </w:numPr>
        <w:spacing w:after="80"/>
      </w:pPr>
      <w:r>
        <w:t xml:space="preserve">Software: Node.js/Express server, CouchDB database, quantized offline LLM (Llama-3-8B, Q4_K_M — ~4.5GB), React/Vite Progressive Web App with PouchDB for client-side offline sync.</w:t>
      </w:r>
    </w:p>
    <w:p>
      <w:pPr>
        <w:pStyle w:val="ListParagraph"/>
        <w:numPr>
          <w:ilvl w:val="0"/>
          <w:numId w:val="2"/>
        </w:numPr>
        <w:spacing w:after="80"/>
      </w:pPr>
      <w:r>
        <w:t xml:space="preserve">Content: Digitised ZIMSEC-approved textbooks, 10–15 minute video lessons, past exam questions with worked solutions, audio-only fallback lessons for low-storage devices.</w:t>
      </w:r>
    </w:p>
    <w:p>
      <w:pPr>
        <w:pStyle w:val="Heading2"/>
        <w:spacing w:after="160" w:before="320"/>
      </w:pPr>
      <w:r>
        <w:t xml:space="preserve">4.2 Production / Deployment Workflow</w:t>
      </w:r>
    </w:p>
    <w:p>
      <w:pPr>
        <w:pStyle w:val="ListParagraph"/>
        <w:numPr>
          <w:ilvl w:val="0"/>
          <w:numId w:val="2"/>
        </w:numPr>
        <w:spacing w:after="80"/>
      </w:pPr>
      <w:r>
        <w:t xml:space="preserve">Step 1: Pre-load Village Hub with full curriculum and AI model before shipping to school (avoids needing internet on-site for initial setup).</w:t>
      </w:r>
    </w:p>
    <w:p>
      <w:pPr>
        <w:pStyle w:val="ListParagraph"/>
        <w:numPr>
          <w:ilvl w:val="0"/>
          <w:numId w:val="2"/>
        </w:numPr>
        <w:spacing w:after="80"/>
      </w:pPr>
      <w:r>
        <w:t xml:space="preserve">Step 2: On-site installation — configure Wi-Fi access point, connect battery/solar power, verify signal range across classrooms (target: &lt;30 minutes setup time).</w:t>
      </w:r>
    </w:p>
    <w:p>
      <w:pPr>
        <w:pStyle w:val="ListParagraph"/>
        <w:numPr>
          <w:ilvl w:val="0"/>
          <w:numId w:val="2"/>
        </w:numPr>
        <w:spacing w:after="80"/>
      </w:pPr>
      <w:r>
        <w:t xml:space="preserve">Step 3: Teacher onboarding — a single 1-hour training session covering the Data Mule Sync app and basic troubleshooting.</w:t>
      </w:r>
    </w:p>
    <w:p>
      <w:pPr>
        <w:pStyle w:val="ListParagraph"/>
        <w:numPr>
          <w:ilvl w:val="0"/>
          <w:numId w:val="2"/>
        </w:numPr>
        <w:spacing w:after="80"/>
      </w:pPr>
      <w:r>
        <w:t xml:space="preserve">Step 4: Ongoing sync — designated teacher's phone auto-downloads curriculum updates when in an urban/data area, then auto-uploads to the Village Hub upon returning to Wi-Fi range.</w:t>
      </w:r>
    </w:p>
    <w:p>
      <w:pPr>
        <w:pStyle w:val="ListParagraph"/>
        <w:numPr>
          <w:ilvl w:val="0"/>
          <w:numId w:val="2"/>
        </w:numPr>
        <w:spacing w:after="80"/>
      </w:pPr>
      <w:r>
        <w:t xml:space="preserve">Step 5: Maintenance — quarterly check-ins; hardware swap-out procedure takes under 10 minutes since all data lives on the removable microSD card.</w:t>
      </w:r>
    </w:p>
    <w:p>
      <w:pPr>
        <w:pStyle w:val="Heading2"/>
        <w:spacing w:after="160" w:before="320"/>
      </w:pPr>
      <w:r>
        <w:t xml:space="preserve">4.3 Deployment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20"/>
        <w:gridCol w:w="2520"/>
        <w:gridCol w:w="2520"/>
      </w:tblGrid>
      <w:tr>
        <w:trPr>
          <w:tblHeader/>
        </w:trPr>
        <w:tc>
          <w:tcPr>
            <w:tcW w:type="dxa" w:w="1800"/>
            <w:shd w:fill="B85042" w:val="clear"/>
            <w:tcMar>
              <w:top w:type="dxa" w:w="100"/>
              <w:left w:type="dxa" w:w="120"/>
              <w:bottom w:type="dxa" w:w="100"/>
              <w:right w:type="dxa" w:w="120"/>
            </w:tcMar>
          </w:tcPr>
          <w:p>
            <w:pPr>
              <w:jc w:val="left"/>
            </w:pPr>
            <w:r>
              <w:rPr>
                <w:b/>
                <w:bCs/>
                <w:color w:val="FFFFFF"/>
              </w:rPr>
              <w:t xml:space="preserve">Phase</w:t>
            </w:r>
          </w:p>
        </w:tc>
        <w:tc>
          <w:tcPr>
            <w:tcW w:type="dxa" w:w="2520"/>
            <w:shd w:fill="B85042" w:val="clear"/>
            <w:tcMar>
              <w:top w:type="dxa" w:w="100"/>
              <w:left w:type="dxa" w:w="120"/>
              <w:bottom w:type="dxa" w:w="100"/>
              <w:right w:type="dxa" w:w="120"/>
            </w:tcMar>
          </w:tcPr>
          <w:p>
            <w:pPr>
              <w:jc w:val="left"/>
            </w:pPr>
            <w:r>
              <w:rPr>
                <w:b/>
                <w:bCs/>
                <w:color w:val="FFFFFF"/>
              </w:rPr>
              <w:t xml:space="preserve">Timeline</w:t>
            </w:r>
          </w:p>
        </w:tc>
        <w:tc>
          <w:tcPr>
            <w:tcW w:type="dxa" w:w="2520"/>
            <w:shd w:fill="B85042" w:val="clear"/>
            <w:tcMar>
              <w:top w:type="dxa" w:w="100"/>
              <w:left w:type="dxa" w:w="120"/>
              <w:bottom w:type="dxa" w:w="100"/>
              <w:right w:type="dxa" w:w="120"/>
            </w:tcMar>
          </w:tcPr>
          <w:p>
            <w:pPr>
              <w:jc w:val="left"/>
            </w:pPr>
            <w:r>
              <w:rPr>
                <w:b/>
                <w:bCs/>
                <w:color w:val="FFFFFF"/>
              </w:rPr>
              <w:t xml:space="preserve">Scope</w:t>
            </w:r>
          </w:p>
        </w:tc>
        <w:tc>
          <w:tcPr>
            <w:tcW w:type="dxa" w:w="2520"/>
            <w:shd w:fill="B85042" w:val="clear"/>
            <w:tcMar>
              <w:top w:type="dxa" w:w="100"/>
              <w:left w:type="dxa" w:w="120"/>
              <w:bottom w:type="dxa" w:w="100"/>
              <w:right w:type="dxa" w:w="120"/>
            </w:tcMar>
          </w:tcPr>
          <w:p>
            <w:pPr>
              <w:jc w:val="left"/>
            </w:pPr>
            <w:r>
              <w:rPr>
                <w:b/>
                <w:bCs/>
                <w:color w:val="FFFFFF"/>
              </w:rPr>
              <w:t xml:space="preserve">Success Metric</w:t>
            </w:r>
          </w:p>
        </w:tc>
      </w:tr>
      <w:tr>
        <w:tc>
          <w:tcPr>
            <w:tcW w:type="dxa" w:w="1800"/>
            <w:tcMar>
              <w:top w:type="dxa" w:w="100"/>
              <w:left w:type="dxa" w:w="120"/>
              <w:bottom w:type="dxa" w:w="100"/>
              <w:right w:type="dxa" w:w="120"/>
            </w:tcMar>
          </w:tcPr>
          <w:p>
            <w:pPr>
              <w:jc w:val="left"/>
            </w:pPr>
            <w:r>
              <w:rPr>
                <w:b w:val="false"/>
                <w:bCs w:val="false"/>
                <w:color w:val="1B1B1B"/>
              </w:rPr>
              <w:t xml:space="preserve">Pilot</w:t>
            </w:r>
          </w:p>
        </w:tc>
        <w:tc>
          <w:tcPr>
            <w:tcW w:type="dxa" w:w="2520"/>
            <w:tcMar>
              <w:top w:type="dxa" w:w="100"/>
              <w:left w:type="dxa" w:w="120"/>
              <w:bottom w:type="dxa" w:w="100"/>
              <w:right w:type="dxa" w:w="120"/>
            </w:tcMar>
          </w:tcPr>
          <w:p>
            <w:pPr>
              <w:jc w:val="left"/>
            </w:pPr>
            <w:r>
              <w:rPr>
                <w:b w:val="false"/>
                <w:bCs w:val="false"/>
                <w:color w:val="1B1B1B"/>
              </w:rPr>
              <w:t xml:space="preserve">Months 1–3</w:t>
            </w:r>
          </w:p>
        </w:tc>
        <w:tc>
          <w:tcPr>
            <w:tcW w:type="dxa" w:w="2520"/>
            <w:tcMar>
              <w:top w:type="dxa" w:w="100"/>
              <w:left w:type="dxa" w:w="120"/>
              <w:bottom w:type="dxa" w:w="100"/>
              <w:right w:type="dxa" w:w="120"/>
            </w:tcMar>
          </w:tcPr>
          <w:p>
            <w:pPr>
              <w:jc w:val="left"/>
            </w:pPr>
            <w:r>
              <w:rPr>
                <w:b w:val="false"/>
                <w:bCs w:val="false"/>
                <w:color w:val="1B1B1B"/>
              </w:rPr>
              <w:t xml:space="preserve">5 rural schools (Madziva, Rusape, Gokwe, Kariba, Binga)</w:t>
            </w:r>
          </w:p>
        </w:tc>
        <w:tc>
          <w:tcPr>
            <w:tcW w:type="dxa" w:w="2520"/>
            <w:tcMar>
              <w:top w:type="dxa" w:w="100"/>
              <w:left w:type="dxa" w:w="120"/>
              <w:bottom w:type="dxa" w:w="100"/>
              <w:right w:type="dxa" w:w="120"/>
            </w:tcMar>
          </w:tcPr>
          <w:p>
            <w:pPr>
              <w:jc w:val="left"/>
            </w:pPr>
            <w:r>
              <w:rPr>
                <w:b w:val="false"/>
                <w:bCs w:val="false"/>
                <w:color w:val="1B1B1B"/>
              </w:rPr>
              <w:t xml:space="preserve">80%+ daily engagement; 95%+ hub uptime</w:t>
            </w:r>
          </w:p>
        </w:tc>
      </w:tr>
      <w:tr>
        <w:tc>
          <w:tcPr>
            <w:tcW w:type="dxa" w:w="1800"/>
            <w:tcMar>
              <w:top w:type="dxa" w:w="100"/>
              <w:left w:type="dxa" w:w="120"/>
              <w:bottom w:type="dxa" w:w="100"/>
              <w:right w:type="dxa" w:w="120"/>
            </w:tcMar>
          </w:tcPr>
          <w:p>
            <w:pPr>
              <w:jc w:val="left"/>
            </w:pPr>
            <w:r>
              <w:rPr>
                <w:b w:val="false"/>
                <w:bCs w:val="false"/>
                <w:color w:val="1B1B1B"/>
              </w:rPr>
              <w:t xml:space="preserve">Scale</w:t>
            </w:r>
          </w:p>
        </w:tc>
        <w:tc>
          <w:tcPr>
            <w:tcW w:type="dxa" w:w="2520"/>
            <w:tcMar>
              <w:top w:type="dxa" w:w="100"/>
              <w:left w:type="dxa" w:w="120"/>
              <w:bottom w:type="dxa" w:w="100"/>
              <w:right w:type="dxa" w:w="120"/>
            </w:tcMar>
          </w:tcPr>
          <w:p>
            <w:pPr>
              <w:jc w:val="left"/>
            </w:pPr>
            <w:r>
              <w:rPr>
                <w:b w:val="false"/>
                <w:bCs w:val="false"/>
                <w:color w:val="1B1B1B"/>
              </w:rPr>
              <w:t xml:space="preserve">Months 4–9</w:t>
            </w:r>
          </w:p>
        </w:tc>
        <w:tc>
          <w:tcPr>
            <w:tcW w:type="dxa" w:w="2520"/>
            <w:tcMar>
              <w:top w:type="dxa" w:w="100"/>
              <w:left w:type="dxa" w:w="120"/>
              <w:bottom w:type="dxa" w:w="100"/>
              <w:right w:type="dxa" w:w="120"/>
            </w:tcMar>
          </w:tcPr>
          <w:p>
            <w:pPr>
              <w:jc w:val="left"/>
            </w:pPr>
            <w:r>
              <w:rPr>
                <w:b w:val="false"/>
                <w:bCs w:val="false"/>
                <w:color w:val="1B1B1B"/>
              </w:rPr>
              <w:t xml:space="preserve">50 schools across all 10 provinces</w:t>
            </w:r>
          </w:p>
        </w:tc>
        <w:tc>
          <w:tcPr>
            <w:tcW w:type="dxa" w:w="2520"/>
            <w:tcMar>
              <w:top w:type="dxa" w:w="100"/>
              <w:left w:type="dxa" w:w="120"/>
              <w:bottom w:type="dxa" w:w="100"/>
              <w:right w:type="dxa" w:w="120"/>
            </w:tcMar>
          </w:tcPr>
          <w:p>
            <w:pPr>
              <w:jc w:val="left"/>
            </w:pPr>
            <w:r>
              <w:rPr>
                <w:b w:val="false"/>
                <w:bCs w:val="false"/>
                <w:color w:val="1B1B1B"/>
              </w:rPr>
              <w:t xml:space="preserve">15%+ improvement in term test scores</w:t>
            </w:r>
          </w:p>
        </w:tc>
      </w:tr>
      <w:tr>
        <w:tc>
          <w:tcPr>
            <w:tcW w:type="dxa" w:w="1800"/>
            <w:tcMar>
              <w:top w:type="dxa" w:w="100"/>
              <w:left w:type="dxa" w:w="120"/>
              <w:bottom w:type="dxa" w:w="100"/>
              <w:right w:type="dxa" w:w="120"/>
            </w:tcMar>
          </w:tcPr>
          <w:p>
            <w:pPr>
              <w:jc w:val="left"/>
            </w:pPr>
            <w:r>
              <w:rPr>
                <w:b w:val="false"/>
                <w:bCs w:val="false"/>
                <w:color w:val="1B1B1B"/>
              </w:rPr>
              <w:t xml:space="preserve">National</w:t>
            </w:r>
          </w:p>
        </w:tc>
        <w:tc>
          <w:tcPr>
            <w:tcW w:type="dxa" w:w="2520"/>
            <w:tcMar>
              <w:top w:type="dxa" w:w="100"/>
              <w:left w:type="dxa" w:w="120"/>
              <w:bottom w:type="dxa" w:w="100"/>
              <w:right w:type="dxa" w:w="120"/>
            </w:tcMar>
          </w:tcPr>
          <w:p>
            <w:pPr>
              <w:jc w:val="left"/>
            </w:pPr>
            <w:r>
              <w:rPr>
                <w:b w:val="false"/>
                <w:bCs w:val="false"/>
                <w:color w:val="1B1B1B"/>
              </w:rPr>
              <w:t xml:space="preserve">Months 10–24</w:t>
            </w:r>
          </w:p>
        </w:tc>
        <w:tc>
          <w:tcPr>
            <w:tcW w:type="dxa" w:w="2520"/>
            <w:tcMar>
              <w:top w:type="dxa" w:w="100"/>
              <w:left w:type="dxa" w:w="120"/>
              <w:bottom w:type="dxa" w:w="100"/>
              <w:right w:type="dxa" w:w="120"/>
            </w:tcMar>
          </w:tcPr>
          <w:p>
            <w:pPr>
              <w:jc w:val="left"/>
            </w:pPr>
            <w:r>
              <w:rPr>
                <w:b w:val="false"/>
                <w:bCs w:val="false"/>
                <w:color w:val="1B1B1B"/>
              </w:rPr>
              <w:t xml:space="preserve">500+ schools, ~200,000 students</w:t>
            </w:r>
          </w:p>
        </w:tc>
        <w:tc>
          <w:tcPr>
            <w:tcW w:type="dxa" w:w="2520"/>
            <w:tcMar>
              <w:top w:type="dxa" w:w="100"/>
              <w:left w:type="dxa" w:w="120"/>
              <w:bottom w:type="dxa" w:w="100"/>
              <w:right w:type="dxa" w:w="120"/>
            </w:tcMar>
          </w:tcPr>
          <w:p>
            <w:pPr>
              <w:jc w:val="left"/>
            </w:pPr>
            <w:r>
              <w:rPr>
                <w:b w:val="false"/>
                <w:bCs w:val="false"/>
                <w:color w:val="1B1B1B"/>
              </w:rPr>
              <w:t xml:space="preserve">Measurable reduction in rural–urban pass-rate gap</w:t>
            </w:r>
          </w:p>
        </w:tc>
      </w:tr>
    </w:tbl>
    <w:p>
      <w:pPr>
        <w:spacing w:before="240"/>
      </w:pPr>
    </w:p>
    <w:p>
      <w:pPr>
        <w:pStyle w:val="Heading2"/>
        <w:spacing w:after="160" w:before="320"/>
      </w:pPr>
      <w:r>
        <w:t xml:space="preserve">4.4 Quality Control</w:t>
      </w:r>
    </w:p>
    <w:p>
      <w:pPr>
        <w:pStyle w:val="ListParagraph"/>
        <w:numPr>
          <w:ilvl w:val="0"/>
          <w:numId w:val="2"/>
        </w:numPr>
        <w:spacing w:after="80"/>
      </w:pPr>
      <w:r>
        <w:t xml:space="preserve">All curriculum content cryptographically signed by source institution before distribution, preventing tampering.</w:t>
      </w:r>
    </w:p>
    <w:p>
      <w:pPr>
        <w:pStyle w:val="ListParagraph"/>
        <w:numPr>
          <w:ilvl w:val="0"/>
          <w:numId w:val="2"/>
        </w:numPr>
        <w:spacing w:after="80"/>
      </w:pPr>
      <w:r>
        <w:t xml:space="preserve">Village Hub verifies signatures before serving any file to a student device.</w:t>
      </w:r>
    </w:p>
    <w:p>
      <w:pPr>
        <w:pStyle w:val="ListParagraph"/>
        <w:numPr>
          <w:ilvl w:val="0"/>
          <w:numId w:val="2"/>
        </w:numPr>
        <w:spacing w:after="80"/>
      </w:pPr>
      <w:r>
        <w:t xml:space="preserve">Quarterly content audits against the current ZIMSEC syllabus to prevent staleness.</w:t>
      </w:r>
    </w:p>
    <w:p>
      <w:pPr>
        <w:pStyle w:val="Heading1"/>
        <w:spacing w:after="160" w:before="320"/>
      </w:pPr>
      <w:r>
        <w:t xml:space="preserve">5. Financial Plan</w:t>
      </w:r>
    </w:p>
    <w:p>
      <w:pPr>
        <w:pStyle w:val="Heading2"/>
        <w:spacing w:after="160" w:before="320"/>
      </w:pPr>
      <w:r>
        <w:t xml:space="preserve">5.1 Startup / Pilot 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shd w:fill="B85042" w:val="clear"/>
            <w:tcMar>
              <w:top w:type="dxa" w:w="100"/>
              <w:left w:type="dxa" w:w="120"/>
              <w:bottom w:type="dxa" w:w="100"/>
              <w:right w:type="dxa" w:w="120"/>
            </w:tcMar>
          </w:tcPr>
          <w:p>
            <w:pPr>
              <w:jc w:val="left"/>
            </w:pPr>
            <w:r>
              <w:rPr>
                <w:b/>
                <w:bCs/>
                <w:color w:val="FFFFFF"/>
              </w:rPr>
              <w:t xml:space="preserve">Item</w:t>
            </w:r>
          </w:p>
        </w:tc>
        <w:tc>
          <w:tcPr>
            <w:tcW w:type="dxa" w:w="2340"/>
            <w:shd w:fill="B85042" w:val="clear"/>
            <w:tcMar>
              <w:top w:type="dxa" w:w="100"/>
              <w:left w:type="dxa" w:w="120"/>
              <w:bottom w:type="dxa" w:w="100"/>
              <w:right w:type="dxa" w:w="120"/>
            </w:tcMar>
          </w:tcPr>
          <w:p>
            <w:pPr>
              <w:jc w:val="center"/>
            </w:pPr>
            <w:r>
              <w:rPr>
                <w:b/>
                <w:bCs/>
                <w:color w:val="FFFFFF"/>
              </w:rPr>
              <w:t xml:space="preserve">Unit Cost</w:t>
            </w:r>
          </w:p>
        </w:tc>
        <w:tc>
          <w:tcPr>
            <w:tcW w:type="dxa" w:w="2340"/>
            <w:shd w:fill="B85042" w:val="clear"/>
            <w:tcMar>
              <w:top w:type="dxa" w:w="100"/>
              <w:left w:type="dxa" w:w="120"/>
              <w:bottom w:type="dxa" w:w="100"/>
              <w:right w:type="dxa" w:w="120"/>
            </w:tcMar>
          </w:tcPr>
          <w:p>
            <w:pPr>
              <w:jc w:val="center"/>
            </w:pPr>
            <w:r>
              <w:rPr>
                <w:b/>
                <w:bCs/>
                <w:color w:val="FFFFFF"/>
              </w:rPr>
              <w:t xml:space="preserve">Cost × 5 Schools (Pilot)</w:t>
            </w:r>
          </w:p>
        </w:tc>
      </w:tr>
      <w:tr>
        <w:tc>
          <w:tcPr>
            <w:tcW w:type="dxa" w:w="4680"/>
            <w:tcMar>
              <w:top w:type="dxa" w:w="100"/>
              <w:left w:type="dxa" w:w="120"/>
              <w:bottom w:type="dxa" w:w="100"/>
              <w:right w:type="dxa" w:w="120"/>
            </w:tcMar>
          </w:tcPr>
          <w:p>
            <w:pPr>
              <w:jc w:val="left"/>
            </w:pPr>
            <w:r>
              <w:rPr>
                <w:b w:val="false"/>
                <w:bCs w:val="false"/>
                <w:color w:val="1B1B1B"/>
              </w:rPr>
              <w:t xml:space="preserve">Raspberry Pi 4 (4GB) + microSD</w:t>
            </w:r>
          </w:p>
        </w:tc>
        <w:tc>
          <w:tcPr>
            <w:tcW w:type="dxa" w:w="2340"/>
            <w:tcMar>
              <w:top w:type="dxa" w:w="100"/>
              <w:left w:type="dxa" w:w="120"/>
              <w:bottom w:type="dxa" w:w="100"/>
              <w:right w:type="dxa" w:w="120"/>
            </w:tcMar>
          </w:tcPr>
          <w:p>
            <w:pPr>
              <w:jc w:val="center"/>
            </w:pPr>
            <w:r>
              <w:rPr>
                <w:b w:val="false"/>
                <w:bCs w:val="false"/>
                <w:color w:val="1B1B1B"/>
              </w:rPr>
              <w:t xml:space="preserve">$65</w:t>
            </w:r>
          </w:p>
        </w:tc>
        <w:tc>
          <w:tcPr>
            <w:tcW w:type="dxa" w:w="2340"/>
            <w:tcMar>
              <w:top w:type="dxa" w:w="100"/>
              <w:left w:type="dxa" w:w="120"/>
              <w:bottom w:type="dxa" w:w="100"/>
              <w:right w:type="dxa" w:w="120"/>
            </w:tcMar>
          </w:tcPr>
          <w:p>
            <w:pPr>
              <w:jc w:val="center"/>
            </w:pPr>
            <w:r>
              <w:rPr>
                <w:b w:val="false"/>
                <w:bCs w:val="false"/>
                <w:color w:val="1B1B1B"/>
              </w:rPr>
              <w:t xml:space="preserve">$325</w:t>
            </w:r>
          </w:p>
        </w:tc>
      </w:tr>
      <w:tr>
        <w:tc>
          <w:tcPr>
            <w:tcW w:type="dxa" w:w="4680"/>
            <w:tcMar>
              <w:top w:type="dxa" w:w="100"/>
              <w:left w:type="dxa" w:w="120"/>
              <w:bottom w:type="dxa" w:w="100"/>
              <w:right w:type="dxa" w:w="120"/>
            </w:tcMar>
          </w:tcPr>
          <w:p>
            <w:pPr>
              <w:jc w:val="left"/>
            </w:pPr>
            <w:r>
              <w:rPr>
                <w:b w:val="false"/>
                <w:bCs w:val="false"/>
                <w:color w:val="1B1B1B"/>
              </w:rPr>
              <w:t xml:space="preserve">12V battery + solar panel</w:t>
            </w:r>
          </w:p>
        </w:tc>
        <w:tc>
          <w:tcPr>
            <w:tcW w:type="dxa" w:w="2340"/>
            <w:tcMar>
              <w:top w:type="dxa" w:w="100"/>
              <w:left w:type="dxa" w:w="120"/>
              <w:bottom w:type="dxa" w:w="100"/>
              <w:right w:type="dxa" w:w="120"/>
            </w:tcMar>
          </w:tcPr>
          <w:p>
            <w:pPr>
              <w:jc w:val="center"/>
            </w:pPr>
            <w:r>
              <w:rPr>
                <w:b w:val="false"/>
                <w:bCs w:val="false"/>
                <w:color w:val="1B1B1B"/>
              </w:rPr>
              <w:t xml:space="preserve">$80</w:t>
            </w:r>
          </w:p>
        </w:tc>
        <w:tc>
          <w:tcPr>
            <w:tcW w:type="dxa" w:w="2340"/>
            <w:tcMar>
              <w:top w:type="dxa" w:w="100"/>
              <w:left w:type="dxa" w:w="120"/>
              <w:bottom w:type="dxa" w:w="100"/>
              <w:right w:type="dxa" w:w="120"/>
            </w:tcMar>
          </w:tcPr>
          <w:p>
            <w:pPr>
              <w:jc w:val="center"/>
            </w:pPr>
            <w:r>
              <w:rPr>
                <w:b w:val="false"/>
                <w:bCs w:val="false"/>
                <w:color w:val="1B1B1B"/>
              </w:rPr>
              <w:t xml:space="preserve">$400</w:t>
            </w:r>
          </w:p>
        </w:tc>
      </w:tr>
      <w:tr>
        <w:tc>
          <w:tcPr>
            <w:tcW w:type="dxa" w:w="4680"/>
            <w:tcMar>
              <w:top w:type="dxa" w:w="100"/>
              <w:left w:type="dxa" w:w="120"/>
              <w:bottom w:type="dxa" w:w="100"/>
              <w:right w:type="dxa" w:w="120"/>
            </w:tcMar>
          </w:tcPr>
          <w:p>
            <w:pPr>
              <w:jc w:val="left"/>
            </w:pPr>
            <w:r>
              <w:rPr>
                <w:b w:val="false"/>
                <w:bCs w:val="false"/>
                <w:color w:val="1B1B1B"/>
              </w:rPr>
              <w:t xml:space="preserve">Teacher training &amp; travel</w:t>
            </w:r>
          </w:p>
        </w:tc>
        <w:tc>
          <w:tcPr>
            <w:tcW w:type="dxa" w:w="2340"/>
            <w:tcMar>
              <w:top w:type="dxa" w:w="100"/>
              <w:left w:type="dxa" w:w="120"/>
              <w:bottom w:type="dxa" w:w="100"/>
              <w:right w:type="dxa" w:w="120"/>
            </w:tcMar>
          </w:tcPr>
          <w:p>
            <w:pPr>
              <w:jc w:val="center"/>
            </w:pPr>
            <w:r>
              <w:rPr>
                <w:b w:val="false"/>
                <w:bCs w:val="false"/>
                <w:color w:val="1B1B1B"/>
              </w:rPr>
              <w:t xml:space="preserve">$60/school</w:t>
            </w:r>
          </w:p>
        </w:tc>
        <w:tc>
          <w:tcPr>
            <w:tcW w:type="dxa" w:w="2340"/>
            <w:tcMar>
              <w:top w:type="dxa" w:w="100"/>
              <w:left w:type="dxa" w:w="120"/>
              <w:bottom w:type="dxa" w:w="100"/>
              <w:right w:type="dxa" w:w="120"/>
            </w:tcMar>
          </w:tcPr>
          <w:p>
            <w:pPr>
              <w:jc w:val="center"/>
            </w:pPr>
            <w:r>
              <w:rPr>
                <w:b w:val="false"/>
                <w:bCs w:val="false"/>
                <w:color w:val="1B1B1B"/>
              </w:rPr>
              <w:t xml:space="preserve">$300</w:t>
            </w:r>
          </w:p>
        </w:tc>
      </w:tr>
      <w:tr>
        <w:tc>
          <w:tcPr>
            <w:tcW w:type="dxa" w:w="4680"/>
            <w:tcMar>
              <w:top w:type="dxa" w:w="100"/>
              <w:left w:type="dxa" w:w="120"/>
              <w:bottom w:type="dxa" w:w="100"/>
              <w:right w:type="dxa" w:w="120"/>
            </w:tcMar>
          </w:tcPr>
          <w:p>
            <w:pPr>
              <w:jc w:val="left"/>
            </w:pPr>
            <w:r>
              <w:rPr>
                <w:b w:val="false"/>
                <w:bCs w:val="false"/>
                <w:color w:val="1B1B1B"/>
              </w:rPr>
              <w:t xml:space="preserve">Content licensing/digitisation (one-off)</w:t>
            </w:r>
          </w:p>
        </w:tc>
        <w:tc>
          <w:tcPr>
            <w:tcW w:type="dxa" w:w="2340"/>
            <w:tcMar>
              <w:top w:type="dxa" w:w="100"/>
              <w:left w:type="dxa" w:w="120"/>
              <w:bottom w:type="dxa" w:w="100"/>
              <w:right w:type="dxa" w:w="120"/>
            </w:tcMar>
          </w:tcPr>
          <w:p>
            <w:pPr>
              <w:jc w:val="center"/>
            </w:pPr>
            <w:r>
              <w:rPr>
                <w:b w:val="false"/>
                <w:bCs w:val="false"/>
                <w:color w:val="1B1B1B"/>
              </w:rPr>
              <w:t xml:space="preserve">—</w:t>
            </w:r>
          </w:p>
        </w:tc>
        <w:tc>
          <w:tcPr>
            <w:tcW w:type="dxa" w:w="2340"/>
            <w:tcMar>
              <w:top w:type="dxa" w:w="100"/>
              <w:left w:type="dxa" w:w="120"/>
              <w:bottom w:type="dxa" w:w="100"/>
              <w:right w:type="dxa" w:w="120"/>
            </w:tcMar>
          </w:tcPr>
          <w:p>
            <w:pPr>
              <w:jc w:val="center"/>
            </w:pPr>
            <w:r>
              <w:rPr>
                <w:b w:val="false"/>
                <w:bCs w:val="false"/>
                <w:color w:val="1B1B1B"/>
              </w:rPr>
              <w:t xml:space="preserve">$1,200</w:t>
            </w:r>
          </w:p>
        </w:tc>
      </w:tr>
      <w:tr>
        <w:tc>
          <w:tcPr>
            <w:tcW w:type="dxa" w:w="4680"/>
            <w:tcMar>
              <w:top w:type="dxa" w:w="100"/>
              <w:left w:type="dxa" w:w="120"/>
              <w:bottom w:type="dxa" w:w="100"/>
              <w:right w:type="dxa" w:w="120"/>
            </w:tcMar>
          </w:tcPr>
          <w:p>
            <w:pPr>
              <w:jc w:val="left"/>
            </w:pPr>
            <w:r>
              <w:rPr>
                <w:b w:val="false"/>
                <w:bCs w:val="false"/>
                <w:color w:val="1B1B1B"/>
              </w:rPr>
              <w:t xml:space="preserve">Contingency (10%)</w:t>
            </w:r>
          </w:p>
        </w:tc>
        <w:tc>
          <w:tcPr>
            <w:tcW w:type="dxa" w:w="2340"/>
            <w:tcMar>
              <w:top w:type="dxa" w:w="100"/>
              <w:left w:type="dxa" w:w="120"/>
              <w:bottom w:type="dxa" w:w="100"/>
              <w:right w:type="dxa" w:w="120"/>
            </w:tcMar>
          </w:tcPr>
          <w:p>
            <w:pPr>
              <w:jc w:val="center"/>
            </w:pPr>
            <w:r>
              <w:rPr>
                <w:b w:val="false"/>
                <w:bCs w:val="false"/>
                <w:color w:val="1B1B1B"/>
              </w:rPr>
              <w:t xml:space="preserve">—</w:t>
            </w:r>
          </w:p>
        </w:tc>
        <w:tc>
          <w:tcPr>
            <w:tcW w:type="dxa" w:w="2340"/>
            <w:tcMar>
              <w:top w:type="dxa" w:w="100"/>
              <w:left w:type="dxa" w:w="120"/>
              <w:bottom w:type="dxa" w:w="100"/>
              <w:right w:type="dxa" w:w="120"/>
            </w:tcMar>
          </w:tcPr>
          <w:p>
            <w:pPr>
              <w:jc w:val="center"/>
            </w:pPr>
            <w:r>
              <w:rPr>
                <w:b w:val="false"/>
                <w:bCs w:val="false"/>
                <w:color w:val="1B1B1B"/>
              </w:rPr>
              <w:t xml:space="preserve">$223</w:t>
            </w:r>
          </w:p>
        </w:tc>
      </w:tr>
      <w:tr>
        <w:tc>
          <w:tcPr>
            <w:tcW w:type="dxa" w:w="4680"/>
            <w:shd w:fill="FFF3E0" w:val="clear"/>
            <w:tcMar>
              <w:top w:type="dxa" w:w="100"/>
              <w:left w:type="dxa" w:w="120"/>
              <w:bottom w:type="dxa" w:w="100"/>
              <w:right w:type="dxa" w:w="120"/>
            </w:tcMar>
          </w:tcPr>
          <w:p>
            <w:pPr>
              <w:jc w:val="left"/>
            </w:pPr>
            <w:r>
              <w:rPr>
                <w:b/>
                <w:bCs/>
                <w:color w:val="1B1B1B"/>
              </w:rPr>
              <w:t xml:space="preserve">Total Pilot Budget</w:t>
            </w:r>
          </w:p>
        </w:tc>
        <w:tc>
          <w:tcPr>
            <w:tcW w:type="dxa" w:w="2340"/>
            <w:shd w:fill="FFF3E0" w:val="clear"/>
            <w:tcMar>
              <w:top w:type="dxa" w:w="100"/>
              <w:left w:type="dxa" w:w="120"/>
              <w:bottom w:type="dxa" w:w="100"/>
              <w:right w:type="dxa" w:w="120"/>
            </w:tcMar>
          </w:tcPr>
          <w:p>
            <w:pPr>
              <w:jc w:val="center"/>
            </w:pPr>
            <w:r>
              <w:rPr>
                <w:b w:val="false"/>
                <w:bCs w:val="false"/>
                <w:color w:val="1B1B1B"/>
              </w:rPr>
              <w:t xml:space="preserve">—</w:t>
            </w:r>
          </w:p>
        </w:tc>
        <w:tc>
          <w:tcPr>
            <w:tcW w:type="dxa" w:w="2340"/>
            <w:shd w:fill="FFF3E0" w:val="clear"/>
            <w:tcMar>
              <w:top w:type="dxa" w:w="100"/>
              <w:left w:type="dxa" w:w="120"/>
              <w:bottom w:type="dxa" w:w="100"/>
              <w:right w:type="dxa" w:w="120"/>
            </w:tcMar>
          </w:tcPr>
          <w:p>
            <w:pPr>
              <w:jc w:val="center"/>
            </w:pPr>
            <w:r>
              <w:rPr>
                <w:b/>
                <w:bCs/>
                <w:color w:val="1B1B1B"/>
              </w:rPr>
              <w:t xml:space="preserve">$2,448</w:t>
            </w:r>
          </w:p>
        </w:tc>
      </w:tr>
    </w:tbl>
    <w:p>
      <w:pPr>
        <w:spacing w:before="240"/>
      </w:pPr>
    </w:p>
    <w:p>
      <w:pPr>
        <w:pStyle w:val="Heading2"/>
        <w:spacing w:after="160" w:before="320"/>
      </w:pPr>
      <w:r>
        <w:t xml:space="preserve">5.2 Revenue Model (Post-Pilot Sustainability)</w:t>
      </w:r>
    </w:p>
    <w:p>
      <w:pPr>
        <w:pStyle w:val="ListParagraph"/>
        <w:numPr>
          <w:ilvl w:val="0"/>
          <w:numId w:val="2"/>
        </w:numPr>
        <w:spacing w:after="80"/>
      </w:pPr>
      <w:r>
        <w:t xml:space="preserve">Government maintenance contracts: ~$1,000/school/year at scale (500 schools → ~$500,000/year).</w:t>
      </w:r>
    </w:p>
    <w:p>
      <w:pPr>
        <w:pStyle w:val="ListParagraph"/>
        <w:numPr>
          <w:ilvl w:val="0"/>
          <w:numId w:val="2"/>
        </w:numPr>
        <w:spacing w:after="80"/>
      </w:pPr>
      <w:r>
        <w:t xml:space="preserve">Corporate sponsorships: telecom/CSR partners sponsor “Connect Days” and hub branding (~$200,000/year projected at scale).</w:t>
      </w:r>
    </w:p>
    <w:p>
      <w:pPr>
        <w:pStyle w:val="ListParagraph"/>
        <w:numPr>
          <w:ilvl w:val="0"/>
          <w:numId w:val="2"/>
        </w:numPr>
        <w:spacing w:after="80"/>
      </w:pPr>
      <w:r>
        <w:t xml:space="preserve">Premium content licensing: private schools pay ~$200/school/year for supplementary content such as extended past-paper banks (~$100,000/year projected at scale).</w:t>
      </w:r>
    </w:p>
    <w:p>
      <w:pPr>
        <w:spacing w:after="160"/>
        <w:jc w:val="left"/>
      </w:pPr>
      <w:r>
        <w:t xml:space="preserve">Projected combined revenue at full scale (Year 3, 500 schools): approximately $800,000/year, against operating costs (content creation, teacher training, technical support) of approximately $120,000/year — leaving margin for reinvestment into further hardware rollout.</w:t>
      </w:r>
    </w:p>
    <w:p>
      <w:pPr>
        <w:pStyle w:val="Heading2"/>
        <w:spacing w:after="160" w:before="320"/>
      </w:pPr>
      <w:r>
        <w:t xml:space="preserve">5.3 Break-Even Analysis</w:t>
      </w:r>
    </w:p>
    <w:p>
      <w:pPr>
        <w:spacing w:after="160"/>
        <w:jc w:val="left"/>
      </w:pPr>
      <w:r>
        <w:t xml:space="preserve">Fixed cost per school is approximately $145 (hardware) plus $50/year (maintenance). Break-even on the government-contract revenue stream alone is reached at approximately 200 schools under contract, projected to occur in Year 2 of the scale phase.</w:t>
      </w:r>
    </w:p>
    <w:p>
      <w:pPr>
        <w:pStyle w:val="Heading2"/>
        <w:spacing w:after="160" w:before="320"/>
      </w:pPr>
      <w:r>
        <w:t xml:space="preserve">5.4 Funding Ask (Pilot Phase)</w:t>
      </w:r>
    </w:p>
    <w:p>
      <w:pPr>
        <w:spacing w:after="160"/>
        <w:jc w:val="left"/>
      </w:pPr>
      <w:r>
        <w:t xml:space="preserve">We are seeking $2,500 in seed funding or in-kind sponsorship (hardware donation from a telecom or hardware partner) to fund the 5-school pilot outlined in Section 4.3, with Ministry of Education engagement to follow on the strength of pilot results.</w:t>
      </w:r>
    </w:p>
    <w:p>
      <w:pPr>
        <w:pStyle w:val="Heading1"/>
        <w:spacing w:after="160" w:before="320"/>
      </w:pPr>
      <w:r>
        <w:t xml:space="preserve">6. Elevator Pitch</w:t>
      </w:r>
    </w:p>
    <w:p>
      <w:pPr>
        <w:spacing w:after="160"/>
        <w:jc w:val="left"/>
      </w:pPr>
      <w:r>
        <w:rPr>
          <w:i/>
          <w:iCs/>
          <w:color w:val="616161"/>
        </w:rPr>
        <w:t xml:space="preserve">(Approx. 60 seconds — for use in judging rounds, investor conversations, or partner meetings)</w:t>
      </w:r>
    </w:p>
    <w:p>
      <w:pPr>
        <w:pBdr>
          <w:left w:val="single" w:color="B85042" w:sz="24"/>
        </w:pBdr>
        <w:shd w:fill="FFF3E0" w:val="clear"/>
        <w:spacing w:after="200" w:before="200"/>
        <w:ind w:left="200"/>
      </w:pPr>
      <w:r>
        <w:rPr>
          <w:i/>
          <w:iCs/>
          <w:sz w:val="22"/>
          <w:szCs w:val="22"/>
        </w:rPr>
        <w:t xml:space="preserve">“A student in Madziva can walk five kilometres to school, but still can't get one bar of signal to download a 2MB PDF. One gigabyte of data costs 20% of their family's weekly income. Meanwhile, a student in Harare has Wi-Fi, computer labs, and YouTube tutorials. The result: a 43-point gap in ZIMSEC pass rates between rural and urban students. That's not a talent gap — it's an infrastructure gap. We call it Digital Apartheid.</w:t>
      </w:r>
    </w:p>
    <w:p>
      <w:pPr>
        <w:pBdr>
          <w:left w:val="single" w:color="B85042" w:sz="24"/>
        </w:pBdr>
        <w:shd w:fill="FFF3E0" w:val="clear"/>
        <w:spacing w:after="200"/>
        <w:ind w:left="200"/>
      </w:pPr>
      <w:r>
        <w:rPr>
          <w:i/>
          <w:iCs/>
          <w:sz w:val="22"/>
          <w:szCs w:val="22"/>
        </w:rPr>
        <w:t xml:space="preserve">Edu-Sync Mesh solves it differently: instead of waiting for fibre cable to reach the village, we bring the cloud to the village. A $50 Raspberry Pi — our 'Village Hub' — hosts the entire ZIMSEC curriculum and an offline AI tutor that answers questions in Shona, with zero internet connection and zero data cost. When a teacher travels to town, their phone automatically grabs the latest updates; when they come home, it syncs with the Hub. The bus becomes our fibre cable.</w:t>
      </w:r>
    </w:p>
    <w:p>
      <w:pPr>
        <w:pBdr>
          <w:left w:val="single" w:color="B85042" w:sz="24"/>
        </w:pBdr>
        <w:shd w:fill="FFF3E0" w:val="clear"/>
        <w:spacing w:after="200"/>
        <w:ind w:left="200"/>
      </w:pPr>
      <w:r>
        <w:rPr>
          <w:i/>
          <w:iCs/>
          <w:sz w:val="22"/>
          <w:szCs w:val="22"/>
        </w:rPr>
        <w:t xml:space="preserve">One Hub serves 200 students. We're piloting in five rural schools this term, and our goal is simple: close that 43-point gap, one village at a time.”</w:t>
      </w:r>
    </w:p>
    <w:p>
      <w:pPr>
        <w:spacing w:before="320"/>
      </w:pPr>
    </w:p>
    <w:p>
      <w:pPr>
        <w:pStyle w:val="Heading2"/>
        <w:spacing w:after="160" w:before="320"/>
      </w:pPr>
      <w:r>
        <w:t xml:space="preserve">Contact</w:t>
      </w:r>
    </w:p>
    <w:p>
      <w:pPr>
        <w:spacing w:after="160"/>
        <w:jc w:val="left"/>
      </w:pPr>
      <w:r>
        <w:t xml:space="preserve">Brighton — Zimbabwe Open University, BSc Information Technology</w:t>
      </w:r>
    </w:p>
    <w:p>
      <w:pPr>
        <w:spacing w:after="160"/>
        <w:jc w:val="left"/>
      </w:pPr>
      <w:r>
        <w:t xml:space="preserve">GitHub: github.com/BR-Codeio/edu-sync-mesh</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2026-07-01T07:52:58.483Z</dcterms:created>
  <dcterms:modified xsi:type="dcterms:W3CDTF">2026-07-01T07:52:58.484Z</dcterms:modified>
</cp:coreProperties>
</file>

<file path=docProps/custom.xml><?xml version="1.0" encoding="utf-8"?>
<Properties xmlns="http://schemas.openxmlformats.org/officeDocument/2006/custom-properties" xmlns:vt="http://schemas.openxmlformats.org/officeDocument/2006/docPropsVTypes"/>
</file>