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drawing>
          <wp:inline distT="0" distB="0" distL="0" distR="0">
            <wp:extent cx="752475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jc w:val="center"/>
      </w:pPr>
      <w:r>
        <w:rPr>
          <w:b/>
          <w:bCs/>
          <w:color w:val="616161"/>
          <w:sz w:val="20"/>
          <w:szCs w:val="20"/>
        </w:rPr>
        <w:t xml:space="preserve">STUDENT BUSINESS PLAN</w:t>
      </w:r>
    </w:p>
    <w:p>
      <w:pPr>
        <w:spacing w:after="200" w:before="200"/>
        <w:jc w:val="center"/>
      </w:pPr>
      <w:r>
        <w:rPr>
          <w:b/>
          <w:bCs/>
          <w:color w:val="B85042"/>
          <w:sz w:val="64"/>
          <w:szCs w:val="64"/>
        </w:rPr>
        <w:t xml:space="preserve">EDU-SYNC MESH</w:t>
      </w:r>
    </w:p>
    <w:p>
      <w:pPr>
        <w:spacing w:after="400"/>
        <w:jc w:val="center"/>
      </w:pPr>
      <w:r>
        <w:rPr>
          <w:i/>
          <w:iCs/>
          <w:color w:val="2E7D32"/>
          <w:sz w:val="26"/>
          <w:szCs w:val="26"/>
        </w:rPr>
        <w:t xml:space="preserve">The Offline-First AI Tutor Bridging Zimbabwe's Rural-Urban Learning Gap</w:t>
      </w:r>
    </w:p>
    <w:p>
      <w:pPr>
        <w:spacing w:before="800"/>
        <w:jc w:val="center"/>
      </w:pPr>
      <w:r>
        <w:rPr>
          <w:color w:val="1B1B1B"/>
          <w:sz w:val="22"/>
          <w:szCs w:val="22"/>
        </w:rPr>
        <w:t xml:space="preserve">Prepared for: All-University IT Hackathon 2026</w:t>
      </w:r>
    </w:p>
    <w:p>
      <w:pPr>
        <w:spacing w:after="100"/>
        <w:jc w:val="center"/>
      </w:pPr>
      <w:r>
        <w:rPr>
          <w:color w:val="616161"/>
          <w:sz w:val="20"/>
          <w:szCs w:val="20"/>
        </w:rPr>
        <w:t xml:space="preserve">Research, Innovation and Industrialisation Workshop</w:t>
      </w:r>
    </w:p>
    <w:p>
      <w:pPr>
        <w:jc w:val="center"/>
      </w:pPr>
      <w:r>
        <w:rPr>
          <w:color w:val="616161"/>
          <w:sz w:val="20"/>
          <w:szCs w:val="20"/>
        </w:rPr>
        <w:t xml:space="preserve">Prepared by: Brighton &amp; Kudakwashe Calvin Bhamusi | Zimbabwe Open University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p>
      <w:pPr>
        <w:spacing w:after="160"/>
        <w:jc w:val="left"/>
      </w:pPr>
      <w:r>
        <w:t xml:space="preserve">1. Business Description</w:t>
      </w:r>
    </w:p>
    <w:p>
      <w:pPr>
        <w:spacing w:after="160"/>
        <w:jc w:val="left"/>
      </w:pPr>
      <w:r>
        <w:t xml:space="preserve">2. Management and Organisation</w:t>
      </w:r>
    </w:p>
    <w:p>
      <w:pPr>
        <w:spacing w:after="160"/>
        <w:jc w:val="left"/>
      </w:pPr>
      <w:r>
        <w:t xml:space="preserve">3. Marketing Plan</w:t>
      </w:r>
    </w:p>
    <w:p>
      <w:pPr>
        <w:spacing w:after="160"/>
        <w:jc w:val="left"/>
      </w:pPr>
      <w:r>
        <w:t xml:space="preserve">4. Operational / Production Plan</w:t>
      </w:r>
    </w:p>
    <w:p>
      <w:pPr>
        <w:spacing w:after="160"/>
        <w:jc w:val="left"/>
      </w:pPr>
      <w:r>
        <w:t xml:space="preserve">5. Financial Plan</w:t>
      </w:r>
    </w:p>
    <w:p>
      <w:pPr>
        <w:spacing w:after="160"/>
        <w:jc w:val="left"/>
      </w:pPr>
      <w:r>
        <w:t xml:space="preserve">6. Elevator Pitch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Business Description</w:t>
      </w:r>
    </w:p>
    <w:p>
      <w:pPr>
        <w:pStyle w:val="Heading2"/>
        <w:spacing w:after="160" w:before="320"/>
      </w:pPr>
      <w:r>
        <w:t xml:space="preserve">1.1 The Problem</w:t>
      </w:r>
    </w:p>
    <w:p>
      <w:pPr>
        <w:spacing w:after="160"/>
        <w:jc w:val="left"/>
      </w:pPr>
      <w:r>
        <w:t xml:space="preserve">Zimbabwe's rural students face a persistent and measurable education gap. ZIMSEC O-Level pass rates sit at approximately 35% in rural districts such as Madziva, compared to roughly 78% in urban centres such as Harare — a 43 percentage-point gap. This is not a gap in ability or ambition; it is a gap in infrastructure.</w:t>
      </w:r>
    </w:p>
    <w:p>
      <w:pPr>
        <w:spacing w:after="160"/>
        <w:jc w:val="left"/>
      </w:pPr>
      <w:r>
        <w:t xml:space="preserve">Three compounding barriers drive this gap: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cost: 1GB of mobile data can consume up to 20% of a rural family's weekly income.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Electricity instability: many rural schools experience 6–8 hours of power outages daily.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Lack of personalised tutoring: urban students have access to extra lessons, private tutors, and computer labs that rural students simply do not have.</w:t>
      </w:r>
    </w:p>
    <w:p>
      <w:pPr>
        <w:spacing w:after="160"/>
        <w:jc w:val="left"/>
      </w:pPr>
      <w:r>
        <w:t xml:space="preserve">We call this combination of barriers “Digital Apartheid” — a structural, not attitudinal, divide.</w:t>
      </w:r>
    </w:p>
    <w:p>
      <w:pPr>
        <w:pStyle w:val="Heading2"/>
        <w:spacing w:after="160" w:before="320"/>
      </w:pPr>
      <w:r>
        <w:t xml:space="preserve">1.2 The Solution</w:t>
      </w:r>
    </w:p>
    <w:p>
      <w:pPr>
        <w:spacing w:after="160"/>
        <w:jc w:val="left"/>
      </w:pPr>
      <w:r>
        <w:t xml:space="preserve">Edu-Sync Mesh takes the opposite approach to most EdTech platforms. Instead of trying to bring expensive internet infrastructure to the village, it brings a local copy of the cloud to the village — a “Village Hub” that needs no active internet connection to operate.</w:t>
      </w:r>
    </w:p>
    <w:p>
      <w:pPr>
        <w:spacing w:after="160"/>
        <w:jc w:val="left"/>
      </w:pPr>
      <w:r>
        <w:t xml:space="preserve">The product has three core components: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Village Hub — a low-cost Raspberry Pi (or repurposed laptop) that hosts the ZIMSEC curriculum, past exam papers, and a compressed offline AI tutor over a local Wi-Fi hotspot. Runs on a car battery or small solar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Mule Sync Protocol — a novel synchronisation method where a trusted commuter (a teacher, bus driver, or parent) carries content updates between town and village automatically via their phone or a USB flash drive — no fibre cable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Gamified Peer-to-Peer Sharing — a Progressive Web App (PWA) that lets students share downloaded lessons directly with each other over Wi-Fi Direct, earning “Edu-Coins” for every share, with shared content genuinely added to the recipient's library.</w:t>
      </w:r>
    </w:p>
    <w:p>
      <w:pPr>
        <w:spacing w:after="160"/>
        <w:jc w:val="left"/>
      </w:pPr>
      <w:r>
        <w:t xml:space="preserve">Prototype status: a working prototype already implements this architecture end-to-end — a real backend server with persistent storage, a Data Mule Sync that performs a genuine internet lookup for questions the offline knowledge base cannot answer, teacher-uploaded video lessons and ZIMSEC past papers, and an AI tutor that honestly flags the limits of its local knowledge rather than guessing. Source code: github.com/BR-Codeio/edu-sync-mesh.</w:t>
      </w:r>
    </w:p>
    <w:p>
      <w:pPr>
        <w:pStyle w:val="Heading2"/>
        <w:spacing w:after="160" w:before="320"/>
      </w:pPr>
      <w:r>
        <w:t xml:space="preserve">1.3 Mission Statement</w:t>
      </w:r>
    </w:p>
    <w:p>
      <w:pPr>
        <w:spacing w:after="160"/>
        <w:jc w:val="left"/>
      </w:pPr>
      <w:r>
        <w:t xml:space="preserve">To make quality ZIMSEC-aligned education accessible to every Zimbabwean student, regardless of internet access, electricity reliability, or household income.</w:t>
      </w:r>
    </w:p>
    <w:p>
      <w:pPr>
        <w:pStyle w:val="Heading2"/>
        <w:spacing w:after="160" w:before="320"/>
      </w:pPr>
      <w:r>
        <w:t xml:space="preserve">1.4 Vision Statement</w:t>
      </w:r>
    </w:p>
    <w:p>
      <w:pPr>
        <w:spacing w:after="160"/>
        <w:jc w:val="left"/>
      </w:pPr>
      <w:r>
        <w:t xml:space="preserve">A Zimbabwe where a student's postcode no longer determines their pass rate — and a scalable blueprint that can be replicated across rural Africa.</w:t>
      </w:r>
    </w:p>
    <w:p>
      <w:pPr>
        <w:pStyle w:val="Heading2"/>
        <w:spacing w:after="160" w:before="320"/>
      </w:pPr>
      <w:r>
        <w:t xml:space="preserve">1.5 Legal Structure</w:t>
      </w:r>
    </w:p>
    <w:p>
      <w:pPr>
        <w:spacing w:after="160"/>
        <w:jc w:val="left"/>
      </w:pPr>
      <w:r>
        <w:t xml:space="preserve">Edu-Sync Mesh is currently a student-led venture, developed as a hackathon prototype with the intention of registering as a social enterprise (Private Business Corporation) in Zimbabwe upon securing pilot partnerships with the Ministry of Primary and Secondary Education. A social enterprise structure is proposed — rather than a pure non-profit — to allow reinvestment of licensing revenue (Section 5) into scaling hardware deployment.</w:t>
      </w:r>
    </w:p>
    <w:p>
      <w:pPr>
        <w:pStyle w:val="Heading1"/>
        <w:spacing w:after="160" w:before="320"/>
      </w:pPr>
      <w:r>
        <w:t xml:space="preserve">2. Management and Organisation</w:t>
      </w:r>
    </w:p>
    <w:p>
      <w:pPr>
        <w:pStyle w:val="Heading2"/>
        <w:spacing w:after="160" w:before="320"/>
      </w:pPr>
      <w:r>
        <w:t xml:space="preserve">2.1 Founding Team</w:t>
      </w:r>
    </w:p>
    <w:p>
      <w:pPr>
        <w:spacing w:after="160"/>
        <w:jc w:val="left"/>
      </w:pPr>
      <w:r>
        <w:t xml:space="preserve">Edu-Sync Mesh is co-founded and built by a two-person student team. With a small team, both founders share full ownership of the venture's direction, while dividing hands-on execution by strength so that development, design, and documentation can move in parallel.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Founder</w:t>
            </w:r>
          </w:p>
        </w:tc>
        <w:tc>
          <w:tcPr>
            <w:tcW w:type="dxa" w:w="328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Core Responsibilities</w:t>
            </w:r>
          </w:p>
        </w:tc>
        <w:tc>
          <w:tcPr>
            <w:tcW w:type="dxa" w:w="328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Key Skills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Brighton
Co-Founder / Technical Lead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UI implementation and frontend build, backend and offline-sync architecture, Village Hub hardware/software setup, AI tutor integration, financial planning, and pitch delivery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Full-stack development (React, Node.js), systems/hardware setup, project management, public speaking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Kudakwashe Calvin Bhamusi
Co-Founder / Design &amp; Documentation Lead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UI/UX design (wireframes, visual design, user flows), technical and business documentation, business plan writing, presentation content support</w:t>
            </w:r>
          </w:p>
        </w:tc>
        <w:tc>
          <w:tcPr>
            <w:tcW w:type="dxa" w:w="32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UI/UX design, technical writing, documentation, presentation design</w:t>
            </w:r>
          </w:p>
        </w:tc>
      </w:tr>
    </w:tbl>
    <w:p>
      <w:pPr>
        <w:spacing w:before="240"/>
      </w:pPr>
    </w:p>
    <w:p>
      <w:pPr>
        <w:pStyle w:val="Heading2"/>
        <w:spacing w:after="160" w:before="320"/>
      </w:pPr>
      <w:r>
        <w:t xml:space="preserve">2.2 Advisory &amp; Support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University supervisor / IT department mentor — technical guidance and academic credibility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Rural school headteacher (pilot partner) — ground-truth feedback on classroom usability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Ministry of Primary and Secondary Education liaison (target, post-pilot) — curriculum approval and scaling pathway</w:t>
      </w:r>
    </w:p>
    <w:p>
      <w:pPr>
        <w:pStyle w:val="Heading2"/>
        <w:spacing w:after="160" w:before="320"/>
      </w:pPr>
      <w:r>
        <w:t xml:space="preserve">2.3 Governance &amp; Decision-Making</w:t>
      </w:r>
    </w:p>
    <w:p>
      <w:pPr>
        <w:spacing w:after="160"/>
        <w:jc w:val="left"/>
      </w:pPr>
      <w:r>
        <w:t xml:space="preserve">As a two-person founding team, Brighton and Kudakwashe make product and strategic decisions jointly. Brighton leads technical execution and external technical representation (e.g. Village Hub demonstrations); Kudakwashe leads design direction and documentation integrity, including ensuring all materials submitted for judging are complete and consistent. As the venture scales past the pilot (Section 4.3), a formal advisory board will be established including a Ministry of Education representative and a school principal from a partner district, and additional team members will be recruited for content partnerships and finance.</w:t>
      </w:r>
    </w:p>
    <w:p>
      <w:pPr>
        <w:pStyle w:val="Heading1"/>
        <w:spacing w:after="160" w:before="320"/>
      </w:pPr>
      <w:r>
        <w:t xml:space="preserve">3. Marketing Plan</w:t>
      </w:r>
    </w:p>
    <w:p>
      <w:pPr>
        <w:pStyle w:val="Heading2"/>
        <w:spacing w:after="160" w:before="320"/>
      </w:pPr>
      <w:r>
        <w:t xml:space="preserve">3.1 Target Market</w:t>
      </w:r>
    </w:p>
    <w:p>
      <w:pPr>
        <w:spacing w:after="160"/>
        <w:jc w:val="left"/>
      </w:pPr>
      <w:r>
        <w:t xml:space="preserve">Edu-Sync Mesh serves two connected customer segments: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users: Rural O-Level students (Form 1–4) in under-resourced government schools across Zimbabwe's ten provinces — an estimated 200,000+ eligible students.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 buyers/adopters: School administrations and the Ministry of Primary and Secondary Education, who fund and approve hardware deployment and curriculum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 beneficiaries: Rural teachers, who gain a ready-made lesson library and student progress visibility without needing connectivity themselves.</w:t>
      </w:r>
    </w:p>
    <w:p>
      <w:pPr>
        <w:pStyle w:val="Heading2"/>
        <w:spacing w:after="160" w:before="320"/>
      </w:pPr>
      <w:r>
        <w:t xml:space="preserve">3.2 Market Positioning</w:t>
      </w:r>
    </w:p>
    <w:p>
      <w:pPr>
        <w:spacing w:after="160"/>
        <w:jc w:val="left"/>
      </w:pPr>
      <w:r>
        <w:t xml:space="preserve">Edu-Sync Mesh is positioned as the only ZIMSEC-aligned learning platform that requires zero ongoing data cost and zero permanent internet connection — a category existing platforms (Khan Academy, Google Classroom, private tutoring apps) cannot occupy, since all of them assume connectivity.</w:t>
      </w:r>
    </w:p>
    <w:p>
      <w:pPr>
        <w:pStyle w:val="Heading2"/>
        <w:spacing w:after="160" w:before="320"/>
      </w:pPr>
      <w:r>
        <w:t xml:space="preserve">3.3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56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7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Edu-Sync Mesh</w:t>
            </w:r>
          </w:p>
        </w:tc>
        <w:tc>
          <w:tcPr>
            <w:tcW w:type="dxa" w:w="17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1B1B"/>
              </w:rPr>
              <w:t xml:space="preserve">Khan Academy</w:t>
            </w:r>
          </w:p>
        </w:tc>
        <w:tc>
          <w:tcPr>
            <w:tcW w:type="dxa" w:w="17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1B1B"/>
              </w:rPr>
              <w:t xml:space="preserve">Google Classroom</w:t>
            </w:r>
          </w:p>
        </w:tc>
        <w:tc>
          <w:tcPr>
            <w:tcW w:type="dxa" w:w="17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1B1B"/>
              </w:rPr>
              <w:t xml:space="preserve">Local LMS</w:t>
            </w:r>
          </w:p>
        </w:tc>
      </w:tr>
      <w:tr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Works fully offline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Yes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No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No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Partial</w:t>
            </w:r>
          </w:p>
        </w:tc>
      </w:tr>
      <w:tr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Data cost to student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$0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$10–20/mo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$10–20/mo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$5–15/mo</w:t>
            </w:r>
          </w:p>
        </w:tc>
      </w:tr>
      <w:tr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Local AI tutor (Shona)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Yes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No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No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No</w:t>
            </w:r>
          </w:p>
        </w:tc>
      </w:tr>
      <w:tr>
        <w:tc>
          <w:tcPr>
            <w:tcW w:type="dxa" w:w="2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Setup cost per school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$50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$0*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$0*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5042"/>
              </w:rPr>
              <w:t xml:space="preserve">$500+</w:t>
            </w:r>
          </w:p>
        </w:tc>
      </w:tr>
    </w:tbl>
    <w:p>
      <w:pPr>
        <w:spacing w:after="200" w:before="120"/>
      </w:pPr>
      <w:r>
        <w:rPr>
          <w:i/>
          <w:iCs/>
          <w:color w:val="616161"/>
          <w:sz w:val="18"/>
          <w:szCs w:val="18"/>
        </w:rPr>
        <w:t xml:space="preserve">*Free to install, but unusable without ongoing internet/data cost, which is the actual barrier for our target market.</w:t>
      </w:r>
    </w:p>
    <w:p>
      <w:pPr>
        <w:pStyle w:val="Heading2"/>
        <w:spacing w:after="160" w:before="320"/>
      </w:pPr>
      <w:r>
        <w:t xml:space="preserve">3.4 Marketing &amp; Adoption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– Direct school partnerships: Approach headteachers and School Development Committees directly in pilot districts; no cost to schools during pilot.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– Ministry endorsement: Use pilot results (pass-rate improvement data) to secure a formal endorsement letter from the Ministry of Primary and Secondary Education, which becomes the credibility signal for wider adoption.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– Word-of-mouth via Edu-Coins leaderboard: The gamified sharing system is deliberately viral — students are incentivised to recruit peers into the sharing network, driving organic adoption within a school.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– Telecom &amp; corporate sponsorship visibility: Partner with Econet/NetOne/Telecel for “Connect Days” and CSR-aligned press coverage, positioning sponsors alongside a tangible national education outcome.</w:t>
      </w:r>
    </w:p>
    <w:p>
      <w:pPr>
        <w:pStyle w:val="Heading2"/>
        <w:spacing w:after="160" w:before="320"/>
      </w:pPr>
      <w:r>
        <w:t xml:space="preserve">3.5 Pricing Strategy</w:t>
      </w:r>
    </w:p>
    <w:p>
      <w:pPr>
        <w:spacing w:after="160"/>
        <w:jc w:val="left"/>
      </w:pPr>
      <w:r>
        <w:t xml:space="preserve">Free to students and schools at point of use. Revenue is generated upstream from institutional and corporate partners (see Section 5.2), keeping the model consistent with the mission of zero-cost access for rural families.</w:t>
      </w:r>
    </w:p>
    <w:p>
      <w:pPr>
        <w:pStyle w:val="Heading1"/>
        <w:spacing w:after="160" w:before="320"/>
      </w:pPr>
      <w:r>
        <w:t xml:space="preserve">4. Operational / Production Plan</w:t>
      </w:r>
    </w:p>
    <w:p>
      <w:pPr>
        <w:pStyle w:val="Heading2"/>
        <w:spacing w:after="160" w:before="320"/>
      </w:pPr>
      <w:r>
        <w:t xml:space="preserve">4.1 Product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(production target): Raspberry Pi 4 (4GB), 128GB microSD card, 12V battery, optional 100W solar panel — approx. $50 total per Village 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Software (prototype, working today): Node.js/Express backend with persistent file-based storage, React/Vite Progressive Web App, real teacher upload for video lessons and PDF past papers, and a Data Mule Sync that performs a genuine internet lookup (currently via a free public API) for questions the offline knowledge base cannot answer — with every resolved answer saved permanently for all future students.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Software (production target): CouchDB in place of the current JSON file store for multi-device replication, a quantized offline LLM (e.g. Llama-3-8B, Q4_K_M) in place of the current curated knowledge base, and PouchDB for client-side offline sync.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Content: Digitised ZIMSEC-approved textbooks, video lessons, official specimen papers and syllabi, past exam questions with worked solutions, audio-only fallback lessons for low-storage devices. Content uploads include a copyright reminder directing teachers toward officially released or rights-cleared material.</w:t>
      </w:r>
    </w:p>
    <w:p>
      <w:pPr>
        <w:pStyle w:val="Heading2"/>
        <w:spacing w:after="160" w:before="320"/>
      </w:pPr>
      <w:r>
        <w:t xml:space="preserve">4.2 Production / Deployment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1: Pre-load Village Hub with full curriculum and AI model before shipping to school (avoids needing internet on-site for initial setup).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2: On-site installation — configure Wi-Fi access point, connect battery/solar power, verify signal range across classrooms (target: &lt;30 minutes setup 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3: Teacher onboarding — a single 1-hour training session covering the Data Mule Sync app and basic troubleshooting.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4: Ongoing sync — designated teacher's phone auto-downloads curriculum updates when in an urban/data area, then auto-uploads to the Village Hub upon returning to Wi-Fi 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5: Maintenance — quarterly check-ins; hardware swap-out procedure takes under 10 minutes since all data lives on the removable microSD card.</w:t>
      </w:r>
    </w:p>
    <w:p>
      <w:pPr>
        <w:pStyle w:val="Heading2"/>
        <w:spacing w:after="160" w:before="320"/>
      </w:pPr>
      <w:r>
        <w:t xml:space="preserve">4.3 Deployment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2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252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52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Success Metric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Pilot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Months 1–3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5 rural schools (Madziva, Rusape, Gokwe, Kariba, Binga)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80%+ daily engagement; 95%+ hub uptime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Scale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Months 4–9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50 schools across all 10 provinces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15%+ improvement in term test scores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National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Months 10–24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500+ schools, ~200,000 students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Measurable reduction in rural–urban pass-rate gap</w:t>
            </w:r>
          </w:p>
        </w:tc>
      </w:tr>
    </w:tbl>
    <w:p>
      <w:pPr>
        <w:spacing w:before="240"/>
      </w:pPr>
    </w:p>
    <w:p>
      <w:pPr>
        <w:pStyle w:val="Heading2"/>
        <w:spacing w:after="160" w:before="320"/>
      </w:pPr>
      <w:r>
        <w:t xml:space="preserve">4.4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curriculum content cryptographically signed by source institution before distribution, preventing tampering.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Village Hub verifies signatures before serving any file to a student device.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Quarterly content audits against the current ZIMSEC syllabus to prevent staleness.</w:t>
      </w:r>
    </w:p>
    <w:p>
      <w:pPr>
        <w:pStyle w:val="Heading1"/>
        <w:spacing w:after="160" w:before="320"/>
      </w:pPr>
      <w:r>
        <w:t xml:space="preserve">5. Financial Plan</w:t>
      </w:r>
    </w:p>
    <w:p>
      <w:pPr>
        <w:pStyle w:val="Heading2"/>
        <w:spacing w:after="160" w:before="320"/>
      </w:pPr>
      <w:r>
        <w:t xml:space="preserve">5.1 Startup / Pilot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34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Unit Cost</w:t>
            </w:r>
          </w:p>
        </w:tc>
        <w:tc>
          <w:tcPr>
            <w:tcW w:type="dxa" w:w="2340"/>
            <w:shd w:fill="B8504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× 5 Schools (Pilot)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Raspberry Pi 4 (4GB) + microSD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$65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$325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12V battery + solar panel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$80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$400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Teacher training &amp; travel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$60/school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$300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Content licensing/digitisation (one-off)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—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$1,200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B1B1B"/>
              </w:rPr>
              <w:t xml:space="preserve">Contingency (10%)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—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$223</w:t>
            </w:r>
          </w:p>
        </w:tc>
      </w:tr>
      <w:tr>
        <w:tc>
          <w:tcPr>
            <w:tcW w:type="dxa" w:w="468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B1B1B"/>
              </w:rPr>
              <w:t xml:space="preserve">Total Pilot Budget</w:t>
            </w:r>
          </w:p>
        </w:tc>
        <w:tc>
          <w:tcPr>
            <w:tcW w:type="dxa" w:w="234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1B1B"/>
              </w:rPr>
              <w:t xml:space="preserve">—</w:t>
            </w:r>
          </w:p>
        </w:tc>
        <w:tc>
          <w:tcPr>
            <w:tcW w:type="dxa" w:w="2340"/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1B1B"/>
              </w:rPr>
              <w:t xml:space="preserve">$2,448</w:t>
            </w:r>
          </w:p>
        </w:tc>
      </w:tr>
    </w:tbl>
    <w:p>
      <w:pPr>
        <w:spacing w:before="240"/>
      </w:pPr>
    </w:p>
    <w:p>
      <w:pPr>
        <w:pStyle w:val="Heading2"/>
        <w:spacing w:after="160" w:before="320"/>
      </w:pPr>
      <w:r>
        <w:t xml:space="preserve">5.2 Revenue Model (Post-Pilot Sustainability)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 maintenance contracts: ~$1,000/school/year at scale (500 schools → ~$500,000/year).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Corporate sponsorships: telecom/CSR partners sponsor “Connect Days” and hub branding (~$200,000/year projected at scale).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content licensing: private schools pay ~$200/school/year for supplementary content such as extended past-paper banks (~$100,000/year projected at scale).</w:t>
      </w:r>
    </w:p>
    <w:p>
      <w:pPr>
        <w:spacing w:after="160"/>
        <w:jc w:val="left"/>
      </w:pPr>
      <w:r>
        <w:t xml:space="preserve">Projected combined revenue at full scale (Year 3, 500 schools): approximately $800,000/year, against operating costs (content creation, teacher training, technical support) of approximately $120,000/year — leaving margin for reinvestment into further hardware rollout.</w:t>
      </w:r>
    </w:p>
    <w:p>
      <w:pPr>
        <w:pStyle w:val="Heading2"/>
        <w:spacing w:after="160" w:before="320"/>
      </w:pPr>
      <w:r>
        <w:t xml:space="preserve">5.3 Break-Even Analysis</w:t>
      </w:r>
    </w:p>
    <w:p>
      <w:pPr>
        <w:spacing w:after="160"/>
        <w:jc w:val="left"/>
      </w:pPr>
      <w:r>
        <w:t xml:space="preserve">Fixed cost per school is approximately $145 (hardware) plus $50/year (maintenance). Break-even on the government-contract revenue stream alone is reached at approximately 200 schools under contract, projected to occur in Year 2 of the scale phase.</w:t>
      </w:r>
    </w:p>
    <w:p>
      <w:pPr>
        <w:pStyle w:val="Heading2"/>
        <w:spacing w:after="160" w:before="320"/>
      </w:pPr>
      <w:r>
        <w:t xml:space="preserve">5.4 Funding Ask (Pilot Phase)</w:t>
      </w:r>
    </w:p>
    <w:p>
      <w:pPr>
        <w:spacing w:after="160"/>
        <w:jc w:val="left"/>
      </w:pPr>
      <w:r>
        <w:t xml:space="preserve">We are seeking $2,500 in seed funding or in-kind sponsorship (hardware donation from a telecom or hardware partner) to fund the 5-school pilot outlined in Section 4.3, with Ministry of Education engagement to follow on the strength of pilot results.</w:t>
      </w:r>
    </w:p>
    <w:p>
      <w:pPr>
        <w:pStyle w:val="Heading1"/>
        <w:spacing w:after="160" w:before="320"/>
      </w:pPr>
      <w:r>
        <w:t xml:space="preserve">6. Elevator Pitch</w:t>
      </w:r>
    </w:p>
    <w:p>
      <w:pPr>
        <w:spacing w:after="160"/>
        <w:jc w:val="left"/>
      </w:pPr>
      <w:r>
        <w:rPr>
          <w:i/>
          <w:iCs/>
          <w:color w:val="616161"/>
        </w:rPr>
        <w:t xml:space="preserve">(Approx. 60 seconds — for use in judging rounds, investor conversations, or partner meetings)</w:t>
      </w:r>
    </w:p>
    <w:p>
      <w:pPr>
        <w:pBdr>
          <w:left w:val="single" w:color="B85042" w:sz="24"/>
        </w:pBdr>
        <w:shd w:fill="FFF3E0" w:val="clear"/>
        <w:spacing w:after="200" w:before="200"/>
        <w:ind w:left="200"/>
      </w:pPr>
      <w:r>
        <w:rPr>
          <w:i/>
          <w:iCs/>
          <w:sz w:val="22"/>
          <w:szCs w:val="22"/>
        </w:rPr>
        <w:t xml:space="preserve">“A student in Madziva can walk five kilometres to school, but still can't get one bar of signal to download a 2MB PDF. One gigabyte of data costs 20% of their family's weekly income. Meanwhile, a student in Harare has Wi-Fi, computer labs, and YouTube tutorials. The result: a 43-point gap in ZIMSEC pass rates between rural and urban students. That's not a talent gap — it's an infrastructure gap. We call it Digital Apartheid.</w:t>
      </w:r>
    </w:p>
    <w:p>
      <w:pPr>
        <w:pBdr>
          <w:left w:val="single" w:color="B85042" w:sz="24"/>
        </w:pBdr>
        <w:shd w:fill="FFF3E0" w:val="clear"/>
        <w:spacing w:after="200"/>
        <w:ind w:left="200"/>
      </w:pPr>
      <w:r>
        <w:rPr>
          <w:i/>
          <w:iCs/>
          <w:sz w:val="22"/>
          <w:szCs w:val="22"/>
        </w:rPr>
        <w:t xml:space="preserve">Edu-Sync Mesh solves it differently: instead of waiting for fibre cable to reach the village, we bring the cloud to the village. A $50 Raspberry Pi — our 'Village Hub' — hosts the entire ZIMSEC curriculum and an offline AI tutor that answers questions in Shona, with zero internet connection and zero data cost. When a teacher travels to town, their phone automatically grabs the latest updates; when they come home, it syncs with the Hub. The bus becomes our fibre cable.</w:t>
      </w:r>
    </w:p>
    <w:p>
      <w:pPr>
        <w:pBdr>
          <w:left w:val="single" w:color="B85042" w:sz="24"/>
        </w:pBdr>
        <w:shd w:fill="FFF3E0" w:val="clear"/>
        <w:spacing w:after="200"/>
        <w:ind w:left="200"/>
      </w:pPr>
      <w:r>
        <w:rPr>
          <w:i/>
          <w:iCs/>
          <w:sz w:val="22"/>
          <w:szCs w:val="22"/>
        </w:rPr>
        <w:t xml:space="preserve">One Hub serves 200 students. We're piloting in five rural schools this term, and our goal is simple: close that 43-point gap, one village at a time.”</w:t>
      </w:r>
    </w:p>
    <w:p>
      <w:pPr>
        <w:spacing w:before="320"/>
      </w:pPr>
    </w:p>
    <w:p>
      <w:pPr>
        <w:pStyle w:val="Heading2"/>
        <w:spacing w:after="160" w:before="320"/>
      </w:pPr>
      <w:r>
        <w:t xml:space="preserve">Contact</w:t>
      </w:r>
    </w:p>
    <w:p>
      <w:pPr>
        <w:spacing w:after="160"/>
        <w:jc w:val="left"/>
      </w:pPr>
      <w:r>
        <w:t xml:space="preserve">Brighton — Co-Founder / Technical Lead, Zimbabwe Open University, BSc Information Technology</w:t>
      </w:r>
    </w:p>
    <w:p>
      <w:pPr>
        <w:spacing w:after="160"/>
        <w:jc w:val="left"/>
      </w:pPr>
      <w:r>
        <w:t xml:space="preserve">Kudakwashe Calvin Bhamusi — Co-Founder / Design &amp; Documentation Lead</w:t>
      </w:r>
    </w:p>
    <w:p>
      <w:pPr>
        <w:spacing w:after="160"/>
        <w:jc w:val="left"/>
      </w:pPr>
      <w:r>
        <w:t xml:space="preserve">GitHub: github.com/BR-Codeio/edu-sync-mesh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33528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048000" cy="3352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3352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33afdcad7c890a5954ac41c845fc7f00a6ed0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4bf85e96117cf3afa19155e60910fb51bb089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2026-07-14T08:23:20.582Z</dcterms:created>
  <dcterms:modified xsi:type="dcterms:W3CDTF">2026-07-14T08:23:20.583Z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