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41c17182c29eebd6e311e5598198639fc0bf91"/>
    <w:p>
      <w:pPr>
        <w:pStyle w:val="Heading1"/>
      </w:pPr>
      <w:r>
        <w:t xml:space="preserve">OPC Server Consolidation — Device Compatibility Assessment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Blue Ridge Automation ·</w:t>
      </w:r>
      <w: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Madison Precision Products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2026-08-12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Can the new MES reach all plant-floor devices through Ignition’s built-in OPC-UA server, allowing TOP Server and OmniServer to be removed?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new MES (Ignition) currently reaches shop-floor devices through</w:t>
      </w:r>
      <w:r>
        <w:t xml:space="preserve"> </w:t>
      </w:r>
      <w:r>
        <w:rPr>
          <w:b/>
          <w:bCs/>
        </w:rPr>
        <w:t xml:space="preserve">two third-party OPC servers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 Server</w:t>
      </w:r>
      <w:r>
        <w:t xml:space="preserve"> </w:t>
      </w:r>
      <w:r>
        <w:t xml:space="preserve">(Software Toolbox) — the PLCs and HMIs (assembly cells, vision cells, container/sort stations).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OmniServer</w:t>
      </w:r>
      <w:r>
        <w:t xml:space="preserve"> </w:t>
      </w:r>
      <w:r>
        <w:t xml:space="preserve">(Software Toolbox) — the weigh-check scales.</w:t>
      </w:r>
    </w:p>
    <w:p>
      <w:pPr>
        <w:pStyle w:val="FirstParagraph"/>
      </w:pPr>
      <w:r>
        <w:t xml:space="preserve">MPP has asked whether both can be eliminated by having Ignition talk to the devices directly through its</w:t>
      </w:r>
      <w:r>
        <w:t xml:space="preserve"> </w:t>
      </w:r>
      <w:r>
        <w:rPr>
          <w:b/>
          <w:bCs/>
        </w:rPr>
        <w:t xml:space="preserve">built-in OPC-UA server and drivers</w:t>
      </w:r>
      <w:r>
        <w:t xml:space="preserve">. This document states which devices can move to Ignition natively, which cannot, what information we need from MPP, and our recommendation.</w:t>
      </w:r>
    </w:p>
    <w:p>
      <w:pPr>
        <w:pStyle w:val="BodyText"/>
      </w:pPr>
      <w:r>
        <w:rPr>
          <w:b/>
          <w:bCs/>
        </w:rPr>
        <w:t xml:space="preserve">Key point up front:</w:t>
      </w:r>
      <w:r>
        <w:t xml:space="preserve"> </w:t>
      </w:r>
      <w:r>
        <w:t xml:space="preserve">“Ignition’s built-in OPC-UA server”</w:t>
      </w:r>
      <w:r>
        <w:t xml:space="preserve"> </w:t>
      </w:r>
      <w:r>
        <w:t xml:space="preserve">is really a question of</w:t>
      </w:r>
      <w:r>
        <w:t xml:space="preserve"> </w:t>
      </w:r>
      <w:r>
        <w:rPr>
          <w:b/>
          <w:bCs/>
        </w:rPr>
        <w:t xml:space="preserve">device drivers</w:t>
      </w:r>
      <w:r>
        <w:t xml:space="preserve"> </w:t>
      </w:r>
      <w:r>
        <w:t xml:space="preserve">— Ignition’s OPC-UA server publishes whatever its drivers can connect to. So the question is whether Ignition’s native driver set covers each device.</w:t>
      </w:r>
    </w:p>
    <w:p>
      <w:r>
        <w:pict>
          <v:rect style="width:0;height:1.5pt" o:hralign="center" o:hrstd="t" o:hr="t"/>
        </w:pict>
      </w:r>
    </w:p>
    <w:bookmarkEnd w:id="9"/>
    <w:bookmarkStart w:id="10" w:name="bottom-line"/>
    <w:p>
      <w:pPr>
        <w:pStyle w:val="Heading2"/>
      </w:pPr>
      <w:r>
        <w:t xml:space="preserve">2. Bottom 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Most of the automation moves natively.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9 Allen-Bradley MicroLogix 1400 PLCs</w:t>
      </w:r>
      <w:r>
        <w:t xml:space="preserve"> </w:t>
      </w:r>
      <w:r>
        <w:t xml:space="preserve">(vision, tray disposition, sort) are directly supported by Ignition’s native Allen-Bradley driver — no third-party server needed for these.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11 devices cannot be brought into Ignition natively: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7 weigh scales</w:t>
      </w:r>
      <w:r>
        <w:t xml:space="preserve"> </w:t>
      </w:r>
      <w:r>
        <w:t xml:space="preserve">(custom serial protocol) and the</w:t>
      </w:r>
      <w:r>
        <w:t xml:space="preserve"> </w:t>
      </w:r>
      <w:r>
        <w:rPr>
          <w:b/>
          <w:bCs/>
        </w:rPr>
        <w:t xml:space="preserve">4 Pro-face LT3300 HMI cells</w:t>
      </w:r>
      <w:r>
        <w:t xml:space="preserve"> </w:t>
      </w:r>
      <w:r>
        <w:t xml:space="preserve">(no Ignition driver).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 devices need a quick confirmation</w:t>
      </w:r>
      <w:r>
        <w:t xml:space="preserve"> </w:t>
      </w:r>
      <w:r>
        <w:t xml:space="preserve">— the 5G0 serialized cells (generic EtherNet/IP).</w:t>
      </w:r>
    </w:p>
    <w:p>
      <w:pPr>
        <w:pStyle w:val="Compact"/>
        <w:numPr>
          <w:ilvl w:val="0"/>
          <w:numId w:val="1002"/>
        </w:numPr>
      </w:pPr>
      <w:r>
        <w:t xml:space="preserve">Because of the scales and the Pro-face HMIs, a</w:t>
      </w:r>
      <w:r>
        <w:t xml:space="preserve"> </w:t>
      </w:r>
      <w:r>
        <w:rPr>
          <w:b/>
          <w:bCs/>
        </w:rPr>
        <w:t xml:space="preserve">“pure Ignition, zero third-party OPC server”</w:t>
      </w:r>
      <w:r>
        <w:rPr>
          <w:b/>
          <w:bCs/>
        </w:rPr>
        <w:t xml:space="preserve"> </w:t>
      </w:r>
      <w:r>
        <w:rPr>
          <w:b/>
          <w:bCs/>
        </w:rPr>
        <w:t xml:space="preserve">outcome is not achievable without custom development.</w:t>
      </w:r>
      <w:r>
        <w:t xml:space="preserve"> </w:t>
      </w:r>
      <w:r>
        <w:t xml:space="preserve">The cleaner path is to</w:t>
      </w:r>
      <w:r>
        <w:t xml:space="preserve"> </w:t>
      </w:r>
      <w:r>
        <w:rPr>
          <w:b/>
          <w:bCs/>
        </w:rPr>
        <w:t xml:space="preserve">consolidate the two servers into one</w:t>
      </w:r>
      <w:r>
        <w:t xml:space="preserve"> </w:t>
      </w:r>
      <w:r>
        <w:t xml:space="preserve">(Section 5).</w:t>
      </w:r>
    </w:p>
    <w:p>
      <w:r>
        <w:pict>
          <v:rect style="width:0;height:1.5pt" o:hralign="center" o:hrstd="t" o:hr="t"/>
        </w:pict>
      </w:r>
    </w:p>
    <w:bookmarkEnd w:id="10"/>
    <w:bookmarkStart w:id="11" w:name="X7f8ff9d79bf3b3498bd28007058df359e29318e"/>
    <w:p>
      <w:pPr>
        <w:pStyle w:val="Heading2"/>
      </w:pPr>
      <w:r>
        <w:t xml:space="preserve">3. Devices that MOVE to Ignition natively (good news)</w:t>
      </w:r>
    </w:p>
    <w:p>
      <w:pPr>
        <w:pStyle w:val="FirstParagraph"/>
      </w:pPr>
      <w:r>
        <w:t xml:space="preserve">Allen-Bradley MicroLogix 1400 — Ignition’s native AB driver speaks EtherNet/IP with the same data-file addressing these PLCs already use: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Device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Line / station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5J6_OilPan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5K8_64A_OilPan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6C2_6MA_OilPan</w:t>
            </w:r>
          </w:p>
        </w:tc>
        <w:tc>
          <w:tcPr/>
          <w:p>
            <w:pPr>
              <w:pStyle w:val="Compact"/>
            </w:pPr>
            <w:r>
              <w:t xml:space="preserve">Vision inspection cells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6B2_CH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6FB_CH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6MA_CH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RPY_CH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Container / tray-disposition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Sort_OilPan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Sort_Totes</w:t>
            </w:r>
          </w:p>
        </w:tc>
        <w:tc>
          <w:tcPr/>
          <w:p>
            <w:pPr>
              <w:pStyle w:val="Compact"/>
            </w:pPr>
            <w:r>
              <w:t xml:space="preserve">Sort cage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OPC server needed for these — they connect straight to Ignition.</w:t>
      </w:r>
    </w:p>
    <w:p>
      <w:r>
        <w:pict>
          <v:rect style="width:0;height:1.5pt" o:hralign="center" o:hrstd="t" o:hr="t"/>
        </w:pict>
      </w:r>
    </w:p>
    <w:bookmarkEnd w:id="11"/>
    <w:bookmarkStart w:id="15" w:name="X166d6ada289e5638187ccd8c5705521e934bb3e"/>
    <w:p>
      <w:pPr>
        <w:pStyle w:val="Heading2"/>
      </w:pPr>
      <w:r>
        <w:t xml:space="preserve">4. Devices that CANNOT be brought into Ignition natively</w:t>
      </w:r>
    </w:p>
    <w:bookmarkStart w:id="12" w:name="X74c30c2ab5a7e077d2f905bdcc4808202d81d92"/>
    <w:p>
      <w:pPr>
        <w:pStyle w:val="Heading3"/>
      </w:pPr>
      <w:r>
        <w:t xml:space="preserve">4a. Weigh scales — currently on OmniServer (7 devices)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Device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Line / station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59B_1_FP_1</w:t>
            </w:r>
          </w:p>
        </w:tc>
        <w:tc>
          <w:tcPr/>
          <w:p>
            <w:pPr>
              <w:pStyle w:val="Compact"/>
            </w:pPr>
            <w:r>
              <w:t xml:space="preserve">59B Cam Holder — Fuel Pump scale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5PA_1_FP_1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5PA Fuel Pump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6B2_1_FP_1</w:t>
            </w:r>
          </w:p>
        </w:tc>
        <w:tc>
          <w:tcPr/>
          <w:p>
            <w:pPr>
              <w:pStyle w:val="Compact"/>
            </w:pPr>
            <w:r>
              <w:t xml:space="preserve">RPY 6B2 Line 2 scale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RPY_1_FP_1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Fuel Pump (RPY 66V)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RPY_1_CB_1</w:t>
            </w:r>
          </w:p>
        </w:tc>
        <w:tc>
          <w:tcPr/>
          <w:p>
            <w:pPr>
              <w:pStyle w:val="Compact"/>
            </w:pPr>
            <w:r>
              <w:t xml:space="preserve">RPY Comp Bracket scale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5G0_Front_Scale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5G0 Front assembly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5G0_Rear_Scale</w:t>
            </w:r>
          </w:p>
        </w:tc>
        <w:tc>
          <w:tcPr/>
          <w:p>
            <w:pPr>
              <w:pStyle w:val="Compact"/>
            </w:pPr>
            <w:r>
              <w:t xml:space="preserve">5G0 Rear assembly scale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not:</w:t>
      </w:r>
      <w:r>
        <w:t xml:space="preserve"> </w:t>
      </w:r>
      <w:r>
        <w:t xml:space="preserve">these use a</w:t>
      </w:r>
      <w:r>
        <w:t xml:space="preserve"> </w:t>
      </w:r>
      <w:r>
        <w:rPr>
          <w:b/>
          <w:bCs/>
        </w:rPr>
        <w:t xml:space="preserve">custom serial/ASCII protocol</w:t>
      </w:r>
      <w:r>
        <w:t xml:space="preserve"> </w:t>
      </w:r>
      <w:r>
        <w:t xml:space="preserve">(OmniServer’s specialty). Ignition has no generic scale or custom-protocol driver. In addition, the</w:t>
      </w:r>
      <w:r>
        <w:t xml:space="preserve"> </w:t>
      </w:r>
      <w:r>
        <w:rPr>
          <w:b/>
          <w:bCs/>
        </w:rPr>
        <w:t xml:space="preserve">target-vs-tolerance pass/fail decision is computed in the OmniServer protocol layer today</w:t>
      </w:r>
      <w:r>
        <w:t xml:space="preserve"> </w:t>
      </w:r>
      <w:r>
        <w:t xml:space="preserve">— the MES reads a</w:t>
      </w:r>
      <w:r>
        <w:t xml:space="preserve"> </w:t>
      </w:r>
      <w:r>
        <w:t xml:space="preserve">“target met”</w:t>
      </w:r>
      <w:r>
        <w:t xml:space="preserve"> </w:t>
      </w:r>
      <w:r>
        <w:t xml:space="preserve">flag rather than calculating it — so that logic would also have to be reproduced.</w:t>
      </w:r>
    </w:p>
    <w:bookmarkEnd w:id="12"/>
    <w:bookmarkStart w:id="13" w:name="X037a13bfd47f61c3805f352ce6117a916fa1a84"/>
    <w:p>
      <w:pPr>
        <w:pStyle w:val="Heading3"/>
      </w:pPr>
      <w:r>
        <w:t xml:space="preserve">4b. Pro-face LT3300 HMI cells — currently on TOP Server (4 devices)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Device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Line / station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5A2_L1_CamHolder</w:t>
            </w:r>
          </w:p>
        </w:tc>
        <w:tc>
          <w:tcPr/>
          <w:p>
            <w:pPr>
              <w:pStyle w:val="Compact"/>
            </w:pPr>
            <w:r>
              <w:t xml:space="preserve">5A2 Line 1 — Cam Holder assembly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5A2_L1_FuelPump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5A2 Line 1 — Fuel Pump assembly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5A2_L2_CamHolder</w:t>
            </w:r>
          </w:p>
        </w:tc>
        <w:tc>
          <w:tcPr/>
          <w:p>
            <w:pPr>
              <w:pStyle w:val="Compact"/>
            </w:pPr>
            <w:r>
              <w:t xml:space="preserve">5A2 Line 2 — Cam Holder assembly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5A2_L2_FuelPump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5A2 Line 2 — Fuel Pump assembly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not:</w:t>
      </w:r>
      <w:r>
        <w:t xml:space="preserve"> </w:t>
      </w:r>
      <w:r>
        <w:t xml:space="preserve">these are</w:t>
      </w:r>
      <w:r>
        <w:t xml:space="preserve"> </w:t>
      </w:r>
      <w:r>
        <w:rPr>
          <w:b/>
          <w:bCs/>
        </w:rPr>
        <w:t xml:space="preserve">Pro-face LT3300</w:t>
      </w:r>
      <w:r>
        <w:t xml:space="preserve"> </w:t>
      </w:r>
      <w:r>
        <w:t xml:space="preserve">touch panels. Ignition has</w:t>
      </w:r>
      <w:r>
        <w:t xml:space="preserve"> </w:t>
      </w:r>
      <w:r>
        <w:rPr>
          <w:b/>
          <w:bCs/>
        </w:rPr>
        <w:t xml:space="preserve">no native Pro-face driver</w:t>
      </w:r>
      <w:r>
        <w:t xml:space="preserve">. (TOP Server / Kepware does — which is why they work today.)</w:t>
      </w:r>
    </w:p>
    <w:bookmarkEnd w:id="13"/>
    <w:bookmarkStart w:id="14" w:name="Xe831bef2d75b23d6e8e1b0787042258c8a7a2a4"/>
    <w:p>
      <w:pPr>
        <w:pStyle w:val="Heading3"/>
      </w:pPr>
      <w:r>
        <w:t xml:space="preserve">4c. 5G0 serialized cells — EtherNet/IP (2 devices) — CONFIRM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Device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Line / station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5G0_A1</w:t>
            </w:r>
          </w:p>
        </w:tc>
        <w:tc>
          <w:tcPr/>
          <w:p>
            <w:pPr>
              <w:pStyle w:val="Compact"/>
            </w:pPr>
            <w:r>
              <w:t xml:space="preserve">5G0 Front — serialized assembly cell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5G0_A2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5G0 Rear — serialized assembly cell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“confirm”</w:t>
      </w:r>
      <w:r>
        <w:rPr>
          <w:b/>
          <w:bCs/>
        </w:rPr>
        <w:t xml:space="preserve">:</w:t>
      </w:r>
      <w:r>
        <w:t xml:space="preserve"> </w:t>
      </w:r>
      <w:r>
        <w:t xml:space="preserve">catalogued as generic EtherNet/IP nodes.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these are Allen-Bradley (ControlLogix / CompactLogix / EtherNet-IP), Ignition’s native driver covers them and they move like the MicroLogix PLCs. We need the PLC make/model to confirm.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options-recommendation"/>
    <w:p>
      <w:pPr>
        <w:pStyle w:val="Heading2"/>
      </w:pPr>
      <w:r>
        <w:t xml:space="preserve">5. Options &amp; recommendation</w:t>
      </w:r>
    </w:p>
    <w:bookmarkStart w:id="16" w:name="X83f056b4f3d99ba100d1766a230e06b04eb9729"/>
    <w:p>
      <w:pPr>
        <w:pStyle w:val="Heading3"/>
      </w:pPr>
      <w:r>
        <w:t xml:space="preserve">Option A — Ignition only (remove both servers)</w:t>
      </w:r>
    </w:p>
    <w:p>
      <w:pPr>
        <w:pStyle w:val="FirstParagraph"/>
      </w:pPr>
      <w:r>
        <w:t xml:space="preserve">Move the Allen-Bradley PLCs to Ignition’s native drivers, and</w:t>
      </w:r>
      <w:r>
        <w:t xml:space="preserve"> </w:t>
      </w:r>
      <w:r>
        <w:rPr>
          <w:b/>
          <w:bCs/>
        </w:rPr>
        <w:t xml:space="preserve">reimplement the scale protocol inside Ignition</w:t>
      </w:r>
      <w:r>
        <w:t xml:space="preserve"> </w:t>
      </w:r>
      <w:r>
        <w:t xml:space="preserve">(raw TCP/serial driver + gateway scripting, including the pass/fail comparison). Pro-face works</w:t>
      </w:r>
      <w:r>
        <w:t xml:space="preserve"> </w:t>
      </w:r>
      <w:r>
        <w:rPr>
          <w:b/>
          <w:bCs/>
        </w:rPr>
        <w:t xml:space="preserve">only if</w:t>
      </w:r>
      <w:r>
        <w:t xml:space="preserve"> </w:t>
      </w:r>
      <w:r>
        <w:t xml:space="preserve">the LT3300 also exposes Modbus TCP.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Pros:</w:t>
      </w:r>
      <w:r>
        <w:t xml:space="preserve"> </w:t>
      </w:r>
      <w:r>
        <w:t xml:space="preserve">no third-party OPC licensing or support; single vendor (Ignition); one address space.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Cons:</w:t>
      </w:r>
      <w:r>
        <w:t xml:space="preserve"> </w:t>
      </w:r>
      <w:r>
        <w:t xml:space="preserve">the scale integration becomes</w:t>
      </w:r>
      <w:r>
        <w:t xml:space="preserve"> </w:t>
      </w:r>
      <w:r>
        <w:rPr>
          <w:b/>
          <w:bCs/>
        </w:rPr>
        <w:t xml:space="preserve">custom software that Blue Ridge builds and maintains</w:t>
      </w:r>
      <w:r>
        <w:t xml:space="preserve">; the Pro-face cells are blocked unless they speak Modbus.</w:t>
      </w:r>
    </w:p>
    <w:bookmarkEnd w:id="16"/>
    <w:bookmarkStart w:id="17" w:name="X5538fb2768424b0fe893ed9b0761379a6cbb5a0"/>
    <w:p>
      <w:pPr>
        <w:pStyle w:val="Heading3"/>
      </w:pPr>
      <w:r>
        <w:t xml:space="preserve">Option B — Consolidate to a single OPC server (recommended)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TOP Server and OmniServer with</w:t>
      </w:r>
      <w:r>
        <w:t xml:space="preserve"> </w:t>
      </w:r>
      <w:r>
        <w:rPr>
          <w:b/>
          <w:bCs/>
        </w:rPr>
        <w:t xml:space="preserve">one modern OPC server — KEPServerEX (PTC Kepware)</w:t>
      </w:r>
      <w:r>
        <w:t xml:space="preserve"> </w:t>
      </w:r>
      <w:r>
        <w:t xml:space="preserve">— using its native drivers for the Allen-Bradley PLCs and Pro-face HMIs,</w:t>
      </w:r>
      <w:r>
        <w:t xml:space="preserve"> </w:t>
      </w:r>
      <w:r>
        <w:rPr>
          <w:b/>
          <w:bCs/>
        </w:rPr>
        <w:t xml:space="preserve">plus its User-Configurable (U-CON) driver for the custom scale protocol</w:t>
      </w:r>
      <w:r>
        <w:t xml:space="preserve"> </w:t>
      </w:r>
      <w:r>
        <w:t xml:space="preserve">(U-CON is the direct equivalent of OmniServer’s protocol builder). Ignition connects to it over OPC-UA.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Pros:</w:t>
      </w:r>
      <w:r>
        <w:t xml:space="preserve"> </w:t>
      </w:r>
      <w:r>
        <w:t xml:space="preserve">two servers become</w:t>
      </w:r>
      <w:r>
        <w:t xml:space="preserve"> </w:t>
      </w:r>
      <w:r>
        <w:rPr>
          <w:b/>
          <w:bCs/>
        </w:rPr>
        <w:t xml:space="preserve">one</w:t>
      </w:r>
      <w:r>
        <w:t xml:space="preserve">; keeps native Pro-face support and the custom-scale capability</w:t>
      </w:r>
      <w:r>
        <w:t xml:space="preserve"> </w:t>
      </w:r>
      <w:r>
        <w:rPr>
          <w:b/>
          <w:bCs/>
        </w:rPr>
        <w:t xml:space="preserve">without custom Ignition code</w:t>
      </w:r>
      <w:r>
        <w:t xml:space="preserve">; modern and well-supported.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Cons:</w:t>
      </w:r>
      <w:r>
        <w:t xml:space="preserve"> </w:t>
      </w:r>
      <w:r>
        <w:t xml:space="preserve">still one third-party OPC server (licensed).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TOP Server is itself built on Kepware technology, so this is not a large platform change — the real gain is</w:t>
      </w:r>
      <w:r>
        <w:t xml:space="preserve"> </w:t>
      </w:r>
      <w:r>
        <w:rPr>
          <w:b/>
          <w:bCs/>
        </w:rPr>
        <w:t xml:space="preserve">collapsing two servers into one</w:t>
      </w:r>
      <w:r>
        <w:t xml:space="preserve"> </w:t>
      </w:r>
      <w:r>
        <w:t xml:space="preserve">and absorbing the scales via U-CON, eliminating OmniServer.</w:t>
      </w:r>
    </w:p>
    <w:bookmarkEnd w:id="17"/>
    <w:bookmarkStart w:id="18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If the goal is</w:t>
      </w:r>
      <w:r>
        <w:t xml:space="preserve"> </w:t>
      </w:r>
      <w:r>
        <w:rPr>
          <w:b/>
          <w:bCs/>
        </w:rPr>
        <w:t xml:space="preserve">fewer moving parts and better supportability</w:t>
      </w:r>
      <w:r>
        <w:t xml:space="preserve">,</w:t>
      </w:r>
      <w:r>
        <w:t xml:space="preserve"> </w:t>
      </w:r>
      <w:r>
        <w:rPr>
          <w:b/>
          <w:bCs/>
        </w:rPr>
        <w:t xml:space="preserve">Option B (a single KEPServerEX with U-CON)</w:t>
      </w:r>
      <w:r>
        <w:t xml:space="preserve"> </w:t>
      </w:r>
      <w:r>
        <w:t xml:space="preserve">is the pragmatic path — it removes OmniServer and the two-server split with the least custom development, and keeps every device on a supported driver.</w:t>
      </w:r>
      <w:r>
        <w:t xml:space="preserve"> </w:t>
      </w:r>
      <w:r>
        <w:rPr>
          <w:b/>
          <w:bCs/>
        </w:rPr>
        <w:t xml:space="preserve">Option A (full Ignition-only)</w:t>
      </w:r>
      <w:r>
        <w:t xml:space="preserve"> </w:t>
      </w:r>
      <w:r>
        <w:t xml:space="preserve">is achievable but trades a server license for scale-protocol code that Blue Ridge would then own; it is worth it only if removing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third-party OPC is a hard requirement and the scales prove simple.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what-we-need-from-mpp-to-finalize"/>
    <w:p>
      <w:pPr>
        <w:pStyle w:val="Heading2"/>
      </w:pPr>
      <w:r>
        <w:t xml:space="preserve">6. What we need from MPP to finalize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Device group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Information requested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Weigh scales (7)</w:t>
            </w:r>
          </w:p>
        </w:tc>
        <w:tc>
          <w:tcPr/>
          <w:p>
            <w:pPr>
              <w:pStyle w:val="Compact"/>
            </w:pPr>
            <w:r>
              <w:t xml:space="preserve">Make/model, connection type (RS-232 serial / Ethernet / serial-to-Ethernet converter), the data protocol, and</w:t>
            </w:r>
            <w:r>
              <w:t xml:space="preserve"> </w:t>
            </w:r>
            <w:r>
              <w:rPr>
                <w:b/>
                <w:bCs/>
              </w:rPr>
              <w:t xml:space="preserve">whether the scale itself outputs a pass/fail</w:t>
            </w:r>
            <w:r>
              <w:t xml:space="preserve"> </w:t>
            </w:r>
            <w:r>
              <w:t xml:space="preserve">or OmniServer computes it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Pro-face LT3300 (4)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Does the LT3300 expose</w:t>
            </w:r>
            <w:r>
              <w:t xml:space="preserve"> </w:t>
            </w:r>
            <w:r>
              <w:rPr>
                <w:b/>
                <w:bCs/>
              </w:rPr>
              <w:t xml:space="preserve">Modbus TCP</w:t>
            </w:r>
            <w:r>
              <w:t xml:space="preserve">, or only the Pro-face protocol?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5G0 cells (2)</w:t>
            </w:r>
          </w:p>
        </w:tc>
        <w:tc>
          <w:tcPr/>
          <w:p>
            <w:pPr>
              <w:pStyle w:val="Compact"/>
            </w:pPr>
            <w:r>
              <w:t xml:space="preserve">PLC make/model for 5G0 Front and 5G0 Rear</w:t>
            </w:r>
          </w:p>
        </w:tc>
      </w:tr>
    </w:tbl>
    <w:p>
      <w:pPr>
        <w:pStyle w:val="BodyText"/>
      </w:pPr>
      <w:r>
        <w:t xml:space="preserve">With these three answers we can size each option precisely and confirm whether</w:t>
      </w:r>
      <w:r>
        <w:t xml:space="preserve"> </w:t>
      </w:r>
      <w:r>
        <w:t xml:space="preserve">“Ignition-only”</w:t>
      </w:r>
      <w:r>
        <w:t xml:space="preserve"> </w:t>
      </w:r>
      <w:r>
        <w:t xml:space="preserve">is viable or a single-server consolidation is the right call.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1F4E79" w:val="clear"/>
        <w:tcBorders>
          <w:bottom w:color="1F4E79" w:space="0" w:sz="8" w:val="single"/>
        </w:tcBorders>
        <w:vAlign w:val="center"/>
      </w:tcPr>
    </w:tblStylePr>
    <w:tblStylePr w:type="band2Horz">
      <w:tcPr>
        <w:shd w:color="auto" w:fill="F2F2F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2026-08-12T17:19:02Z</dcterms:created>
  <dcterms:modified xsi:type="dcterms:W3CDTF">2026-08-12T17:19:02Z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