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IND570 → Ignition Modbus TCP Integration Guide</w:t>
      </w:r>
    </w:p>
    <w:p>
      <w:pPr>
        <w:pStyle w:val="BodyText"/>
      </w:pPr>
      <w:r>
        <w:rPr>
          <w:i/>
          <w:iCs/>
        </w:rPr>
        <w:t xml:space="preserve">Working session guide — first scale (of 7), configured live on a call</w:t>
      </w:r>
    </w:p>
    <w:p>
      <w:pPr>
        <w:pStyle w:val="BodyText"/>
      </w:pPr>
      <w:r>
        <w:t xml:space="preserve">For: Jacques (Ignition side) &amp; Tom (terminal side, plant floor)</w:t>
      </w:r>
    </w:p>
    <w:p>
      <w:pPr>
        <w:pStyle w:val="BodyText"/>
      </w:pPr>
      <w:r>
        <w:rPr>
          <w:b/>
          <w:bCs/>
        </w:rPr>
        <w:t xml:space="preserve">Revision 3 — 2026-08-27.</w:t>
      </w:r>
      <w:r>
        <w:t xml:space="preserve"> </w:t>
      </w:r>
      <w:r>
        <w:t xml:space="preserve">Section 5’s Ignition settings are now named as they appear in the</w:t>
      </w:r>
      <w:r>
        <w:t xml:space="preserve"> </w:t>
      </w:r>
      <w:r>
        <w:rPr>
          <w:b/>
          <w:bCs/>
        </w:rPr>
        <w:t xml:space="preserve">8.3</w:t>
      </w:r>
      <w:r>
        <w:t xml:space="preserve"> </w:t>
      </w:r>
      <w:r>
        <w:t xml:space="preserve">device-config UI (rev 2 used 8.1-era names). Address Mapping, Radix, Zero-based Addressing, Reverse Word Order and the write-request flags are all covered.</w:t>
      </w:r>
    </w:p>
    <w:p>
      <w:pPr>
        <w:pStyle w:val="BodyText"/>
      </w:pPr>
      <w:r>
        <w:rPr>
          <w:b/>
          <w:bCs/>
        </w:rPr>
        <w:t xml:space="preserve">Revision 2 — 2026-08-27.</w:t>
      </w:r>
      <w:r>
        <w:t xml:space="preserve"> </w:t>
      </w:r>
      <w:r>
        <w:t xml:space="preserve">The register map, command codes, byte order and status-bit layout are no longer open questions. They were extracted from the IND570 PLC Interface Manual and are stated outright below. What remains for the call is device configuration, connection, and verification. Design rationale lives in</w:t>
      </w:r>
      <w:r>
        <w:t xml:space="preserve"> </w:t>
      </w:r>
      <w:r>
        <w:rPr>
          <w:rStyle w:val="VerbatimChar"/>
        </w:rPr>
        <w:t xml:space="preserve">docs/superpowers/specs/2026-08-27-ind570-scale-udt-modbus-tcp-design.md</w:t>
      </w:r>
      <w:r>
        <w:t xml:space="preserve">.</w:t>
      </w:r>
    </w:p>
    <w:bookmarkStart w:id="10" w:name="before-the-call-what-to-have-ready"/>
    <w:p>
      <w:pPr>
        <w:pStyle w:val="Heading1"/>
      </w:pPr>
      <w:r>
        <w:t xml:space="preserve">0. Before the Call — What to Have Ready</w:t>
      </w:r>
    </w:p>
    <w:p>
      <w:pPr>
        <w:numPr>
          <w:ilvl w:val="0"/>
          <w:numId w:val="1001"/>
        </w:numPr>
      </w:pPr>
      <w:r>
        <w:rPr>
          <w:b/>
          <w:bCs/>
        </w:rPr>
        <w:t xml:space="preserve">Tom:</w:t>
      </w:r>
      <w:r>
        <w:t xml:space="preserve"> </w:t>
      </w:r>
      <w:r>
        <w:t xml:space="preserve">physical access to the terminal, and the ability to enter its Setup menu (may require a supervisor/calibration passcode — check ahead of time).</w:t>
      </w:r>
    </w:p>
    <w:p>
      <w:pPr>
        <w:numPr>
          <w:ilvl w:val="0"/>
          <w:numId w:val="1001"/>
        </w:numPr>
      </w:pPr>
      <w:r>
        <w:rPr>
          <w:b/>
          <w:bCs/>
        </w:rPr>
        <w:t xml:space="preserve">Jacques:</w:t>
      </w:r>
      <w:r>
        <w:t xml:space="preserve"> </w:t>
      </w:r>
      <w:r>
        <w:t xml:space="preserve">Ignition Gateway open to Config › OPC UA › Device Connections, ready to add a new Modbus TCP device.</w:t>
      </w:r>
    </w:p>
    <w:p>
      <w:pPr>
        <w:numPr>
          <w:ilvl w:val="0"/>
          <w:numId w:val="1001"/>
        </w:numPr>
      </w:pPr>
      <w:r>
        <w:rPr>
          <w:b/>
          <w:bCs/>
        </w:rPr>
        <w:t xml:space="preserve">Both:</w:t>
      </w:r>
      <w:r>
        <w:t xml:space="preserve"> </w:t>
      </w:r>
      <w:r>
        <w:t xml:space="preserve">a static IP address reserved for this terminal, plus subnet mask and gateway for that network segment. Get this from whoever manages the plant OT network before the call — don’t let the terminal negotiate DHCP for a permanent scale connection.</w:t>
      </w:r>
    </w:p>
    <w:p>
      <w:pPr>
        <w:numPr>
          <w:ilvl w:val="0"/>
          <w:numId w:val="1001"/>
        </w:numPr>
      </w:pPr>
      <w:r>
        <w:t xml:space="preserve">Confirm the option card installed is labeled</w:t>
      </w:r>
      <w:r>
        <w:t xml:space="preserve"> </w:t>
      </w:r>
      <w:r>
        <w:rPr>
          <w:b/>
          <w:bCs/>
        </w:rPr>
        <w:t xml:space="preserve">“EtherNet/IP – Modbus TCP.”</w:t>
      </w:r>
      <w:r>
        <w:t xml:space="preserve"> </w:t>
      </w:r>
      <w:r>
        <w:t xml:space="preserve">It’s one physical card that can run either protocol — we’re choosing Modbus TCP in software, not swapping hardware.</w:t>
      </w:r>
    </w:p>
    <w:p>
      <w:pPr>
        <w:numPr>
          <w:ilvl w:val="0"/>
          <w:numId w:val="1001"/>
        </w:numPr>
      </w:pPr>
      <w:r>
        <w:t xml:space="preserve">Pull up the</w:t>
      </w:r>
      <w:r>
        <w:t xml:space="preserve"> </w:t>
      </w:r>
      <w:hyperlink r:id="rId9">
        <w:r>
          <w:rPr>
            <w:rStyle w:val="Hyperlink"/>
          </w:rPr>
          <w:t xml:space="preserve">METTLER TOLEDO IND570 PLC Interface Manual (document #30205335)</w:t>
        </w:r>
      </w:hyperlink>
      <w:r>
        <w:t xml:space="preserve"> </w:t>
      </w:r>
      <w:r>
        <w:t xml:space="preserve">— Chapter 5 is Modbus TCP, Appendix B is the floating-point data format, Appendix C.2 is byte order.</w:t>
      </w:r>
      <w:r>
        <w:t xml:space="preserve"> </w:t>
      </w:r>
      <w:r>
        <w:rPr>
          <w:b/>
          <w:bCs/>
        </w:rPr>
        <w:t xml:space="preserve">Tom should have this open on his own machine</w:t>
      </w:r>
      <w:r>
        <w:t xml:space="preserve">; everything Jacques needs is already transcribed into sections 4 and 6 below.</w:t>
      </w:r>
    </w:p>
    <w:p>
      <w:pPr>
        <w:numPr>
          <w:ilvl w:val="0"/>
          <w:numId w:val="1001"/>
        </w:numPr>
      </w:pPr>
      <w:r>
        <w:t xml:space="preserve">Blue Ridge side, the same manual is in the repo at</w:t>
      </w:r>
      <w:r>
        <w:t xml:space="preserve"> </w:t>
      </w:r>
      <w:r>
        <w:rPr>
          <w:rStyle w:val="VerbatimChar"/>
        </w:rPr>
        <w:t xml:space="preserve">reference/IND570_PLC_Interface_Manual.md</w:t>
      </w:r>
      <w:r>
        <w:t xml:space="preserve"> </w:t>
      </w:r>
      <w:r>
        <w:t xml:space="preserve">— searchable text, page-anchored, greppable. Figures are not in the extract, so use the web PDF for wiring diagrams and screenshots.</w:t>
      </w:r>
    </w:p>
    <w:p>
      <w:pPr>
        <w:pStyle w:val="BlockText"/>
      </w:pPr>
      <w:r>
        <w:rPr>
          <w:b/>
          <w:bCs/>
        </w:rPr>
        <w:t xml:space="preserve">Resolved since revision 1:</w:t>
      </w:r>
      <w:r>
        <w:t xml:space="preserve"> </w:t>
      </w:r>
      <w:r>
        <w:t xml:space="preserve">Fill-570 is</w:t>
      </w:r>
      <w:r>
        <w:t xml:space="preserve"> </w:t>
      </w:r>
      <w:r>
        <w:rPr>
          <w:b/>
          <w:bCs/>
        </w:rPr>
        <w:t xml:space="preserve">not licensed</w:t>
      </w:r>
      <w:r>
        <w:t xml:space="preserve"> </w:t>
      </w:r>
      <w:r>
        <w:t xml:space="preserve">on any of the seven terminals. That confirms the standard target-control command set (110 / 131 / 112 / 114). Had Fill been present, every one of those would have been illegal and replaced by 170 / 173 / 174 / 119.</w:t>
      </w:r>
    </w:p>
    <w:bookmarkEnd w:id="10"/>
    <w:bookmarkStart w:id="11" w:name="X67a37e02e3ad8884eac975b2e0e73aff5b7507b"/>
    <w:p>
      <w:pPr>
        <w:pStyle w:val="Heading1"/>
      </w:pPr>
      <w:r>
        <w:t xml:space="preserve">1. The One Concept Worth Understanding First</w:t>
      </w:r>
    </w:p>
    <w:p>
      <w:pPr>
        <w:pStyle w:val="FirstParagraph"/>
      </w:pPr>
      <w:r>
        <w:t xml:space="preserve">A plain Modbus device usually just has memory holding the current value — read register X and it’s always today’s reading. The IND570 is close to that, but with one twist worth understanding before you touch anything.</w:t>
      </w:r>
    </w:p>
    <w:p>
      <w:pPr>
        <w:pStyle w:val="BodyText"/>
      </w:pPr>
      <w:r>
        <w:t xml:space="preserve">Weight data is exchanged through</w:t>
      </w:r>
      <w:r>
        <w:t xml:space="preserve"> </w:t>
      </w:r>
      <w:r>
        <w:rPr>
          <w:b/>
          <w:bCs/>
        </w:rPr>
        <w:t xml:space="preserve">Message Slots</w:t>
      </w:r>
      <w:r>
        <w:t xml:space="preserve">. Each slot is a small block of registers: one register you write a</w:t>
      </w:r>
      <w:r>
        <w:t xml:space="preserve"> </w:t>
      </w:r>
      <w:r>
        <w:rPr>
          <w:b/>
          <w:bCs/>
        </w:rPr>
        <w:t xml:space="preserve">command</w:t>
      </w:r>
      <w:r>
        <w:t xml:space="preserve"> </w:t>
      </w:r>
      <w:r>
        <w:t xml:space="preserve">into (</w:t>
      </w:r>
      <w:r>
        <w:t xml:space="preserve">“report net weight,”</w:t>
      </w:r>
      <w:r>
        <w:t xml:space="preserve"> </w:t>
      </w:r>
      <w:r>
        <w:t xml:space="preserve">“set target value”</w:t>
      </w:r>
      <w:r>
        <w:t xml:space="preserve">), and paired registers where the terminal writes back the answer.</w:t>
      </w:r>
    </w:p>
    <w:p>
      <w:pPr>
        <w:pStyle w:val="BodyText"/>
      </w:pPr>
      <w:r>
        <w:t xml:space="preserve">The twist, and the part that trips people up:</w:t>
      </w:r>
      <w:r>
        <w:t xml:space="preserve"> </w:t>
      </w:r>
      <w:r>
        <w:rPr>
          <w:b/>
          <w:bCs/>
        </w:rPr>
        <w:t xml:space="preserve">the command is sticky.</w:t>
      </w:r>
      <w:r>
        <w:t xml:space="preserve"> </w:t>
      </w:r>
      <w:r>
        <w:t xml:space="preserve">Once you write</w:t>
      </w:r>
      <w:r>
        <w:t xml:space="preserve"> </w:t>
      </w:r>
      <w:r>
        <w:t xml:space="preserve">“report net weight”</w:t>
      </w:r>
      <w:r>
        <w:t xml:space="preserve"> </w:t>
      </w:r>
      <w:r>
        <w:t xml:space="preserve">into a slot’s command register, that slot keeps reporting net weight, refreshed every interface update cycle, until you write something else. From the manual (Table B-5):</w:t>
      </w:r>
    </w:p>
    <w:p>
      <w:pPr>
        <w:pStyle w:val="BlockText"/>
      </w:pPr>
      <w:r>
        <w:t xml:space="preserve">As long as the PLC leaves the 11 (dec) in the command word, the IND570 terminal will update the net value every interface update cycle.</w:t>
      </w:r>
    </w:p>
    <w:p>
      <w:pPr>
        <w:pStyle w:val="FirstParagraph"/>
      </w:pPr>
      <w:r>
        <w:t xml:space="preserve">So this is</w:t>
      </w:r>
      <w:r>
        <w:t xml:space="preserve"> </w:t>
      </w:r>
      <w:r>
        <w:rPr>
          <w:b/>
          <w:bCs/>
        </w:rPr>
        <w:t xml:space="preserve">not</w:t>
      </w:r>
      <w:r>
        <w:t xml:space="preserve"> </w:t>
      </w:r>
      <w:r>
        <w:t xml:space="preserve">a request/response cycle per reading. You park the command once and then poll the data register like any ordinary Modbus device. Ignition does not need to re-write the command on every scan.</w:t>
      </w:r>
    </w:p>
    <w:p>
      <w:pPr>
        <w:pStyle w:val="BodyText"/>
      </w:pPr>
      <w:r>
        <w:t xml:space="preserve">Two consequences that matter:</w:t>
      </w:r>
    </w:p>
    <w:p>
      <w:pPr>
        <w:pStyle w:val="Compact"/>
        <w:numPr>
          <w:ilvl w:val="0"/>
          <w:numId w:val="1002"/>
        </w:numPr>
      </w:pPr>
      <w:r>
        <w:rPr>
          <w:b/>
          <w:bCs/>
        </w:rPr>
        <w:t xml:space="preserve">We use two slots.</w:t>
      </w:r>
      <w:r>
        <w:t xml:space="preserve"> </w:t>
      </w:r>
      <w:r>
        <w:t xml:space="preserve">Slot 1 is parked on net weight permanently. Slot 2 is a scratchpad for setpoint loads, so pushing a new target never interrupts the live reading.</w:t>
      </w:r>
    </w:p>
    <w:p>
      <w:pPr>
        <w:pStyle w:val="Compact"/>
        <w:numPr>
          <w:ilvl w:val="0"/>
          <w:numId w:val="1002"/>
        </w:numPr>
      </w:pPr>
      <w:r>
        <w:rPr>
          <w:b/>
          <w:bCs/>
        </w:rPr>
        <w:t xml:space="preserve">A command register of</w:t>
      </w:r>
      <w:r>
        <w:rPr>
          <w:b/>
          <w:bCs/>
        </w:rPr>
        <w:t xml:space="preserve"> </w:t>
      </w:r>
      <w:r>
        <w:rPr>
          <w:rStyle w:val="VerbatimChar"/>
          <w:b/>
          <w:bCs/>
        </w:rPr>
        <w:t xml:space="preserve">0</w:t>
      </w:r>
      <w:r>
        <w:rPr>
          <w:b/>
          <w:bCs/>
        </w:rPr>
        <w:t xml:space="preserve"> </w:t>
      </w:r>
      <w:r>
        <w:rPr>
          <w:b/>
          <w:bCs/>
        </w:rPr>
        <w:t xml:space="preserve">means gross weight.</w:t>
      </w:r>
      <w:r>
        <w:t xml:space="preserve"> </w:t>
      </w:r>
      <w:r>
        <w:t xml:space="preserve">Table B-4 note 1 is explicit about this, and a terminal power cycle clears the register. That means an unparked slot silently returns well-formed, plausible,</w:t>
      </w:r>
      <w:r>
        <w:t xml:space="preserve"> </w:t>
      </w:r>
      <w:r>
        <w:rPr>
          <w:i/>
          <w:iCs/>
        </w:rPr>
        <w:t xml:space="preserve">wrong</w:t>
      </w:r>
      <w:r>
        <w:t xml:space="preserve"> </w:t>
      </w:r>
      <w:r>
        <w:t xml:space="preserve">numbers. Section 5 covers how we detect it.</w:t>
      </w:r>
    </w:p>
    <w:bookmarkEnd w:id="11"/>
    <w:bookmarkStart w:id="12" w:name="Xd68f7168de35a13ce6a9d910e3dee9dc148b4d0"/>
    <w:p>
      <w:pPr>
        <w:pStyle w:val="Heading1"/>
      </w:pPr>
      <w:r>
        <w:t xml:space="preserve">2. Switching the Terminal from EtherNet/IP to Modbus TCP (do this first)</w:t>
      </w:r>
    </w:p>
    <w:p>
      <w:pPr>
        <w:pStyle w:val="FirstParagraph"/>
      </w:pPr>
      <w:r>
        <w:t xml:space="preserve">The terminal is currently running EtherNet/IP. There’s no hardware to swap — it’s a combo card.</w:t>
      </w:r>
    </w:p>
    <w:p>
      <w:pPr>
        <w:pStyle w:val="BodyText"/>
      </w:pPr>
      <w:r>
        <w:t xml:space="preserve">What the manual says: the Modbus TCP setup lives in</w:t>
      </w:r>
      <w:r>
        <w:t xml:space="preserve"> </w:t>
      </w:r>
      <w:r>
        <w:rPr>
          <w:b/>
          <w:bCs/>
        </w:rPr>
        <w:t xml:space="preserve">the same setup block as EtherNet/IP</w:t>
      </w:r>
      <w:r>
        <w:t xml:space="preserve"> </w:t>
      </w:r>
      <w:r>
        <w:t xml:space="preserve">(§5.6.1.1), and there is</w:t>
      </w:r>
      <w:r>
        <w:t xml:space="preserve"> </w:t>
      </w:r>
      <w:r>
        <w:rPr>
          <w:b/>
          <w:bCs/>
        </w:rPr>
        <w:t xml:space="preserve">no protocol selector documented anywhere</w:t>
      </w:r>
      <w:r>
        <w:t xml:space="preserve"> </w:t>
      </w:r>
      <w:r>
        <w:t xml:space="preserve">in that branch. The only Data Format fields are Format, Byte Order and Message Slots. That’s consistent with the card serving both protocols concurrently on their separate ports (TCP 44818 for EtherNet/IP, TCP 502 for Modbus TCP) — but the manual never states it outright, so step 1 tests it cheaply rather than assuming.</w:t>
      </w:r>
    </w:p>
    <w:p>
      <w:pPr>
        <w:numPr>
          <w:ilvl w:val="0"/>
          <w:numId w:val="1003"/>
        </w:numPr>
      </w:pPr>
      <w:r>
        <w:rPr>
          <w:b/>
          <w:bCs/>
        </w:rPr>
        <w:t xml:space="preserve">Try doing nothing first.</w:t>
      </w:r>
      <w:r>
        <w:t xml:space="preserve"> </w:t>
      </w:r>
      <w:r>
        <w:t xml:space="preserve">Leave the terminal in its current EtherNet/IP configuration and have Jacques attempt the Ignition Modbus TCP connection (section 4) against the existing IP on port 502. If it connects and responds, the card is already serving both — skip to section 3.2.</w:t>
      </w:r>
    </w:p>
    <w:p>
      <w:pPr>
        <w:numPr>
          <w:ilvl w:val="0"/>
          <w:numId w:val="1003"/>
        </w:numPr>
      </w:pPr>
      <w:r>
        <w:t xml:space="preserve">If that doesn’t connect, Tom goes to</w:t>
      </w:r>
      <w:r>
        <w:t xml:space="preserve"> </w:t>
      </w:r>
      <w:r>
        <w:rPr>
          <w:b/>
          <w:bCs/>
        </w:rPr>
        <w:t xml:space="preserve">Setup › Communication › PLC Interface</w:t>
      </w:r>
      <w:r>
        <w:t xml:space="preserve"> </w:t>
      </w:r>
      <w:r>
        <w:t xml:space="preserve">and looks for a Protocol or Mode selector near the EtherNet/IP settings. If present, switch it to Modbus TCP.</w:t>
      </w:r>
    </w:p>
    <w:p>
      <w:pPr>
        <w:numPr>
          <w:ilvl w:val="0"/>
          <w:numId w:val="1003"/>
        </w:numPr>
      </w:pPr>
      <w:r>
        <w:t xml:space="preserve">If no selector appears anywhere, the terminal may need a</w:t>
      </w:r>
      <w:r>
        <w:t xml:space="preserve"> </w:t>
      </w:r>
      <w:r>
        <w:rPr>
          <w:b/>
          <w:bCs/>
        </w:rPr>
        <w:t xml:space="preserve">Master Reset</w:t>
      </w:r>
      <w:r>
        <w:t xml:space="preserve"> </w:t>
      </w:r>
      <w:r>
        <w:t xml:space="preserve">to re-detect the card and present the Modbus menus. Before doing this, write down the current EtherNet/IP settings (IP, subnet, gateway, format, byte order) — a master reset can clear existing PLC-interface configuration.</w:t>
      </w:r>
    </w:p>
    <w:p>
      <w:pPr>
        <w:numPr>
          <w:ilvl w:val="0"/>
          <w:numId w:val="1003"/>
        </w:numPr>
      </w:pPr>
      <w:r>
        <w:t xml:space="preserve">After a master reset, re-enter Setup and confirm the Modbus TCP branch appears. Re-enter network settings if cleared.</w:t>
      </w:r>
    </w:p>
    <w:p>
      <w:pPr>
        <w:numPr>
          <w:ilvl w:val="0"/>
          <w:numId w:val="1003"/>
        </w:numPr>
      </w:pPr>
      <w:r>
        <w:t xml:space="preserve">Record which path applied in the worksheet. All 7 scales are presumably in the same state, so whatever works here applies to the rest.</w:t>
      </w:r>
    </w:p>
    <w:p>
      <w:pPr>
        <w:pStyle w:val="BlockText"/>
      </w:pPr>
      <w:r>
        <w:rPr>
          <w:b/>
          <w:bCs/>
        </w:rPr>
        <w:t xml:space="preserve">Ask before you switch:</w:t>
      </w:r>
      <w:r>
        <w:t xml:space="preserve"> </w:t>
      </w:r>
      <w:r>
        <w:t xml:space="preserve">is anything</w:t>
      </w:r>
      <w:r>
        <w:t xml:space="preserve"> </w:t>
      </w:r>
      <w:r>
        <w:rPr>
          <w:i/>
          <w:iCs/>
        </w:rPr>
        <w:t xml:space="preserve">still</w:t>
      </w:r>
      <w:r>
        <w:t xml:space="preserve"> </w:t>
      </w:r>
      <w:r>
        <w:t xml:space="preserve">an active EtherNet/IP client on these terminals? If both protocols serve the same discrete data map, an existing client and Ignition would be writing the same slot command registers and fighting over them. Worth knowing who, if anyone, is on the other end today.</w:t>
      </w:r>
    </w:p>
    <w:p>
      <w:pPr>
        <w:pStyle w:val="BlockText"/>
      </w:pPr>
      <w:r>
        <w:rPr>
          <w:b/>
          <w:bCs/>
        </w:rPr>
        <w:t xml:space="preserve">Gotcha:</w:t>
      </w:r>
      <w:r>
        <w:t xml:space="preserve"> </w:t>
      </w:r>
      <w:r>
        <w:t xml:space="preserve">if a master reset turns out to be necessary, treat it as bigger than it sounds. Confirm with whoever maintains these terminals whether calibration, application config or discrete I/O assignments could be affected, before Tom triggers it on a scale that’s in production.</w:t>
      </w:r>
    </w:p>
    <w:bookmarkEnd w:id="12"/>
    <w:bookmarkStart w:id="17" w:name="X4c1f9d59e8950a6e7ef79fac34fd9ad59df2236"/>
    <w:p>
      <w:pPr>
        <w:pStyle w:val="Heading1"/>
      </w:pPr>
      <w:r>
        <w:t xml:space="preserve">3. Tom’s Side — Configuring the IND570 Terminal</w:t>
      </w:r>
    </w:p>
    <w:bookmarkStart w:id="13" w:name="network-settings"/>
    <w:p>
      <w:pPr>
        <w:pStyle w:val="Heading2"/>
      </w:pPr>
      <w:r>
        <w:t xml:space="preserve">3.1 Network settings</w:t>
      </w:r>
    </w:p>
    <w:p>
      <w:pPr>
        <w:pStyle w:val="FirstParagraph"/>
      </w:pPr>
      <w:r>
        <w:rPr>
          <w:i/>
          <w:iCs/>
        </w:rPr>
        <w:t xml:space="preserve">Setup › Communication › PLC Interface › EtherNet/IP-Modbus TCP</w:t>
      </w:r>
    </w:p>
    <w:p>
      <w:pPr>
        <w:pStyle w:val="Compact"/>
        <w:numPr>
          <w:ilvl w:val="0"/>
          <w:numId w:val="1004"/>
        </w:numPr>
      </w:pPr>
      <w:r>
        <w:t xml:space="preserve">Turn</w:t>
      </w:r>
      <w:r>
        <w:t xml:space="preserve"> </w:t>
      </w:r>
      <w:r>
        <w:rPr>
          <w:b/>
          <w:bCs/>
        </w:rPr>
        <w:t xml:space="preserve">DHCP Client off</w:t>
      </w:r>
      <w:r>
        <w:t xml:space="preserve"> </w:t>
      </w:r>
      <w:r>
        <w:t xml:space="preserve">— we want a fixed address.</w:t>
      </w:r>
    </w:p>
    <w:p>
      <w:pPr>
        <w:pStyle w:val="Compact"/>
        <w:numPr>
          <w:ilvl w:val="0"/>
          <w:numId w:val="1004"/>
        </w:numPr>
      </w:pPr>
      <w:r>
        <w:t xml:space="preserve">Enter IP Address, Subnet Mask, Gateway Address.</w:t>
      </w:r>
    </w:p>
    <w:p>
      <w:pPr>
        <w:pStyle w:val="Compact"/>
        <w:numPr>
          <w:ilvl w:val="0"/>
          <w:numId w:val="1004"/>
        </w:numPr>
      </w:pPr>
      <w:r>
        <w:t xml:space="preserve">Note the MAC Address shown (informational, can’t be changed) in case IT needs it for a switch port or firewall rule.</w:t>
      </w:r>
    </w:p>
    <w:p>
      <w:pPr>
        <w:pStyle w:val="Compact"/>
        <w:numPr>
          <w:ilvl w:val="0"/>
          <w:numId w:val="1004"/>
        </w:numPr>
      </w:pPr>
      <w:r>
        <w:t xml:space="preserve">Write the IP into the worksheet — Jacques needs it.</w:t>
      </w:r>
    </w:p>
    <w:bookmarkEnd w:id="13"/>
    <w:bookmarkStart w:id="14" w:name="data-format-settings"/>
    <w:p>
      <w:pPr>
        <w:pStyle w:val="Heading2"/>
      </w:pPr>
      <w:r>
        <w:t xml:space="preserve">3.2 Data format settings</w:t>
      </w:r>
    </w:p>
    <w:p>
      <w:pPr>
        <w:pStyle w:val="FirstParagraph"/>
      </w:pPr>
      <w:r>
        <w:rPr>
          <w:i/>
          <w:iCs/>
        </w:rPr>
        <w:t xml:space="preserve">Setup › Communication › PLC Interface › Data Format</w:t>
      </w:r>
    </w:p>
    <w:p>
      <w:pPr>
        <w:numPr>
          <w:ilvl w:val="0"/>
          <w:numId w:val="1005"/>
        </w:numPr>
      </w:pPr>
      <w:r>
        <w:rPr>
          <w:b/>
          <w:bCs/>
        </w:rPr>
        <w:t xml:space="preserve">Operating Mode:</w:t>
      </w:r>
      <w:r>
        <w:t xml:space="preserve"> </w:t>
      </w:r>
      <w:r>
        <w:t xml:space="preserve">leave at default,</w:t>
      </w:r>
      <w:r>
        <w:t xml:space="preserve"> </w:t>
      </w:r>
      <w:r>
        <w:rPr>
          <w:b/>
          <w:bCs/>
        </w:rPr>
        <w:t xml:space="preserve">Compatibility Mode</w:t>
      </w:r>
      <w:r>
        <w:t xml:space="preserve">. (IND560 Emulation is only for drop-in replacement of an older IND560.)</w:t>
      </w:r>
    </w:p>
    <w:p>
      <w:pPr>
        <w:numPr>
          <w:ilvl w:val="0"/>
          <w:numId w:val="1005"/>
        </w:numPr>
      </w:pPr>
      <w:r>
        <w:rPr>
          <w:b/>
          <w:bCs/>
        </w:rPr>
        <w:t xml:space="preserve">Format: Floating Point.</w:t>
      </w:r>
      <w:r>
        <w:t xml:space="preserve"> </w:t>
      </w:r>
      <w:r>
        <w:t xml:space="preserve">The terminal’s native internal format; Integer/Divisions requires a conversion that introduces rounding error. Options are Integer (default), Divisions, Floating Point, Application.</w:t>
      </w:r>
    </w:p>
    <w:p>
      <w:pPr>
        <w:numPr>
          <w:ilvl w:val="0"/>
          <w:numId w:val="1005"/>
        </w:numPr>
      </w:pPr>
      <w:r>
        <w:rPr>
          <w:b/>
          <w:bCs/>
        </w:rPr>
        <w:t xml:space="preserve">Byte Order: Double Word Swap.</w:t>
      </w:r>
      <w:r>
        <w:t xml:space="preserve"> </w:t>
      </w:r>
      <w:hyperlink r:id="rId9">
        <w:r>
          <w:rPr>
            <w:rStyle w:val="Hyperlink"/>
          </w:rPr>
          <w:t xml:space="preserve">Appendix C.2</w:t>
        </w:r>
      </w:hyperlink>
      <w:r>
        <w:t xml:space="preserve"> </w:t>
      </w:r>
      <w:r>
        <w:t xml:space="preserve">lists this as</w:t>
      </w:r>
      <w:r>
        <w:t xml:space="preserve"> </w:t>
      </w:r>
      <w:r>
        <w:rPr>
          <w:i/>
          <w:iCs/>
        </w:rPr>
        <w:t xml:space="preserve">“compatible with the Modicon Quantum PLC for Modbus TCP networks”</w:t>
      </w:r>
      <w:r>
        <w:t xml:space="preserve"> </w:t>
      </w:r>
      <w:r>
        <w:t xml:space="preserve">— it is the vendor’s own recommendation for Modbus TCP specifically. (Word Swap, the terminal default, targets RSLogix 5000; Byte Swap targets S7 Profibus; Standard targets PLC-5.)</w:t>
      </w:r>
    </w:p>
    <w:p>
      <w:pPr>
        <w:numPr>
          <w:ilvl w:val="0"/>
          <w:numId w:val="1005"/>
        </w:numPr>
      </w:pPr>
      <w:r>
        <w:rPr>
          <w:b/>
          <w:bCs/>
        </w:rPr>
        <w:t xml:space="preserve">Message Slots: 2.</w:t>
      </w:r>
      <w:r>
        <w:t xml:space="preserve"> </w:t>
      </w:r>
      <w:r>
        <w:t xml:space="preserve">Slot 1 for the live net weight, slot 2 as the command scratchpad.</w:t>
      </w:r>
    </w:p>
    <w:p>
      <w:pPr>
        <w:pStyle w:val="BlockText"/>
      </w:pPr>
      <w:r>
        <w:rPr>
          <w:b/>
          <w:bCs/>
        </w:rPr>
        <w:t xml:space="preserve">Gotcha:</w:t>
      </w:r>
      <w:r>
        <w:t xml:space="preserve"> </w:t>
      </w:r>
      <w:r>
        <w:t xml:space="preserve">changing</w:t>
      </w:r>
      <w:r>
        <w:t xml:space="preserve"> </w:t>
      </w:r>
      <w:r>
        <w:rPr>
          <w:b/>
          <w:bCs/>
        </w:rPr>
        <w:t xml:space="preserve">Format</w:t>
      </w:r>
      <w:r>
        <w:t xml:space="preserve"> </w:t>
      </w:r>
      <w:r>
        <w:t xml:space="preserve">deletes any existing Message Slots. Set Format</w:t>
      </w:r>
      <w:r>
        <w:t xml:space="preserve"> </w:t>
      </w:r>
      <w:r>
        <w:rPr>
          <w:i/>
          <w:iCs/>
        </w:rPr>
        <w:t xml:space="preserve">before</w:t>
      </w:r>
      <w:r>
        <w:t xml:space="preserve"> </w:t>
      </w:r>
      <w:r>
        <w:t xml:space="preserve">Message Slots, not after.</w:t>
      </w:r>
    </w:p>
    <w:bookmarkEnd w:id="14"/>
    <w:bookmarkStart w:id="16" w:name="target-mode-new-in-revision-2"/>
    <w:p>
      <w:pPr>
        <w:pStyle w:val="Heading2"/>
      </w:pPr>
      <w:r>
        <w:t xml:space="preserve">3.3 Target mode — new in revision 2</w:t>
      </w:r>
    </w:p>
    <w:p>
      <w:pPr>
        <w:pStyle w:val="FirstParagraph"/>
      </w:pPr>
      <w:r>
        <w:rPr>
          <w:i/>
          <w:iCs/>
        </w:rPr>
        <w:t xml:space="preserve">Setup › Application › Target</w:t>
      </w:r>
    </w:p>
    <w:p>
      <w:pPr>
        <w:pStyle w:val="BodyText"/>
      </w:pPr>
      <w:r>
        <w:t xml:space="preserve">Set the target comparison to</w:t>
      </w:r>
      <w:r>
        <w:t xml:space="preserve"> </w:t>
      </w:r>
      <w:r>
        <w:rPr>
          <w:b/>
          <w:bCs/>
        </w:rPr>
        <w:t xml:space="preserve">over/under mode</w:t>
      </w:r>
      <w:r>
        <w:t xml:space="preserve"> </w:t>
      </w:r>
      <w:r>
        <w:t xml:space="preserve">(not material transfer mode).</w:t>
      </w:r>
    </w:p>
    <w:p>
      <w:pPr>
        <w:pStyle w:val="BodyText"/>
      </w:pPr>
      <w:r>
        <w:t xml:space="preserve">This determines what the pass/fail status bits mean. Manual Table B-1, note 5:</w:t>
      </w:r>
    </w:p>
    <w:p>
      <w:pPr>
        <w:pStyle w:val="BlockText"/>
      </w:pPr>
      <w:r>
        <w:t xml:space="preserve">When in the material transfer mode; bit 0 is Feed, bit 2 is Fast Feed and bit 4 is Tolerance Ok (within range). When in the over/under mode; bit 0 is Under, bit 2 is OK and bit 4 is Over.</w:t>
      </w:r>
    </w:p>
    <w:p>
      <w:pPr>
        <w:pStyle w:val="FirstParagraph"/>
      </w:pPr>
      <w:r>
        <w:t xml:space="preserve">Over/under gives us a three-state verdict — Under / OK / Over — which is strictly more useful than the single pass/fail boolean the legacy system had. Material transfer mode is for controlling a filling operation and doesn’t apply here.</w:t>
      </w:r>
    </w:p>
    <w:p>
      <w:pPr>
        <w:pStyle w:val="BodyText"/>
      </w:pPr>
      <w:r>
        <w:t xml:space="preserve">There is no PLC command to select target mode — it must be set on the front panel. This menu is documented in the</w:t>
      </w:r>
      <w:r>
        <w:t xml:space="preserve"> </w:t>
      </w:r>
      <w:hyperlink r:id="rId15">
        <w:r>
          <w:rPr>
            <w:rStyle w:val="Hyperlink"/>
          </w:rPr>
          <w:t xml:space="preserve">IND570 User’s Guide</w:t>
        </w:r>
      </w:hyperlink>
      <w:r>
        <w:t xml:space="preserve">, not the PLC Interface Manual, so that’s the one to have open for this step.</w:t>
      </w:r>
    </w:p>
    <w:bookmarkEnd w:id="16"/>
    <w:bookmarkEnd w:id="17"/>
    <w:bookmarkStart w:id="21" w:name="X330609bf1f76a54a4ca7b5b2babe8fc322f556d"/>
    <w:p>
      <w:pPr>
        <w:pStyle w:val="Heading1"/>
      </w:pPr>
      <w:r>
        <w:t xml:space="preserve">4. The Register Map (settled — no longer read live)</w:t>
      </w:r>
    </w:p>
    <w:p>
      <w:pPr>
        <w:pStyle w:val="FirstParagraph"/>
      </w:pPr>
      <w:r>
        <w:t xml:space="preserve">Floating Point format, per</w:t>
      </w:r>
      <w:r>
        <w:t xml:space="preserve"> </w:t>
      </w:r>
      <w:hyperlink r:id="rId9">
        <w:r>
          <w:rPr>
            <w:rStyle w:val="Hyperlink"/>
          </w:rPr>
          <w:t xml:space="preserve">manual</w:t>
        </w:r>
      </w:hyperlink>
      <w:r>
        <w:t xml:space="preserve"> </w:t>
      </w:r>
      <w:r>
        <w:t xml:space="preserve">§5.4.4 and Table 5-3. Read and write areas share one holding-register space, offset by exactly 1024.</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Slot</w:t>
            </w:r>
          </w:p>
        </w:tc>
        <w:tc>
          <w:tcPr>
            <w:shd w:val="clear" w:color="auto" w:fill="1F4E79"/>
          </w:tcPr>
          <w:tcPr/>
          <w:p>
            <w:pPr>
              <w:pStyle w:val="Compact"/>
            </w:pPr>
            <w:r>
              <w:rPr>
                <w:b/>
                <w:color w:val="FFFFFF"/>
              </w:rPr>
              <w:t xml:space="preserve">Read (from IND570)</w:t>
            </w:r>
          </w:p>
        </w:tc>
        <w:tc>
          <w:tcPr>
            <w:shd w:val="clear" w:color="auto" w:fill="1F4E79"/>
          </w:tcPr>
          <w:tcPr/>
          <w:p>
            <w:pPr>
              <w:pStyle w:val="Compact"/>
            </w:pPr>
            <w:r>
              <w:rPr>
                <w:b/>
                <w:color w:val="FFFFFF"/>
              </w:rPr>
              <w:t xml:space="preserve">Write (to IND570)</w:t>
            </w:r>
          </w:p>
        </w:tc>
      </w:tr>
      <w:tr>
        <w:tc>
          <w:tcPr/>
          <w:p>
            <w:pPr>
              <w:pStyle w:val="Compact"/>
            </w:pPr>
            <w:r>
              <w:t xml:space="preserve">—</w:t>
            </w:r>
          </w:p>
        </w:tc>
        <w:tc>
          <w:tcPr/>
          <w:p>
            <w:pPr>
              <w:pStyle w:val="Compact"/>
            </w:pPr>
            <w:r>
              <w:t xml:space="preserve">—</w:t>
            </w:r>
          </w:p>
        </w:tc>
        <w:tc>
          <w:tcPr/>
          <w:p>
            <w:pPr>
              <w:pStyle w:val="Compact"/>
            </w:pPr>
            <w:r>
              <w:rPr>
                <w:rStyle w:val="VerbatimChar"/>
              </w:rPr>
              <w:t xml:space="preserve">401025</w:t>
            </w:r>
            <w:r>
              <w:t xml:space="preserve"> </w:t>
            </w:r>
            <w:r>
              <w:t xml:space="preserve">Reserved</w:t>
            </w:r>
          </w:p>
        </w:tc>
      </w:tr>
      <w:tr>
        <w:tc>
          <w:tcPr>
            <w:shd w:val="clear" w:color="auto" w:fill="F2F2F2"/>
          </w:tcPr>
          <w:tcPr/>
          <w:p>
            <w:pPr>
              <w:pStyle w:val="Compact"/>
            </w:pPr>
            <w:r>
              <w:rPr>
                <w:b/>
                <w:bCs/>
              </w:rPr>
              <w:t xml:space="preserve">1</w:t>
            </w:r>
          </w:p>
        </w:tc>
        <w:tc>
          <w:tcPr>
            <w:shd w:val="clear" w:color="auto" w:fill="F2F2F2"/>
          </w:tcPr>
          <w:tcPr/>
          <w:p>
            <w:pPr>
              <w:pStyle w:val="Compact"/>
            </w:pPr>
            <w:r>
              <w:rPr>
                <w:rStyle w:val="VerbatimChar"/>
              </w:rPr>
              <w:t xml:space="preserve">400001</w:t>
            </w:r>
            <w:r>
              <w:t xml:space="preserve"> </w:t>
            </w:r>
            <w:r>
              <w:t xml:space="preserve">Command Response ·</w:t>
            </w:r>
            <w:r>
              <w:t xml:space="preserve"> </w:t>
            </w:r>
            <w:r>
              <w:rPr>
                <w:rStyle w:val="VerbatimChar"/>
              </w:rPr>
              <w:t xml:space="preserve">400002-3</w:t>
            </w:r>
            <w:r>
              <w:t xml:space="preserve"> </w:t>
            </w:r>
            <w:r>
              <w:t xml:space="preserve">FP Value ·</w:t>
            </w:r>
            <w:r>
              <w:t xml:space="preserve"> </w:t>
            </w:r>
            <w:r>
              <w:rPr>
                <w:rStyle w:val="VerbatimChar"/>
              </w:rPr>
              <w:t xml:space="preserve">400004</w:t>
            </w:r>
            <w:r>
              <w:t xml:space="preserve"> </w:t>
            </w:r>
            <w:r>
              <w:t xml:space="preserve">Scale Status</w:t>
            </w:r>
          </w:p>
        </w:tc>
        <w:tc>
          <w:tcPr>
            <w:shd w:val="clear" w:color="auto" w:fill="F2F2F2"/>
          </w:tcPr>
          <w:tcPr/>
          <w:p>
            <w:pPr>
              <w:pStyle w:val="Compact"/>
            </w:pPr>
            <w:r>
              <w:rPr>
                <w:rStyle w:val="VerbatimChar"/>
              </w:rPr>
              <w:t xml:space="preserve">401026</w:t>
            </w:r>
            <w:r>
              <w:t xml:space="preserve"> </w:t>
            </w:r>
            <w:r>
              <w:t xml:space="preserve">Command ·</w:t>
            </w:r>
            <w:r>
              <w:t xml:space="preserve"> </w:t>
            </w:r>
            <w:r>
              <w:rPr>
                <w:rStyle w:val="VerbatimChar"/>
              </w:rPr>
              <w:t xml:space="preserve">401027-8</w:t>
            </w:r>
            <w:r>
              <w:t xml:space="preserve"> </w:t>
            </w:r>
            <w:r>
              <w:t xml:space="preserve">FP Load Value</w:t>
            </w:r>
          </w:p>
        </w:tc>
      </w:tr>
      <w:tr>
        <w:tc>
          <w:tcPr/>
          <w:p>
            <w:pPr>
              <w:pStyle w:val="Compact"/>
            </w:pPr>
            <w:r>
              <w:rPr>
                <w:b/>
                <w:bCs/>
              </w:rPr>
              <w:t xml:space="preserve">2</w:t>
            </w:r>
          </w:p>
        </w:tc>
        <w:tc>
          <w:tcPr/>
          <w:p>
            <w:pPr>
              <w:pStyle w:val="Compact"/>
            </w:pPr>
            <w:r>
              <w:rPr>
                <w:rStyle w:val="VerbatimChar"/>
              </w:rPr>
              <w:t xml:space="preserve">400005</w:t>
            </w:r>
            <w:r>
              <w:t xml:space="preserve"> </w:t>
            </w:r>
            <w:r>
              <w:t xml:space="preserve">Command Response ·</w:t>
            </w:r>
            <w:r>
              <w:t xml:space="preserve"> </w:t>
            </w:r>
            <w:r>
              <w:rPr>
                <w:rStyle w:val="VerbatimChar"/>
              </w:rPr>
              <w:t xml:space="preserve">400006-7</w:t>
            </w:r>
            <w:r>
              <w:t xml:space="preserve"> </w:t>
            </w:r>
            <w:r>
              <w:t xml:space="preserve">FP Value ·</w:t>
            </w:r>
            <w:r>
              <w:t xml:space="preserve"> </w:t>
            </w:r>
            <w:r>
              <w:rPr>
                <w:rStyle w:val="VerbatimChar"/>
              </w:rPr>
              <w:t xml:space="preserve">400008</w:t>
            </w:r>
            <w:r>
              <w:t xml:space="preserve"> </w:t>
            </w:r>
            <w:r>
              <w:t xml:space="preserve">Scale Status</w:t>
            </w:r>
          </w:p>
        </w:tc>
        <w:tc>
          <w:tcPr/>
          <w:p>
            <w:pPr>
              <w:pStyle w:val="Compact"/>
            </w:pPr>
            <w:r>
              <w:rPr>
                <w:rStyle w:val="VerbatimChar"/>
              </w:rPr>
              <w:t xml:space="preserve">401029</w:t>
            </w:r>
            <w:r>
              <w:t xml:space="preserve"> </w:t>
            </w:r>
            <w:r>
              <w:t xml:space="preserve">Command ·</w:t>
            </w:r>
            <w:r>
              <w:t xml:space="preserve"> </w:t>
            </w:r>
            <w:r>
              <w:rPr>
                <w:rStyle w:val="VerbatimChar"/>
              </w:rPr>
              <w:t xml:space="preserve">401030-1</w:t>
            </w:r>
            <w:r>
              <w:t xml:space="preserve"> </w:t>
            </w:r>
            <w:r>
              <w:t xml:space="preserve">FP Load Value</w:t>
            </w:r>
          </w:p>
        </w:tc>
      </w:tr>
      <w:tr>
        <w:tc>
          <w:tcPr>
            <w:shd w:val="clear" w:color="auto" w:fill="F2F2F2"/>
          </w:tcPr>
          <w:tcPr/>
          <w:p>
            <w:pPr>
              <w:pStyle w:val="Compact"/>
            </w:pPr>
            <w:r>
              <w:t xml:space="preserve">3</w:t>
            </w:r>
          </w:p>
        </w:tc>
        <w:tc>
          <w:tcPr>
            <w:shd w:val="clear" w:color="auto" w:fill="F2F2F2"/>
          </w:tcPr>
          <w:tcPr/>
          <w:p>
            <w:pPr>
              <w:pStyle w:val="Compact"/>
            </w:pPr>
            <w:r>
              <w:rPr>
                <w:rStyle w:val="VerbatimChar"/>
              </w:rPr>
              <w:t xml:space="preserve">400009</w:t>
            </w:r>
            <w:r>
              <w:t xml:space="preserve"> </w:t>
            </w:r>
            <w:r>
              <w:t xml:space="preserve">·</w:t>
            </w:r>
            <w:r>
              <w:t xml:space="preserve"> </w:t>
            </w:r>
            <w:r>
              <w:rPr>
                <w:rStyle w:val="VerbatimChar"/>
              </w:rPr>
              <w:t xml:space="preserve">400010-11</w:t>
            </w:r>
            <w:r>
              <w:t xml:space="preserve"> </w:t>
            </w:r>
            <w:r>
              <w:t xml:space="preserve">·</w:t>
            </w:r>
            <w:r>
              <w:t xml:space="preserve"> </w:t>
            </w:r>
            <w:r>
              <w:rPr>
                <w:rStyle w:val="VerbatimChar"/>
              </w:rPr>
              <w:t xml:space="preserve">400012</w:t>
            </w:r>
          </w:p>
        </w:tc>
        <w:tc>
          <w:tcPr>
            <w:shd w:val="clear" w:color="auto" w:fill="F2F2F2"/>
          </w:tcPr>
          <w:tcPr/>
          <w:p>
            <w:pPr>
              <w:pStyle w:val="Compact"/>
            </w:pPr>
            <w:r>
              <w:rPr>
                <w:rStyle w:val="VerbatimChar"/>
              </w:rPr>
              <w:t xml:space="preserve">401032</w:t>
            </w:r>
            <w:r>
              <w:t xml:space="preserve"> </w:t>
            </w:r>
            <w:r>
              <w:t xml:space="preserve">·</w:t>
            </w:r>
            <w:r>
              <w:t xml:space="preserve"> </w:t>
            </w:r>
            <w:r>
              <w:rPr>
                <w:rStyle w:val="VerbatimChar"/>
              </w:rPr>
              <w:t xml:space="preserve">401033-4</w:t>
            </w:r>
          </w:p>
        </w:tc>
      </w:tr>
      <w:tr>
        <w:tc>
          <w:tcPr/>
          <w:p>
            <w:pPr>
              <w:pStyle w:val="Compact"/>
            </w:pPr>
            <w:r>
              <w:t xml:space="preserve">4</w:t>
            </w:r>
          </w:p>
        </w:tc>
        <w:tc>
          <w:tcPr/>
          <w:p>
            <w:pPr>
              <w:pStyle w:val="Compact"/>
            </w:pPr>
            <w:r>
              <w:rPr>
                <w:rStyle w:val="VerbatimChar"/>
              </w:rPr>
              <w:t xml:space="preserve">400013</w:t>
            </w:r>
            <w:r>
              <w:t xml:space="preserve"> </w:t>
            </w:r>
            <w:r>
              <w:t xml:space="preserve">·</w:t>
            </w:r>
            <w:r>
              <w:t xml:space="preserve"> </w:t>
            </w:r>
            <w:r>
              <w:rPr>
                <w:rStyle w:val="VerbatimChar"/>
              </w:rPr>
              <w:t xml:space="preserve">400014-15</w:t>
            </w:r>
            <w:r>
              <w:t xml:space="preserve"> </w:t>
            </w:r>
            <w:r>
              <w:t xml:space="preserve">·</w:t>
            </w:r>
            <w:r>
              <w:t xml:space="preserve"> </w:t>
            </w:r>
            <w:r>
              <w:rPr>
                <w:rStyle w:val="VerbatimChar"/>
              </w:rPr>
              <w:t xml:space="preserve">400016</w:t>
            </w:r>
          </w:p>
        </w:tc>
        <w:tc>
          <w:tcPr/>
          <w:p>
            <w:pPr>
              <w:pStyle w:val="Compact"/>
            </w:pPr>
            <w:r>
              <w:rPr>
                <w:rStyle w:val="VerbatimChar"/>
              </w:rPr>
              <w:t xml:space="preserve">401035</w:t>
            </w:r>
            <w:r>
              <w:t xml:space="preserve"> </w:t>
            </w:r>
            <w:r>
              <w:t xml:space="preserve">·</w:t>
            </w:r>
            <w:r>
              <w:t xml:space="preserve"> </w:t>
            </w:r>
            <w:r>
              <w:rPr>
                <w:rStyle w:val="VerbatimChar"/>
              </w:rPr>
              <w:t xml:space="preserve">401036-7</w:t>
            </w:r>
          </w:p>
        </w:tc>
      </w:tr>
    </w:tbl>
    <w:p>
      <w:pPr>
        <w:pStyle w:val="BlockText"/>
      </w:pPr>
      <w:r>
        <w:rPr>
          <w:b/>
          <w:bCs/>
        </w:rPr>
        <w:t xml:space="preserve">The single most important line in this guide.</w:t>
      </w:r>
      <w:r>
        <w:t xml:space="preserve"> </w:t>
      </w:r>
      <w:r>
        <w:t xml:space="preserve">Mettler’s</w:t>
      </w:r>
      <w:r>
        <w:t xml:space="preserve"> </w:t>
      </w:r>
      <w:r>
        <w:rPr>
          <w:rStyle w:val="VerbatimChar"/>
        </w:rPr>
        <w:t xml:space="preserve">4000xx</w:t>
      </w:r>
      <w:r>
        <w:t xml:space="preserve"> </w:t>
      </w:r>
      <w:r>
        <w:t xml:space="preserve">/</w:t>
      </w:r>
      <w:r>
        <w:t xml:space="preserve"> </w:t>
      </w:r>
      <w:r>
        <w:rPr>
          <w:rStyle w:val="VerbatimChar"/>
        </w:rPr>
        <w:t xml:space="preserve">4010xx</w:t>
      </w:r>
      <w:r>
        <w:t xml:space="preserve"> </w:t>
      </w:r>
      <w:r>
        <w:t xml:space="preserve">are</w:t>
      </w:r>
      <w:r>
        <w:t xml:space="preserve"> </w:t>
      </w:r>
      <w:r>
        <w:rPr>
          <w:b/>
          <w:bCs/>
        </w:rPr>
        <w:t xml:space="preserve">Modicon display convention</w:t>
      </w:r>
      <w:r>
        <w:t xml:space="preserve">, not register numbers. The manual footnotes them twice as</w:t>
      </w:r>
      <w:r>
        <w:t xml:space="preserve"> </w:t>
      </w:r>
      <w:r>
        <w:rPr>
          <w:i/>
          <w:iCs/>
        </w:rPr>
        <w:t xml:space="preserve">“PLC processor memory-dependent.”</w:t>
      </w:r>
      <w:r>
        <w:t xml:space="preserve"> </w:t>
      </w:r>
      <w:r>
        <w:t xml:space="preserve">The actual register numbers are</w:t>
      </w:r>
      <w:r>
        <w:t xml:space="preserve"> </w:t>
      </w:r>
      <w:r>
        <w:rPr>
          <w:b/>
          <w:bCs/>
        </w:rPr>
        <w:t xml:space="preserve">1</w:t>
      </w:r>
      <w:r>
        <w:t xml:space="preserve"> </w:t>
      </w:r>
      <w:r>
        <w:t xml:space="preserve">and</w:t>
      </w:r>
      <w:r>
        <w:t xml:space="preserve"> </w:t>
      </w:r>
      <w:r>
        <w:rPr>
          <w:b/>
          <w:bCs/>
        </w:rPr>
        <w:t xml:space="preserve">1025</w:t>
      </w:r>
      <w:r>
        <w:t xml:space="preserve"> </w:t>
      </w:r>
      <w:r>
        <w:t xml:space="preserve">— so in Ignition these are</w:t>
      </w:r>
      <w:r>
        <w:t xml:space="preserve"> </w:t>
      </w:r>
      <w:r>
        <w:rPr>
          <w:rStyle w:val="VerbatimChar"/>
        </w:rPr>
        <w:t xml:space="preserve">HR1</w:t>
      </w:r>
      <w:r>
        <w:t xml:space="preserve"> </w:t>
      </w:r>
      <w:r>
        <w:t xml:space="preserve">and</w:t>
      </w:r>
      <w:r>
        <w:t xml:space="preserve"> </w:t>
      </w:r>
      <w:r>
        <w:rPr>
          <w:rStyle w:val="VerbatimChar"/>
        </w:rPr>
        <w:t xml:space="preserve">HR1026</w:t>
      </w:r>
      <w:r>
        <w:t xml:space="preserve">,</w:t>
      </w:r>
      <w:r>
        <w:t xml:space="preserve"> </w:t>
      </w:r>
      <w:r>
        <w:rPr>
          <w:b/>
          <w:bCs/>
        </w:rPr>
        <w:t xml:space="preserve">not</w:t>
      </w:r>
      <w:r>
        <w:t xml:space="preserve"> </w:t>
      </w:r>
      <w:r>
        <w:rPr>
          <w:rStyle w:val="VerbatimChar"/>
        </w:rPr>
        <w:t xml:space="preserve">HR400001</w:t>
      </w:r>
      <w:r>
        <w:t xml:space="preserve">. Get this wrong and everything reads garbage.</w:t>
      </w:r>
    </w:p>
    <w:bookmarkStart w:id="18" w:name="scale-status-word-400004-for-slot-1"/>
    <w:p>
      <w:pPr>
        <w:pStyle w:val="Heading2"/>
      </w:pPr>
      <w:r>
        <w:t xml:space="preserve">4.1 Scale Status word —</w:t>
      </w:r>
      <w:r>
        <w:t xml:space="preserve"> </w:t>
      </w:r>
      <w:r>
        <w:rPr>
          <w:rStyle w:val="VerbatimChar"/>
        </w:rPr>
        <w:t xml:space="preserve">400004</w:t>
      </w:r>
      <w:r>
        <w:t xml:space="preserve"> </w:t>
      </w:r>
      <w:r>
        <w:t xml:space="preserve">for slot 1</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Bit</w:t>
            </w:r>
          </w:p>
        </w:tc>
        <w:tc>
          <w:tcPr>
            <w:shd w:val="clear" w:color="auto" w:fill="1F4E79"/>
          </w:tcPr>
          <w:tcPr/>
          <w:p>
            <w:pPr>
              <w:pStyle w:val="Compact"/>
            </w:pPr>
            <w:r>
              <w:rPr>
                <w:b/>
                <w:color w:val="FFFFFF"/>
              </w:rPr>
              <w:t xml:space="preserve">Meaning</w:t>
            </w:r>
          </w:p>
        </w:tc>
        <w:tc>
          <w:tcPr>
            <w:shd w:val="clear" w:color="auto" w:fill="1F4E79"/>
          </w:tcPr>
          <w:tcPr/>
          <w:p>
            <w:pPr>
              <w:pStyle w:val="Compact"/>
            </w:pPr>
            <w:r>
              <w:rPr>
                <w:b/>
                <w:color w:val="FFFFFF"/>
              </w:rPr>
              <w:t xml:space="preserve">Bit</w:t>
            </w:r>
          </w:p>
        </w:tc>
        <w:tc>
          <w:tcPr>
            <w:shd w:val="clear" w:color="auto" w:fill="1F4E79"/>
          </w:tcPr>
          <w:tcPr/>
          <w:p>
            <w:pPr>
              <w:pStyle w:val="Compact"/>
            </w:pPr>
            <w:r>
              <w:rPr>
                <w:b/>
                <w:color w:val="FFFFFF"/>
              </w:rPr>
              <w:t xml:space="preserve">Meaning</w:t>
            </w:r>
          </w:p>
        </w:tc>
      </w:tr>
      <w:tr>
        <w:tc>
          <w:tcPr/>
          <w:p>
            <w:pPr>
              <w:pStyle w:val="Compact"/>
            </w:pPr>
            <w:r>
              <w:t xml:space="preserve">0</w:t>
            </w:r>
          </w:p>
        </w:tc>
        <w:tc>
          <w:tcPr/>
          <w:p>
            <w:pPr>
              <w:pStyle w:val="Compact"/>
            </w:pPr>
            <w:r>
              <w:rPr>
                <w:b/>
                <w:bCs/>
              </w:rPr>
              <w:t xml:space="preserve">Under</w:t>
            </w:r>
          </w:p>
        </w:tc>
        <w:tc>
          <w:tcPr/>
          <w:p>
            <w:pPr>
              <w:pStyle w:val="Compact"/>
            </w:pPr>
            <w:r>
              <w:t xml:space="preserve">8</w:t>
            </w:r>
          </w:p>
        </w:tc>
        <w:tc>
          <w:tcPr/>
          <w:p>
            <w:pPr>
              <w:pStyle w:val="Compact"/>
            </w:pPr>
            <w:r>
              <w:t xml:space="preserve">Enter Key pressed</w:t>
            </w:r>
          </w:p>
        </w:tc>
      </w:tr>
      <w:tr>
        <w:tc>
          <w:tcPr>
            <w:shd w:val="clear" w:color="auto" w:fill="F2F2F2"/>
          </w:tcPr>
          <w:tcPr/>
          <w:p>
            <w:pPr>
              <w:pStyle w:val="Compact"/>
            </w:pPr>
            <w:r>
              <w:t xml:space="preserve">1</w:t>
            </w:r>
          </w:p>
        </w:tc>
        <w:tc>
          <w:tcPr>
            <w:shd w:val="clear" w:color="auto" w:fill="F2F2F2"/>
          </w:tcPr>
          <w:tcPr/>
          <w:p>
            <w:pPr>
              <w:pStyle w:val="Compact"/>
            </w:pPr>
            <w:r>
              <w:t xml:space="preserve">Comparator 1</w:t>
            </w:r>
          </w:p>
        </w:tc>
        <w:tc>
          <w:tcPr>
            <w:shd w:val="clear" w:color="auto" w:fill="F2F2F2"/>
          </w:tcPr>
          <w:tcPr/>
          <w:p>
            <w:pPr>
              <w:pStyle w:val="Compact"/>
            </w:pPr>
            <w:r>
              <w:t xml:space="preserve">9–11</w:t>
            </w:r>
          </w:p>
        </w:tc>
        <w:tc>
          <w:tcPr>
            <w:shd w:val="clear" w:color="auto" w:fill="F2F2F2"/>
          </w:tcPr>
          <w:tcPr/>
          <w:p>
            <w:pPr>
              <w:pStyle w:val="Compact"/>
            </w:pPr>
            <w:r>
              <w:t xml:space="preserve">Hardware inputs</w:t>
            </w:r>
          </w:p>
        </w:tc>
      </w:tr>
      <w:tr>
        <w:tc>
          <w:tcPr/>
          <w:p>
            <w:pPr>
              <w:pStyle w:val="Compact"/>
            </w:pPr>
            <w:r>
              <w:t xml:space="preserve">2</w:t>
            </w:r>
          </w:p>
        </w:tc>
        <w:tc>
          <w:tcPr/>
          <w:p>
            <w:pPr>
              <w:pStyle w:val="Compact"/>
            </w:pPr>
            <w:r>
              <w:rPr>
                <w:b/>
                <w:bCs/>
              </w:rPr>
              <w:t xml:space="preserve">OK</w:t>
            </w:r>
            <w:r>
              <w:t xml:space="preserve"> </w:t>
            </w:r>
            <w:r>
              <w:t xml:space="preserve">← the verdict</w:t>
            </w:r>
          </w:p>
        </w:tc>
        <w:tc>
          <w:tcPr/>
          <w:p>
            <w:pPr>
              <w:pStyle w:val="Compact"/>
            </w:pPr>
            <w:r>
              <w:t xml:space="preserve">12</w:t>
            </w:r>
          </w:p>
        </w:tc>
        <w:tc>
          <w:tcPr/>
          <w:p>
            <w:pPr>
              <w:pStyle w:val="Compact"/>
            </w:pPr>
            <w:r>
              <w:rPr>
                <w:b/>
                <w:bCs/>
              </w:rPr>
              <w:t xml:space="preserve">Motion</w:t>
            </w:r>
            <w:r>
              <w:t xml:space="preserve"> </w:t>
            </w:r>
            <w:r>
              <w:t xml:space="preserve">(1 = in motion)</w:t>
            </w:r>
          </w:p>
        </w:tc>
      </w:tr>
      <w:tr>
        <w:tc>
          <w:tcPr>
            <w:shd w:val="clear" w:color="auto" w:fill="F2F2F2"/>
          </w:tcPr>
          <w:tcPr/>
          <w:p>
            <w:pPr>
              <w:pStyle w:val="Compact"/>
            </w:pPr>
            <w:r>
              <w:t xml:space="preserve">3</w:t>
            </w:r>
          </w:p>
        </w:tc>
        <w:tc>
          <w:tcPr>
            <w:shd w:val="clear" w:color="auto" w:fill="F2F2F2"/>
          </w:tcPr>
          <w:tcPr/>
          <w:p>
            <w:pPr>
              <w:pStyle w:val="Compact"/>
            </w:pPr>
            <w:r>
              <w:t xml:space="preserve">Comparator 2</w:t>
            </w:r>
          </w:p>
        </w:tc>
        <w:tc>
          <w:tcPr>
            <w:shd w:val="clear" w:color="auto" w:fill="F2F2F2"/>
          </w:tcPr>
          <w:tcPr/>
          <w:p>
            <w:pPr>
              <w:pStyle w:val="Compact"/>
            </w:pPr>
            <w:r>
              <w:t xml:space="preserve">13</w:t>
            </w:r>
          </w:p>
        </w:tc>
        <w:tc>
          <w:tcPr>
            <w:shd w:val="clear" w:color="auto" w:fill="F2F2F2"/>
          </w:tcPr>
          <w:tcPr/>
          <w:p>
            <w:pPr>
              <w:pStyle w:val="Compact"/>
            </w:pPr>
            <w:r>
              <w:t xml:space="preserve">Net mode</w:t>
            </w:r>
          </w:p>
        </w:tc>
      </w:tr>
      <w:tr>
        <w:tc>
          <w:tcPr/>
          <w:p>
            <w:pPr>
              <w:pStyle w:val="Compact"/>
            </w:pPr>
            <w:r>
              <w:t xml:space="preserve">4</w:t>
            </w:r>
          </w:p>
        </w:tc>
        <w:tc>
          <w:tcPr/>
          <w:p>
            <w:pPr>
              <w:pStyle w:val="Compact"/>
            </w:pPr>
            <w:r>
              <w:rPr>
                <w:b/>
                <w:bCs/>
              </w:rPr>
              <w:t xml:space="preserve">Over</w:t>
            </w:r>
          </w:p>
        </w:tc>
        <w:tc>
          <w:tcPr/>
          <w:p>
            <w:pPr>
              <w:pStyle w:val="Compact"/>
            </w:pPr>
            <w:r>
              <w:t xml:space="preserve">14</w:t>
            </w:r>
          </w:p>
        </w:tc>
        <w:tc>
          <w:tcPr/>
          <w:p>
            <w:pPr>
              <w:pStyle w:val="Compact"/>
            </w:pPr>
            <w:r>
              <w:rPr>
                <w:b/>
                <w:bCs/>
              </w:rPr>
              <w:t xml:space="preserve">Data Integrity 2</w:t>
            </w:r>
          </w:p>
        </w:tc>
      </w:tr>
      <w:tr>
        <w:tc>
          <w:tcPr>
            <w:shd w:val="clear" w:color="auto" w:fill="F2F2F2"/>
          </w:tcPr>
          <w:tcPr/>
          <w:p>
            <w:pPr>
              <w:pStyle w:val="Compact"/>
            </w:pPr>
            <w:r>
              <w:t xml:space="preserve">5</w:t>
            </w:r>
          </w:p>
        </w:tc>
        <w:tc>
          <w:tcPr>
            <w:shd w:val="clear" w:color="auto" w:fill="F2F2F2"/>
          </w:tcPr>
          <w:tcPr/>
          <w:p>
            <w:pPr>
              <w:pStyle w:val="Compact"/>
            </w:pPr>
            <w:r>
              <w:rPr>
                <w:b/>
                <w:bCs/>
              </w:rPr>
              <w:t xml:space="preserve">Always = 1</w:t>
            </w:r>
          </w:p>
        </w:tc>
        <w:tc>
          <w:tcPr>
            <w:shd w:val="clear" w:color="auto" w:fill="F2F2F2"/>
          </w:tcPr>
          <w:tcPr/>
          <w:p>
            <w:pPr>
              <w:pStyle w:val="Compact"/>
            </w:pPr>
            <w:r>
              <w:t xml:space="preserve">15</w:t>
            </w:r>
          </w:p>
        </w:tc>
        <w:tc>
          <w:tcPr>
            <w:shd w:val="clear" w:color="auto" w:fill="F2F2F2"/>
          </w:tcPr>
          <w:tcPr/>
          <w:p>
            <w:pPr>
              <w:pStyle w:val="Compact"/>
            </w:pPr>
            <w:r>
              <w:rPr>
                <w:b/>
                <w:bCs/>
              </w:rPr>
              <w:t xml:space="preserve">Data OK</w:t>
            </w:r>
          </w:p>
        </w:tc>
      </w:tr>
    </w:tbl>
    <w:bookmarkEnd w:id="18"/>
    <w:bookmarkStart w:id="19" w:name="command-response-word-400001-for-slot-1"/>
    <w:p>
      <w:pPr>
        <w:pStyle w:val="Heading2"/>
      </w:pPr>
      <w:r>
        <w:t xml:space="preserve">4.2 Command Response word —</w:t>
      </w:r>
      <w:r>
        <w:t xml:space="preserve"> </w:t>
      </w:r>
      <w:r>
        <w:rPr>
          <w:rStyle w:val="VerbatimChar"/>
        </w:rPr>
        <w:t xml:space="preserve">400001</w:t>
      </w:r>
      <w:r>
        <w:t xml:space="preserve"> </w:t>
      </w:r>
      <w:r>
        <w:t xml:space="preserve">for slot 1</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Bits</w:t>
            </w:r>
          </w:p>
        </w:tc>
        <w:tc>
          <w:tcPr>
            <w:shd w:val="clear" w:color="auto" w:fill="1F4E79"/>
          </w:tcPr>
          <w:tcPr/>
          <w:p>
            <w:pPr>
              <w:pStyle w:val="Compact"/>
            </w:pPr>
            <w:r>
              <w:rPr>
                <w:b/>
                <w:color w:val="FFFFFF"/>
              </w:rPr>
              <w:t xml:space="preserve">Meaning</w:t>
            </w:r>
          </w:p>
        </w:tc>
      </w:tr>
      <w:tr>
        <w:tc>
          <w:tcPr/>
          <w:p>
            <w:pPr>
              <w:pStyle w:val="Compact"/>
            </w:pPr>
            <w:r>
              <w:t xml:space="preserve">8–12</w:t>
            </w:r>
          </w:p>
        </w:tc>
        <w:tc>
          <w:tcPr/>
          <w:p>
            <w:pPr>
              <w:pStyle w:val="Compact"/>
            </w:pPr>
            <w:r>
              <w:rPr>
                <w:b/>
                <w:bCs/>
              </w:rPr>
              <w:t xml:space="preserve">FP Indicator</w:t>
            </w:r>
            <w:r>
              <w:t xml:space="preserve"> </w:t>
            </w:r>
            <w:r>
              <w:t xml:space="preserve">— self-describes what the FP value currently holds:</w:t>
            </w:r>
            <w:r>
              <w:t xml:space="preserve"> </w:t>
            </w:r>
            <w:r>
              <w:rPr>
                <w:rStyle w:val="VerbatimChar"/>
              </w:rPr>
              <w:t xml:space="preserve">0</w:t>
            </w:r>
            <w:r>
              <w:t xml:space="preserve"> </w:t>
            </w:r>
            <w:r>
              <w:t xml:space="preserve">gross,</w:t>
            </w:r>
            <w:r>
              <w:t xml:space="preserve"> </w:t>
            </w:r>
            <w:r>
              <w:rPr>
                <w:rStyle w:val="VerbatimChar"/>
              </w:rPr>
              <w:t xml:space="preserve">1</w:t>
            </w:r>
            <w:r>
              <w:t xml:space="preserve"> </w:t>
            </w:r>
            <w:r>
              <w:t xml:space="preserve">net,</w:t>
            </w:r>
            <w:r>
              <w:t xml:space="preserve"> </w:t>
            </w:r>
            <w:r>
              <w:rPr>
                <w:rStyle w:val="VerbatimChar"/>
              </w:rPr>
              <w:t xml:space="preserve">2</w:t>
            </w:r>
            <w:r>
              <w:t xml:space="preserve"> </w:t>
            </w:r>
            <w:r>
              <w:t xml:space="preserve">tare,</w:t>
            </w:r>
            <w:r>
              <w:t xml:space="preserve"> </w:t>
            </w:r>
            <w:r>
              <w:rPr>
                <w:rStyle w:val="VerbatimChar"/>
              </w:rPr>
              <w:t xml:space="preserve">30</w:t>
            </w:r>
            <w:r>
              <w:t xml:space="preserve"> </w:t>
            </w:r>
            <w:r>
              <w:t xml:space="preserve">command OK,</w:t>
            </w:r>
            <w:r>
              <w:t xml:space="preserve"> </w:t>
            </w:r>
            <w:r>
              <w:rPr>
                <w:rStyle w:val="VerbatimChar"/>
              </w:rPr>
              <w:t xml:space="preserve">31</w:t>
            </w:r>
            <w:r>
              <w:t xml:space="preserve"> </w:t>
            </w:r>
            <w:r>
              <w:t xml:space="preserve">invalid command</w:t>
            </w:r>
          </w:p>
        </w:tc>
      </w:tr>
      <w:tr>
        <w:tc>
          <w:tcPr>
            <w:shd w:val="clear" w:color="auto" w:fill="F2F2F2"/>
          </w:tcPr>
          <w:tcPr/>
          <w:p>
            <w:pPr>
              <w:pStyle w:val="Compact"/>
            </w:pPr>
            <w:r>
              <w:t xml:space="preserve">13</w:t>
            </w:r>
          </w:p>
        </w:tc>
        <w:tc>
          <w:tcPr>
            <w:shd w:val="clear" w:color="auto" w:fill="F2F2F2"/>
          </w:tcPr>
          <w:tcPr/>
          <w:p>
            <w:pPr>
              <w:pStyle w:val="Compact"/>
            </w:pPr>
            <w:r>
              <w:rPr>
                <w:b/>
                <w:bCs/>
              </w:rPr>
              <w:t xml:space="preserve">Data Integrity 1</w:t>
            </w:r>
          </w:p>
        </w:tc>
      </w:tr>
      <w:tr>
        <w:tc>
          <w:tcPr/>
          <w:p>
            <w:pPr>
              <w:pStyle w:val="Compact"/>
            </w:pPr>
            <w:r>
              <w:t xml:space="preserve">14–15</w:t>
            </w:r>
          </w:p>
        </w:tc>
        <w:tc>
          <w:tcPr/>
          <w:p>
            <w:pPr>
              <w:pStyle w:val="Compact"/>
            </w:pPr>
            <w:r>
              <w:rPr>
                <w:b/>
                <w:bCs/>
              </w:rPr>
              <w:t xml:space="preserve">Command Acknowledge</w:t>
            </w:r>
            <w:r>
              <w:t xml:space="preserve"> </w:t>
            </w:r>
            <w:r>
              <w:t xml:space="preserve">— rotates 1 → 2 → 3 → 1 per accepted command</w:t>
            </w:r>
          </w:p>
        </w:tc>
      </w:tr>
    </w:tbl>
    <w:bookmarkEnd w:id="19"/>
    <w:bookmarkStart w:id="20" w:name="commands-we-use"/>
    <w:p>
      <w:pPr>
        <w:pStyle w:val="Heading2"/>
      </w:pPr>
      <w:r>
        <w:t xml:space="preserve">4.3 Commands we use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Dec</w:t>
            </w:r>
          </w:p>
        </w:tc>
        <w:tc>
          <w:tcPr>
            <w:shd w:val="clear" w:color="auto" w:fill="1F4E79"/>
          </w:tcPr>
          <w:tcPr/>
          <w:p>
            <w:pPr>
              <w:pStyle w:val="Compact"/>
            </w:pPr>
            <w:r>
              <w:rPr>
                <w:b/>
                <w:color w:val="FFFFFF"/>
              </w:rPr>
              <w:t xml:space="preserve">Command</w:t>
            </w:r>
          </w:p>
        </w:tc>
        <w:tc>
          <w:tcPr>
            <w:shd w:val="clear" w:color="auto" w:fill="1F4E79"/>
          </w:tcPr>
          <w:tcPr/>
          <w:p>
            <w:pPr>
              <w:pStyle w:val="Compact"/>
            </w:pPr>
            <w:r>
              <w:rPr>
                <w:b/>
                <w:color w:val="FFFFFF"/>
              </w:rPr>
              <w:t xml:space="preserve">Needs FP value</w:t>
            </w:r>
          </w:p>
        </w:tc>
        <w:tc>
          <w:tcPr>
            <w:shd w:val="clear" w:color="auto" w:fill="1F4E79"/>
          </w:tcPr>
          <w:tcPr/>
          <w:p>
            <w:pPr>
              <w:pStyle w:val="Compact"/>
            </w:pPr>
            <w:r>
              <w:rPr>
                <w:b/>
                <w:color w:val="FFFFFF"/>
              </w:rPr>
              <w:t xml:space="preserve">When</w:t>
            </w:r>
          </w:p>
        </w:tc>
      </w:tr>
      <w:tr>
        <w:tc>
          <w:tcPr/>
          <w:p>
            <w:pPr>
              <w:pStyle w:val="Compact"/>
            </w:pPr>
            <w:r>
              <w:t xml:space="preserve">11</w:t>
            </w:r>
          </w:p>
        </w:tc>
        <w:tc>
          <w:tcPr/>
          <w:p>
            <w:pPr>
              <w:pStyle w:val="Compact"/>
            </w:pPr>
            <w:r>
              <w:t xml:space="preserve">Report net weight</w:t>
            </w:r>
          </w:p>
        </w:tc>
        <w:tc>
          <w:tcPr/>
          <w:p>
            <w:pPr>
              <w:pStyle w:val="Compact"/>
            </w:pPr>
            <w:r>
              <w:t xml:space="preserve">no</w:t>
            </w:r>
          </w:p>
        </w:tc>
        <w:tc>
          <w:tcPr/>
          <w:p>
            <w:pPr>
              <w:pStyle w:val="Compact"/>
            </w:pPr>
            <w:r>
              <w:t xml:space="preserve">parked in slot 1 permanently</w:t>
            </w:r>
          </w:p>
        </w:tc>
      </w:tr>
      <w:tr>
        <w:tc>
          <w:tcPr>
            <w:shd w:val="clear" w:color="auto" w:fill="F2F2F2"/>
          </w:tcPr>
          <w:tcPr/>
          <w:p>
            <w:pPr>
              <w:pStyle w:val="Compact"/>
            </w:pPr>
            <w:r>
              <w:t xml:space="preserve">110</w:t>
            </w:r>
          </w:p>
        </w:tc>
        <w:tc>
          <w:tcPr>
            <w:shd w:val="clear" w:color="auto" w:fill="F2F2F2"/>
          </w:tcPr>
          <w:tcPr/>
          <w:p>
            <w:pPr>
              <w:pStyle w:val="Compact"/>
            </w:pPr>
            <w:r>
              <w:t xml:space="preserve">Set target value</w:t>
            </w:r>
          </w:p>
        </w:tc>
        <w:tc>
          <w:tcPr>
            <w:shd w:val="clear" w:color="auto" w:fill="F2F2F2"/>
          </w:tcPr>
          <w:tcPr/>
          <w:p>
            <w:pPr>
              <w:pStyle w:val="Compact"/>
            </w:pPr>
            <w:r>
              <w:t xml:space="preserve">yes</w:t>
            </w:r>
          </w:p>
        </w:tc>
        <w:tc>
          <w:tcPr>
            <w:shd w:val="clear" w:color="auto" w:fill="F2F2F2"/>
          </w:tcPr>
          <w:tcPr/>
          <w:p>
            <w:pPr>
              <w:pStyle w:val="Compact"/>
            </w:pPr>
            <w:r>
              <w:t xml:space="preserve">per part change</w:t>
            </w:r>
          </w:p>
        </w:tc>
      </w:tr>
      <w:tr>
        <w:tc>
          <w:tcPr/>
          <w:p>
            <w:pPr>
              <w:pStyle w:val="Compact"/>
            </w:pPr>
            <w:r>
              <w:t xml:space="preserve">131</w:t>
            </w:r>
          </w:p>
        </w:tc>
        <w:tc>
          <w:tcPr/>
          <w:p>
            <w:pPr>
              <w:pStyle w:val="Compact"/>
            </w:pPr>
            <w:r>
              <w:t xml:space="preserve">Set (+) tolerance value</w:t>
            </w:r>
          </w:p>
        </w:tc>
        <w:tc>
          <w:tcPr/>
          <w:p>
            <w:pPr>
              <w:pStyle w:val="Compact"/>
            </w:pPr>
            <w:r>
              <w:t xml:space="preserve">yes</w:t>
            </w:r>
          </w:p>
        </w:tc>
        <w:tc>
          <w:tcPr/>
          <w:p>
            <w:pPr>
              <w:pStyle w:val="Compact"/>
            </w:pPr>
            <w:r>
              <w:t xml:space="preserve">per part change</w:t>
            </w:r>
          </w:p>
        </w:tc>
      </w:tr>
      <w:tr>
        <w:tc>
          <w:tcPr>
            <w:shd w:val="clear" w:color="auto" w:fill="F2F2F2"/>
          </w:tcPr>
          <w:tcPr/>
          <w:p>
            <w:pPr>
              <w:pStyle w:val="Compact"/>
            </w:pPr>
            <w:r>
              <w:t xml:space="preserve">112</w:t>
            </w:r>
          </w:p>
        </w:tc>
        <w:tc>
          <w:tcPr>
            <w:shd w:val="clear" w:color="auto" w:fill="F2F2F2"/>
          </w:tcPr>
          <w:tcPr/>
          <w:p>
            <w:pPr>
              <w:pStyle w:val="Compact"/>
            </w:pPr>
            <w:r>
              <w:t xml:space="preserve">Set (−) tolerance value</w:t>
            </w:r>
          </w:p>
        </w:tc>
        <w:tc>
          <w:tcPr>
            <w:shd w:val="clear" w:color="auto" w:fill="F2F2F2"/>
          </w:tcPr>
          <w:tcPr/>
          <w:p>
            <w:pPr>
              <w:pStyle w:val="Compact"/>
            </w:pPr>
            <w:r>
              <w:t xml:space="preserve">yes</w:t>
            </w:r>
          </w:p>
        </w:tc>
        <w:tc>
          <w:tcPr>
            <w:shd w:val="clear" w:color="auto" w:fill="F2F2F2"/>
          </w:tcPr>
          <w:tcPr/>
          <w:p>
            <w:pPr>
              <w:pStyle w:val="Compact"/>
            </w:pPr>
            <w:r>
              <w:t xml:space="preserve">per part change</w:t>
            </w:r>
          </w:p>
        </w:tc>
      </w:tr>
      <w:tr>
        <w:tc>
          <w:tcPr/>
          <w:p>
            <w:pPr>
              <w:pStyle w:val="Compact"/>
            </w:pPr>
            <w:r>
              <w:t xml:space="preserve">114</w:t>
            </w:r>
          </w:p>
        </w:tc>
        <w:tc>
          <w:tcPr/>
          <w:p>
            <w:pPr>
              <w:pStyle w:val="Compact"/>
            </w:pPr>
            <w:r>
              <w:t xml:space="preserve">Start target comparison</w:t>
            </w:r>
          </w:p>
        </w:tc>
        <w:tc>
          <w:tcPr/>
          <w:p>
            <w:pPr>
              <w:pStyle w:val="Compact"/>
            </w:pPr>
            <w:r>
              <w:t xml:space="preserve">no</w:t>
            </w:r>
          </w:p>
        </w:tc>
        <w:tc>
          <w:tcPr/>
          <w:p>
            <w:pPr>
              <w:pStyle w:val="Compact"/>
            </w:pPr>
            <w:r>
              <w:t xml:space="preserve">per part change, after the three loads</w:t>
            </w:r>
          </w:p>
        </w:tc>
      </w:tr>
      <w:tr>
        <w:tc>
          <w:tcPr>
            <w:shd w:val="clear" w:color="auto" w:fill="F2F2F2"/>
          </w:tcPr>
          <w:tcPr/>
          <w:p>
            <w:pPr>
              <w:pStyle w:val="Compact"/>
            </w:pPr>
            <w:r>
              <w:t xml:space="preserve">115</w:t>
            </w:r>
          </w:p>
        </w:tc>
        <w:tc>
          <w:tcPr>
            <w:shd w:val="clear" w:color="auto" w:fill="F2F2F2"/>
          </w:tcPr>
          <w:tcPr/>
          <w:p>
            <w:pPr>
              <w:pStyle w:val="Compact"/>
            </w:pPr>
            <w:r>
              <w:t xml:space="preserve">Abort target comparison</w:t>
            </w:r>
          </w:p>
        </w:tc>
        <w:tc>
          <w:tcPr>
            <w:shd w:val="clear" w:color="auto" w:fill="F2F2F2"/>
          </w:tcPr>
          <w:tcPr/>
          <w:p>
            <w:pPr>
              <w:pStyle w:val="Compact"/>
            </w:pPr>
            <w:r>
              <w:t xml:space="preserve">no</w:t>
            </w:r>
          </w:p>
        </w:tc>
        <w:tc>
          <w:tcPr>
            <w:shd w:val="clear" w:color="auto" w:fill="F2F2F2"/>
          </w:tcPr>
          <w:tcPr/>
          <w:p>
            <w:pPr>
              <w:pStyle w:val="Compact"/>
            </w:pPr>
            <w:r>
              <w:t xml:space="preserve">error recovery</w:t>
            </w:r>
          </w:p>
        </w:tc>
      </w:tr>
      <w:tr>
        <w:tc>
          <w:tcPr/>
          <w:p>
            <w:pPr>
              <w:pStyle w:val="Compact"/>
            </w:pPr>
            <w:r>
              <w:t xml:space="preserve">117</w:t>
            </w:r>
          </w:p>
        </w:tc>
        <w:tc>
          <w:tcPr/>
          <w:p>
            <w:pPr>
              <w:pStyle w:val="Compact"/>
            </w:pPr>
            <w:r>
              <w:t xml:space="preserve">Target use net weight</w:t>
            </w:r>
          </w:p>
        </w:tc>
        <w:tc>
          <w:tcPr/>
          <w:p>
            <w:pPr>
              <w:pStyle w:val="Compact"/>
            </w:pPr>
            <w:r>
              <w:t xml:space="preserve">no</w:t>
            </w:r>
          </w:p>
        </w:tc>
        <w:tc>
          <w:tcPr/>
          <w:p>
            <w:pPr>
              <w:pStyle w:val="Compact"/>
            </w:pPr>
            <w:r>
              <w:t xml:space="preserve">commissioning only</w:t>
            </w:r>
          </w:p>
        </w:tc>
      </w:tr>
      <w:tr>
        <w:tc>
          <w:tcPr>
            <w:shd w:val="clear" w:color="auto" w:fill="F2F2F2"/>
          </w:tcPr>
          <w:tcPr/>
          <w:p>
            <w:pPr>
              <w:pStyle w:val="Compact"/>
            </w:pPr>
            <w:r>
              <w:t xml:space="preserve">122</w:t>
            </w:r>
          </w:p>
        </w:tc>
        <w:tc>
          <w:tcPr>
            <w:shd w:val="clear" w:color="auto" w:fill="F2F2F2"/>
          </w:tcPr>
          <w:tcPr/>
          <w:p>
            <w:pPr>
              <w:pStyle w:val="Compact"/>
            </w:pPr>
            <w:r>
              <w:t xml:space="preserve">Disable target latching</w:t>
            </w:r>
          </w:p>
        </w:tc>
        <w:tc>
          <w:tcPr>
            <w:shd w:val="clear" w:color="auto" w:fill="F2F2F2"/>
          </w:tcPr>
          <w:tcPr/>
          <w:p>
            <w:pPr>
              <w:pStyle w:val="Compact"/>
            </w:pPr>
            <w:r>
              <w:t xml:space="preserve">no</w:t>
            </w:r>
          </w:p>
        </w:tc>
        <w:tc>
          <w:tcPr>
            <w:shd w:val="clear" w:color="auto" w:fill="F2F2F2"/>
          </w:tcPr>
          <w:tcPr/>
          <w:p>
            <w:pPr>
              <w:pStyle w:val="Compact"/>
            </w:pPr>
            <w:r>
              <w:t xml:space="preserve">commissioning only</w:t>
            </w:r>
          </w:p>
        </w:tc>
      </w:tr>
      <w:tr>
        <w:tc>
          <w:tcPr/>
          <w:p>
            <w:pPr>
              <w:pStyle w:val="Compact"/>
            </w:pPr>
            <w:r>
              <w:t xml:space="preserve">30</w:t>
            </w:r>
          </w:p>
        </w:tc>
        <w:tc>
          <w:tcPr/>
          <w:p>
            <w:pPr>
              <w:pStyle w:val="Compact"/>
            </w:pPr>
            <w:r>
              <w:t xml:space="preserve">Report primary units</w:t>
            </w:r>
          </w:p>
        </w:tc>
        <w:tc>
          <w:tcPr/>
          <w:p>
            <w:pPr>
              <w:pStyle w:val="Compact"/>
            </w:pPr>
            <w:r>
              <w:t xml:space="preserve">no</w:t>
            </w:r>
          </w:p>
        </w:tc>
        <w:tc>
          <w:tcPr/>
          <w:p>
            <w:pPr>
              <w:pStyle w:val="Compact"/>
            </w:pPr>
            <w:r>
              <w:t xml:space="preserve">commissioning verification</w:t>
            </w:r>
          </w:p>
        </w:tc>
      </w:tr>
    </w:tbl>
    <w:p>
      <w:pPr>
        <w:pStyle w:val="BodyText"/>
      </w:pPr>
      <w:r>
        <w:t xml:space="preserve">For any command taking a value, the manual (Table B-4 note 6) says:</w:t>
      </w:r>
      <w:r>
        <w:t xml:space="preserve"> </w:t>
      </w:r>
      <w:r>
        <w:rPr>
          <w:i/>
          <w:iCs/>
        </w:rPr>
        <w:t xml:space="preserve">“If the command is successful the returned floating point value will equal the value sent to the indicator.”</w:t>
      </w:r>
      <w:r>
        <w:t xml:space="preserve"> </w:t>
      </w:r>
      <w:r>
        <w:t xml:space="preserve">The echo</w:t>
      </w:r>
      <w:r>
        <w:t xml:space="preserve"> </w:t>
      </w:r>
      <w:r>
        <w:rPr>
          <w:b/>
          <w:bCs/>
        </w:rPr>
        <w:t xml:space="preserve">is</w:t>
      </w:r>
      <w:r>
        <w:t xml:space="preserve"> </w:t>
      </w:r>
      <w:r>
        <w:t xml:space="preserve">the acknowledgement — there is no separate</w:t>
      </w:r>
      <w:r>
        <w:t xml:space="preserve"> </w:t>
      </w:r>
      <w:r>
        <w:t xml:space="preserve">“commit”</w:t>
      </w:r>
      <w:r>
        <w:t xml:space="preserve"> </w:t>
      </w:r>
      <w:r>
        <w:t xml:space="preserve">or</w:t>
      </w:r>
      <w:r>
        <w:t xml:space="preserve"> </w:t>
      </w:r>
      <w:r>
        <w:t xml:space="preserve">“send message”</w:t>
      </w:r>
      <w:r>
        <w:t xml:space="preserve"> </w:t>
      </w:r>
      <w:r>
        <w:t xml:space="preserve">step, unlike the legacy OmniServer setup. Write the FP value into words 2–3</w:t>
      </w:r>
      <w:r>
        <w:t xml:space="preserve"> </w:t>
      </w:r>
      <w:r>
        <w:rPr>
          <w:b/>
          <w:bCs/>
        </w:rPr>
        <w:t xml:space="preserve">first</w:t>
      </w:r>
      <w:r>
        <w:t xml:space="preserve">, then the command into word 1.</w:t>
      </w:r>
    </w:p>
    <w:bookmarkEnd w:id="20"/>
    <w:bookmarkEnd w:id="21"/>
    <w:bookmarkStart w:id="24" w:name="jacquess-side-configuring-ignition"/>
    <w:p>
      <w:pPr>
        <w:pStyle w:val="Heading1"/>
      </w:pPr>
      <w:r>
        <w:t xml:space="preserve">5. Jacques’s Side — Configuring Ignition</w:t>
      </w:r>
    </w:p>
    <w:p>
      <w:pPr>
        <w:pStyle w:val="FirstParagraph"/>
      </w:pPr>
      <w:r>
        <w:rPr>
          <w:i/>
          <w:iCs/>
        </w:rPr>
        <w:t xml:space="preserve">Settings below are named as they appear in the Ignition</w:t>
      </w:r>
      <w:r>
        <w:rPr>
          <w:i/>
          <w:iCs/>
        </w:rPr>
        <w:t xml:space="preserve"> </w:t>
      </w:r>
      <w:r>
        <w:rPr>
          <w:b/>
          <w:bCs/>
          <w:i/>
          <w:iCs/>
        </w:rPr>
        <w:t xml:space="preserve">8.3</w:t>
      </w:r>
      <w:r>
        <w:rPr>
          <w:i/>
          <w:iCs/>
        </w:rPr>
        <w:t xml:space="preserve"> </w:t>
      </w:r>
      <w:r>
        <w:rPr>
          <w:i/>
          <w:iCs/>
        </w:rPr>
        <w:t xml:space="preserve">device-config UI. Reference:</w:t>
      </w:r>
      <w:r>
        <w:rPr>
          <w:i/>
          <w:iCs/>
        </w:rPr>
        <w:t xml:space="preserve"> </w:t>
      </w:r>
      <w:hyperlink r:id="rId22">
        <w:r>
          <w:rPr>
            <w:rStyle w:val="Hyperlink"/>
            <w:i/>
            <w:iCs/>
          </w:rPr>
          <w:t xml:space="preserve">Connecting to a Modbus Device</w:t>
        </w:r>
      </w:hyperlink>
      <w:r>
        <w:rPr>
          <w:i/>
          <w:iCs/>
        </w:rPr>
        <w:t xml:space="preserve">.</w:t>
      </w:r>
    </w:p>
    <w:p>
      <w:pPr>
        <w:numPr>
          <w:ilvl w:val="0"/>
          <w:numId w:val="1006"/>
        </w:numPr>
      </w:pPr>
      <w:r>
        <w:t xml:space="preserve">Config › OPC UA › Device Connections › Create new Device →</w:t>
      </w:r>
      <w:r>
        <w:t xml:space="preserve"> </w:t>
      </w:r>
      <w:r>
        <w:rPr>
          <w:b/>
          <w:bCs/>
        </w:rPr>
        <w:t xml:space="preserve">Modbus TCP</w:t>
      </w:r>
      <w:r>
        <w:t xml:space="preserve">.</w:t>
      </w:r>
    </w:p>
    <w:p>
      <w:pPr>
        <w:numPr>
          <w:ilvl w:val="0"/>
          <w:numId w:val="1006"/>
        </w:numPr>
      </w:pPr>
      <w:r>
        <w:rPr>
          <w:b/>
          <w:bCs/>
        </w:rPr>
        <w:t xml:space="preserve">Hostname:</w:t>
      </w:r>
      <w:r>
        <w:t xml:space="preserve"> </w:t>
      </w:r>
      <w:r>
        <w:t xml:space="preserve">the terminal IP from section 3.1.</w:t>
      </w:r>
      <w:r>
        <w:t xml:space="preserve"> </w:t>
      </w:r>
      <w:r>
        <w:rPr>
          <w:b/>
          <w:bCs/>
        </w:rPr>
        <w:t xml:space="preserve">Port:</w:t>
      </w:r>
      <w:r>
        <w:t xml:space="preserve"> </w:t>
      </w:r>
      <w:r>
        <w:t xml:space="preserve">502.</w:t>
      </w:r>
    </w:p>
    <w:p>
      <w:pPr>
        <w:numPr>
          <w:ilvl w:val="0"/>
          <w:numId w:val="1006"/>
        </w:numPr>
      </w:pPr>
      <w:r>
        <w:rPr>
          <w:b/>
          <w:bCs/>
        </w:rPr>
        <w:t xml:space="preserve">Address Mapping: leave it EMPTY.</w:t>
      </w:r>
      <w:r>
        <w:t xml:space="preserve"> </w:t>
      </w:r>
      <w:r>
        <w:t xml:space="preserve">If the table shows a blank row flagging</w:t>
      </w:r>
      <w:r>
        <w:t xml:space="preserve"> </w:t>
      </w:r>
      <w:r>
        <w:t xml:space="preserve">“2 invalid fields”</w:t>
      </w:r>
      <w:r>
        <w:t xml:space="preserve"> </w:t>
      </w:r>
      <w:r>
        <w:t xml:space="preserve">(empty PREFIX and MODBUS ADDRESS), click</w:t>
      </w:r>
      <w:r>
        <w:t xml:space="preserve"> </w:t>
      </w:r>
      <w:r>
        <w:rPr>
          <w:b/>
          <w:bCs/>
        </w:rPr>
        <w:t xml:space="preserve">Delete</w:t>
      </w:r>
      <w:r>
        <w:t xml:space="preserve"> </w:t>
      </w:r>
      <w:r>
        <w:t xml:space="preserve">on that row — do not fill it in. Address mapping is an optional bulk-alias feature for devices whose native numbering differs from Modbus; the docs offer it</w:t>
      </w:r>
      <w:r>
        <w:t xml:space="preserve"> </w:t>
      </w:r>
      <w:r>
        <w:t xml:space="preserve">“because it can be tedious to manually enter OPC tag information one-by-one.”</w:t>
      </w:r>
      <w:r>
        <w:t xml:space="preserve"> </w:t>
      </w:r>
      <w:r>
        <w:t xml:space="preserve">We address registers directly as</w:t>
      </w:r>
      <w:r>
        <w:t xml:space="preserve"> </w:t>
      </w:r>
      <w:r>
        <w:rPr>
          <w:rStyle w:val="VerbatimChar"/>
        </w:rPr>
        <w:t xml:space="preserve">HR1</w:t>
      </w:r>
      <w:r>
        <w:t xml:space="preserve">,</w:t>
      </w:r>
      <w:r>
        <w:t xml:space="preserve"> </w:t>
      </w:r>
      <w:r>
        <w:rPr>
          <w:rStyle w:val="VerbatimChar"/>
        </w:rPr>
        <w:t xml:space="preserve">HRF2</w:t>
      </w:r>
      <w:r>
        <w:t xml:space="preserve"> </w:t>
      </w:r>
      <w:r>
        <w:t xml:space="preserve">and so on, which needs no mapping —</w:t>
      </w:r>
      <w:r>
        <w:t xml:space="preserve"> </w:t>
      </w:r>
      <w:r>
        <w:rPr>
          <w:rStyle w:val="VerbatimChar"/>
        </w:rPr>
        <w:t xml:space="preserve">HR</w:t>
      </w:r>
      <w:r>
        <w:t xml:space="preserve">,</w:t>
      </w:r>
      <w:r>
        <w:t xml:space="preserve"> </w:t>
      </w:r>
      <w:r>
        <w:rPr>
          <w:rStyle w:val="VerbatimChar"/>
        </w:rPr>
        <w:t xml:space="preserve">IR</w:t>
      </w:r>
      <w:r>
        <w:t xml:space="preserve">,</w:t>
      </w:r>
      <w:r>
        <w:t xml:space="preserve"> </w:t>
      </w:r>
      <w:r>
        <w:rPr>
          <w:rStyle w:val="VerbatimChar"/>
        </w:rPr>
        <w:t xml:space="preserve">C</w:t>
      </w:r>
      <w:r>
        <w:t xml:space="preserve"> </w:t>
      </w:r>
      <w:r>
        <w:t xml:space="preserve">and</w:t>
      </w:r>
      <w:r>
        <w:t xml:space="preserve"> </w:t>
      </w:r>
      <w:r>
        <w:rPr>
          <w:rStyle w:val="VerbatimChar"/>
        </w:rPr>
        <w:t xml:space="preserve">DI</w:t>
      </w:r>
      <w:r>
        <w:t xml:space="preserve"> </w:t>
      </w:r>
      <w:r>
        <w:t xml:space="preserve">are reserved prefixes precisely because direct addressing coexists with it.</w:t>
      </w:r>
      <w:r>
        <w:t xml:space="preserve"> </w:t>
      </w:r>
      <w:r>
        <w:rPr>
          <w:b/>
          <w:bCs/>
        </w:rPr>
        <w:t xml:space="preserve">Radix</w:t>
      </w:r>
      <w:r>
        <w:t xml:space="preserve"> </w:t>
      </w:r>
      <w:r>
        <w:t xml:space="preserve">(default 10) only governs the numbering base used by mapping rows, so with no rows it is irrelevant. Leave it at 10.</w:t>
      </w:r>
    </w:p>
    <w:p>
      <w:pPr>
        <w:numPr>
          <w:ilvl w:val="0"/>
          <w:numId w:val="1006"/>
        </w:numPr>
      </w:pPr>
      <w:r>
        <w:rPr>
          <w:b/>
          <w:bCs/>
        </w:rPr>
        <w:t xml:space="preserve">ADVANCED › Zero-based Addressing: leave UNCHECKED.</w:t>
      </w:r>
      <w:r>
        <w:t xml:space="preserve"> </w:t>
      </w:r>
      <w:r>
        <w:t xml:space="preserve">Unchecked means each area’s address range starts at 1, which is what the register map in section 4 assumes (</w:t>
      </w:r>
      <w:r>
        <w:rPr>
          <w:rStyle w:val="VerbatimChar"/>
        </w:rPr>
        <w:t xml:space="preserve">HR1</w:t>
      </w:r>
      <w:r>
        <w:t xml:space="preserve"> </w:t>
      </w:r>
      <w:r>
        <w:t xml:space="preserve">is the first holding register). This is the setting that decides whether section 6 step 1’s checks pass.</w:t>
      </w:r>
    </w:p>
    <w:p>
      <w:pPr>
        <w:numPr>
          <w:ilvl w:val="0"/>
          <w:numId w:val="1006"/>
        </w:numPr>
      </w:pPr>
      <w:r>
        <w:rPr>
          <w:b/>
          <w:bCs/>
        </w:rPr>
        <w:t xml:space="preserve">ADVANCED › Reverse Word Order: leave UNCHECKED</w:t>
      </w:r>
      <w:r>
        <w:t xml:space="preserve"> </w:t>
      </w:r>
      <w:r>
        <w:t xml:space="preserve">for now. This is the Ignition-side counterpart to the terminal’s Byte Order setting —</w:t>
      </w:r>
      <w:r>
        <w:t xml:space="preserve"> </w:t>
      </w:r>
      <w:r>
        <w:t xml:space="preserve">“swaps the low and high words in 32-bit values.”</w:t>
      </w:r>
      <w:r>
        <w:t xml:space="preserve"> </w:t>
      </w:r>
      <w:r>
        <w:t xml:space="preserve">With the terminal on Double Word Swap this should not be needed; it is the first thing to toggle if the float reads back scrambled.</w:t>
      </w:r>
    </w:p>
    <w:p>
      <w:pPr>
        <w:numPr>
          <w:ilvl w:val="0"/>
          <w:numId w:val="1006"/>
        </w:numPr>
      </w:pPr>
      <w:r>
        <w:rPr>
          <w:b/>
          <w:bCs/>
        </w:rPr>
        <w:t xml:space="preserve">WRITE REQUESTS › Allow Write Multiple Registers Request: must stay CHECKED.</w:t>
      </w:r>
      <w:r>
        <w:t xml:space="preserve"> </w:t>
      </w:r>
      <w:r>
        <w:t xml:space="preserve">Its own help text warns that disabling it</w:t>
      </w:r>
      <w:r>
        <w:t xml:space="preserve"> </w:t>
      </w:r>
      <w:r>
        <w:t xml:space="preserve">“will break the ability to write 32-bit and String values correctly to registers.”</w:t>
      </w:r>
      <w:r>
        <w:t xml:space="preserve"> </w:t>
      </w:r>
      <w:r>
        <w:t xml:space="preserve">Our setpoint load writes a 32-bit float to</w:t>
      </w:r>
      <w:r>
        <w:t xml:space="preserve"> </w:t>
      </w:r>
      <w:r>
        <w:rPr>
          <w:rStyle w:val="VerbatimChar"/>
        </w:rPr>
        <w:t xml:space="preserve">HRF1030</w:t>
      </w:r>
      <w:r>
        <w:t xml:space="preserve">, which spans two registers — turning this off breaks Flow A specifically.</w:t>
      </w:r>
    </w:p>
    <w:p>
      <w:pPr>
        <w:numPr>
          <w:ilvl w:val="0"/>
          <w:numId w:val="1006"/>
        </w:numPr>
      </w:pPr>
      <w:r>
        <w:t xml:space="preserve">Everything under REQUEST OPTIMIZATION, READ REQUESTS and STRING HANDLING can stay at defaults. The IND570 exposes at most 16 read and 13 write registers, far below every per-request ceiling.</w:t>
      </w:r>
    </w:p>
    <w:p>
      <w:pPr>
        <w:numPr>
          <w:ilvl w:val="0"/>
          <w:numId w:val="1006"/>
        </w:numPr>
      </w:pPr>
      <w:r>
        <w:t xml:space="preserve">Create the test tags below.</w:t>
      </w:r>
    </w:p>
    <w:p>
      <w:pPr>
        <w:pStyle w:val="FirstParagraph"/>
      </w:pPr>
      <w:r>
        <w:t xml:space="preserve">Ignition’s Modbus driver supports single-bit extraction from a holding register with a</w:t>
      </w:r>
      <w:r>
        <w:t xml:space="preserve"> </w:t>
      </w:r>
      <w:r>
        <w:rPr>
          <w:rStyle w:val="VerbatimChar"/>
        </w:rPr>
        <w:t xml:space="preserve">.N</w:t>
      </w:r>
      <w:r>
        <w:t xml:space="preserve"> </w:t>
      </w:r>
      <w:r>
        <w:t xml:space="preserve">suffix, zero-indexed (</w:t>
      </w:r>
      <w:r>
        <w:rPr>
          <w:rStyle w:val="VerbatimChar"/>
        </w:rPr>
        <w:t xml:space="preserve">[Device]HR1024.0</w:t>
      </w:r>
      <w:r>
        <w:t xml:space="preserve"> </w:t>
      </w:r>
      <w:r>
        <w:t xml:space="preserve">is the first bit) — see</w:t>
      </w:r>
      <w:r>
        <w:t xml:space="preserve"> </w:t>
      </w:r>
      <w:hyperlink r:id="rId23">
        <w:r>
          <w:rPr>
            <w:rStyle w:val="Hyperlink"/>
          </w:rPr>
          <w:t xml:space="preserve">Modbus Addressing</w:t>
        </w:r>
      </w:hyperlink>
      <w:r>
        <w:t xml:space="preserve"> </w:t>
      </w:r>
      <w:r>
        <w:t xml:space="preserve">for the full prefix table (</w:t>
      </w:r>
      <w:r>
        <w:rPr>
          <w:rStyle w:val="VerbatimChar"/>
        </w:rPr>
        <w:t xml:space="preserve">HR</w:t>
      </w:r>
      <w:r>
        <w:t xml:space="preserve">,</w:t>
      </w:r>
      <w:r>
        <w:t xml:space="preserve"> </w:t>
      </w:r>
      <w:r>
        <w:rPr>
          <w:rStyle w:val="VerbatimChar"/>
        </w:rPr>
        <w:t xml:space="preserve">HRF</w:t>
      </w:r>
      <w:r>
        <w:t xml:space="preserve">,</w:t>
      </w:r>
      <w:r>
        <w:t xml:space="preserve"> </w:t>
      </w:r>
      <w:r>
        <w:rPr>
          <w:rStyle w:val="VerbatimChar"/>
        </w:rPr>
        <w:t xml:space="preserve">HRUS</w:t>
      </w:r>
      <w:r>
        <w:t xml:space="preserve">,</w:t>
      </w:r>
      <w:r>
        <w:t xml:space="preserve"> </w:t>
      </w:r>
      <w:r>
        <w:rPr>
          <w:rStyle w:val="VerbatimChar"/>
        </w:rPr>
        <w:t xml:space="preserve">C</w:t>
      </w:r>
      <w:r>
        <w:t xml:space="preserve">,</w:t>
      </w:r>
      <w:r>
        <w:t xml:space="preserve"> </w:t>
      </w:r>
      <w:r>
        <w:rPr>
          <w:rStyle w:val="VerbatimChar"/>
        </w:rPr>
        <w:t xml:space="preserve">DI</w:t>
      </w:r>
      <w:r>
        <w:t xml:space="preserve">, …). That matches Mettler’s bit numbering directly, so status flags are plain OPC tags.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OPC address</w:t>
            </w:r>
          </w:p>
        </w:tc>
        <w:tc>
          <w:tcPr>
            <w:shd w:val="clear" w:color="auto" w:fill="1F4E79"/>
          </w:tcPr>
          <w:tcPr/>
          <w:p>
            <w:pPr>
              <w:pStyle w:val="Compact"/>
            </w:pPr>
            <w:r>
              <w:rPr>
                <w:b/>
                <w:color w:val="FFFFFF"/>
              </w:rPr>
              <w:t xml:space="preserve">Type</w:t>
            </w:r>
          </w:p>
        </w:tc>
      </w:tr>
      <w:tr>
        <w:tc>
          <w:tcPr/>
          <w:p>
            <w:pPr>
              <w:pStyle w:val="Compact"/>
            </w:pPr>
            <w:r>
              <w:t xml:space="preserve">Net weight (slot 1)</w:t>
            </w:r>
          </w:p>
        </w:tc>
        <w:tc>
          <w:tcPr/>
          <w:p>
            <w:pPr>
              <w:pStyle w:val="Compact"/>
            </w:pPr>
            <w:r>
              <w:rPr>
                <w:rStyle w:val="VerbatimChar"/>
              </w:rPr>
              <w:t xml:space="preserve">[dev]HRF2</w:t>
            </w:r>
          </w:p>
        </w:tc>
        <w:tc>
          <w:tcPr/>
          <w:p>
            <w:pPr>
              <w:pStyle w:val="Compact"/>
            </w:pPr>
            <w:r>
              <w:t xml:space="preserve">Float32</w:t>
            </w:r>
          </w:p>
        </w:tc>
      </w:tr>
      <w:tr>
        <w:tc>
          <w:tcPr>
            <w:shd w:val="clear" w:color="auto" w:fill="F2F2F2"/>
          </w:tcPr>
          <w:tcPr/>
          <w:p>
            <w:pPr>
              <w:pStyle w:val="Compact"/>
            </w:pPr>
            <w:r>
              <w:t xml:space="preserve">Scale Status (slot 1)</w:t>
            </w:r>
          </w:p>
        </w:tc>
        <w:tc>
          <w:tcPr>
            <w:shd w:val="clear" w:color="auto" w:fill="F2F2F2"/>
          </w:tcPr>
          <w:tcPr/>
          <w:p>
            <w:pPr>
              <w:pStyle w:val="Compact"/>
            </w:pPr>
            <w:r>
              <w:rPr>
                <w:rStyle w:val="VerbatimChar"/>
              </w:rPr>
              <w:t xml:space="preserve">[dev]HR4</w:t>
            </w:r>
          </w:p>
        </w:tc>
        <w:tc>
          <w:tcPr>
            <w:shd w:val="clear" w:color="auto" w:fill="F2F2F2"/>
          </w:tcPr>
          <w:tcPr/>
          <w:p>
            <w:pPr>
              <w:pStyle w:val="Compact"/>
            </w:pPr>
            <w:r>
              <w:t xml:space="preserve">Int16</w:t>
            </w:r>
          </w:p>
        </w:tc>
      </w:tr>
      <w:tr>
        <w:tc>
          <w:tcPr/>
          <w:p>
            <w:pPr>
              <w:pStyle w:val="Compact"/>
            </w:pPr>
            <w:r>
              <w:t xml:space="preserve">Verdict — OK</w:t>
            </w:r>
          </w:p>
        </w:tc>
        <w:tc>
          <w:tcPr/>
          <w:p>
            <w:pPr>
              <w:pStyle w:val="Compact"/>
            </w:pPr>
            <w:r>
              <w:rPr>
                <w:rStyle w:val="VerbatimChar"/>
              </w:rPr>
              <w:t xml:space="preserve">[dev]HR4.2</w:t>
            </w:r>
          </w:p>
        </w:tc>
        <w:tc>
          <w:tcPr/>
          <w:p>
            <w:pPr>
              <w:pStyle w:val="Compact"/>
            </w:pPr>
            <w:r>
              <w:t xml:space="preserve">Boolean</w:t>
            </w:r>
          </w:p>
        </w:tc>
      </w:tr>
      <w:tr>
        <w:tc>
          <w:tcPr>
            <w:shd w:val="clear" w:color="auto" w:fill="F2F2F2"/>
          </w:tcPr>
          <w:tcPr/>
          <w:p>
            <w:pPr>
              <w:pStyle w:val="Compact"/>
            </w:pPr>
            <w:r>
              <w:t xml:space="preserve">Motion</w:t>
            </w:r>
          </w:p>
        </w:tc>
        <w:tc>
          <w:tcPr>
            <w:shd w:val="clear" w:color="auto" w:fill="F2F2F2"/>
          </w:tcPr>
          <w:tcPr/>
          <w:p>
            <w:pPr>
              <w:pStyle w:val="Compact"/>
            </w:pPr>
            <w:r>
              <w:rPr>
                <w:rStyle w:val="VerbatimChar"/>
              </w:rPr>
              <w:t xml:space="preserve">[dev]HR4.12</w:t>
            </w:r>
          </w:p>
        </w:tc>
        <w:tc>
          <w:tcPr>
            <w:shd w:val="clear" w:color="auto" w:fill="F2F2F2"/>
          </w:tcPr>
          <w:tcPr/>
          <w:p>
            <w:pPr>
              <w:pStyle w:val="Compact"/>
            </w:pPr>
            <w:r>
              <w:t xml:space="preserve">Boolean</w:t>
            </w:r>
          </w:p>
        </w:tc>
      </w:tr>
      <w:tr>
        <w:tc>
          <w:tcPr/>
          <w:p>
            <w:pPr>
              <w:pStyle w:val="Compact"/>
            </w:pPr>
            <w:r>
              <w:t xml:space="preserve">Data OK</w:t>
            </w:r>
          </w:p>
        </w:tc>
        <w:tc>
          <w:tcPr/>
          <w:p>
            <w:pPr>
              <w:pStyle w:val="Compact"/>
            </w:pPr>
            <w:r>
              <w:rPr>
                <w:rStyle w:val="VerbatimChar"/>
              </w:rPr>
              <w:t xml:space="preserve">[dev]HR4.15</w:t>
            </w:r>
          </w:p>
        </w:tc>
        <w:tc>
          <w:tcPr/>
          <w:p>
            <w:pPr>
              <w:pStyle w:val="Compact"/>
            </w:pPr>
            <w:r>
              <w:t xml:space="preserve">Boolean</w:t>
            </w:r>
          </w:p>
        </w:tc>
      </w:tr>
      <w:tr>
        <w:tc>
          <w:tcPr>
            <w:shd w:val="clear" w:color="auto" w:fill="F2F2F2"/>
          </w:tcPr>
          <w:tcPr/>
          <w:p>
            <w:pPr>
              <w:pStyle w:val="Compact"/>
            </w:pPr>
            <w:r>
              <w:t xml:space="preserve">Command Response (slot 1)</w:t>
            </w:r>
          </w:p>
        </w:tc>
        <w:tc>
          <w:tcPr>
            <w:shd w:val="clear" w:color="auto" w:fill="F2F2F2"/>
          </w:tcPr>
          <w:tcPr/>
          <w:p>
            <w:pPr>
              <w:pStyle w:val="Compact"/>
            </w:pPr>
            <w:r>
              <w:rPr>
                <w:rStyle w:val="VerbatimChar"/>
              </w:rPr>
              <w:t xml:space="preserve">[dev]HR1</w:t>
            </w:r>
          </w:p>
        </w:tc>
        <w:tc>
          <w:tcPr>
            <w:shd w:val="clear" w:color="auto" w:fill="F2F2F2"/>
          </w:tcPr>
          <w:tcPr/>
          <w:p>
            <w:pPr>
              <w:pStyle w:val="Compact"/>
            </w:pPr>
            <w:r>
              <w:t xml:space="preserve">Int16</w:t>
            </w:r>
          </w:p>
        </w:tc>
      </w:tr>
      <w:tr>
        <w:tc>
          <w:tcPr/>
          <w:p>
            <w:pPr>
              <w:pStyle w:val="Compact"/>
            </w:pPr>
            <w:r>
              <w:t xml:space="preserve">Command register (slot 1)</w:t>
            </w:r>
          </w:p>
        </w:tc>
        <w:tc>
          <w:tcPr/>
          <w:p>
            <w:pPr>
              <w:pStyle w:val="Compact"/>
            </w:pPr>
            <w:r>
              <w:rPr>
                <w:rStyle w:val="VerbatimChar"/>
              </w:rPr>
              <w:t xml:space="preserve">[dev]HR1026</w:t>
            </w:r>
          </w:p>
        </w:tc>
        <w:tc>
          <w:tcPr/>
          <w:p>
            <w:pPr>
              <w:pStyle w:val="Compact"/>
            </w:pPr>
            <w:r>
              <w:t xml:space="preserve">Int16, writeable</w:t>
            </w:r>
          </w:p>
        </w:tc>
      </w:tr>
      <w:tr>
        <w:tc>
          <w:tcPr>
            <w:shd w:val="clear" w:color="auto" w:fill="F2F2F2"/>
          </w:tcPr>
          <w:tcPr/>
          <w:p>
            <w:pPr>
              <w:pStyle w:val="Compact"/>
            </w:pPr>
            <w:r>
              <w:t xml:space="preserve">Command register (slot 2)</w:t>
            </w:r>
          </w:p>
        </w:tc>
        <w:tc>
          <w:tcPr>
            <w:shd w:val="clear" w:color="auto" w:fill="F2F2F2"/>
          </w:tcPr>
          <w:tcPr/>
          <w:p>
            <w:pPr>
              <w:pStyle w:val="Compact"/>
            </w:pPr>
            <w:r>
              <w:rPr>
                <w:rStyle w:val="VerbatimChar"/>
              </w:rPr>
              <w:t xml:space="preserve">[dev]HR1029</w:t>
            </w:r>
          </w:p>
        </w:tc>
        <w:tc>
          <w:tcPr>
            <w:shd w:val="clear" w:color="auto" w:fill="F2F2F2"/>
          </w:tcPr>
          <w:tcPr/>
          <w:p>
            <w:pPr>
              <w:pStyle w:val="Compact"/>
            </w:pPr>
            <w:r>
              <w:t xml:space="preserve">Int16, writeable</w:t>
            </w:r>
          </w:p>
        </w:tc>
      </w:tr>
      <w:tr>
        <w:tc>
          <w:tcPr/>
          <w:p>
            <w:pPr>
              <w:pStyle w:val="Compact"/>
            </w:pPr>
            <w:r>
              <w:t xml:space="preserve">FP Load Value (slot 2)</w:t>
            </w:r>
          </w:p>
        </w:tc>
        <w:tc>
          <w:tcPr/>
          <w:p>
            <w:pPr>
              <w:pStyle w:val="Compact"/>
            </w:pPr>
            <w:r>
              <w:rPr>
                <w:rStyle w:val="VerbatimChar"/>
              </w:rPr>
              <w:t xml:space="preserve">[dev]HRF1030</w:t>
            </w:r>
          </w:p>
        </w:tc>
        <w:tc>
          <w:tcPr/>
          <w:p>
            <w:pPr>
              <w:pStyle w:val="Compact"/>
            </w:pPr>
            <w:r>
              <w:t xml:space="preserve">Float32, writeable</w:t>
            </w:r>
          </w:p>
        </w:tc>
      </w:tr>
    </w:tbl>
    <w:p>
      <w:pPr>
        <w:pStyle w:val="BlockText"/>
      </w:pPr>
      <w:r>
        <w:rPr>
          <w:b/>
          <w:bCs/>
        </w:rPr>
        <w:t xml:space="preserve">Gotcha:</w:t>
      </w:r>
      <w:r>
        <w:t xml:space="preserve"> </w:t>
      </w:r>
      <w:r>
        <w:t xml:space="preserve">a Float32 spans two consecutive 16-bit registers. Byte/word order between the two halves is the most common source of nonsense-looking numbers on this kind of integration. See section 7 before assuming something else is broken.</w:t>
      </w:r>
    </w:p>
    <w:bookmarkEnd w:id="24"/>
    <w:bookmarkStart w:id="25" w:name="live-test-sequence-do-this-together"/>
    <w:p>
      <w:pPr>
        <w:pStyle w:val="Heading1"/>
      </w:pPr>
      <w:r>
        <w:t xml:space="preserve">6. Live Test Sequence (do this together)</w:t>
      </w:r>
    </w:p>
    <w:p>
      <w:pPr>
        <w:pStyle w:val="FirstParagraph"/>
      </w:pPr>
      <w:r>
        <w:rPr>
          <w:b/>
          <w:bCs/>
        </w:rPr>
        <w:t xml:space="preserve">Step 1 — validate addressing before trusting any value.</w:t>
      </w:r>
      <w:r>
        <w:t xml:space="preserve"> </w:t>
      </w:r>
      <w:r>
        <w:t xml:space="preserve">Two checks that fail loudly if the register base is wrong:</w:t>
      </w:r>
    </w:p>
    <w:p>
      <w:pPr>
        <w:pStyle w:val="Compact"/>
        <w:numPr>
          <w:ilvl w:val="0"/>
          <w:numId w:val="1007"/>
        </w:numPr>
      </w:pPr>
      <w:r>
        <w:rPr>
          <w:rStyle w:val="VerbatimChar"/>
        </w:rPr>
        <w:t xml:space="preserve">HR4.5</w:t>
      </w:r>
      <w:r>
        <w:t xml:space="preserve"> </w:t>
      </w:r>
      <w:r>
        <w:t xml:space="preserve">must read</w:t>
      </w:r>
      <w:r>
        <w:t xml:space="preserve"> </w:t>
      </w:r>
      <w:r>
        <w:rPr>
          <w:b/>
          <w:bCs/>
        </w:rPr>
        <w:t xml:space="preserve">1, always.</w:t>
      </w:r>
      <w:r>
        <w:t xml:space="preserve"> </w:t>
      </w:r>
      <w:r>
        <w:t xml:space="preserve">Table B-1 lists Scale Status bit 5 as</w:t>
      </w:r>
      <w:r>
        <w:t xml:space="preserve"> </w:t>
      </w:r>
      <w:r>
        <w:t xml:space="preserve">“Always = 1.”</w:t>
      </w:r>
      <w:r>
        <w:t xml:space="preserve"> </w:t>
      </w:r>
      <w:r>
        <w:t xml:space="preserve">If it reads 0, the base is off — try toggling the one-based/zero-based setting.</w:t>
      </w:r>
    </w:p>
    <w:p>
      <w:pPr>
        <w:pStyle w:val="Compact"/>
        <w:numPr>
          <w:ilvl w:val="0"/>
          <w:numId w:val="1007"/>
        </w:numPr>
      </w:pPr>
      <w:r>
        <w:rPr>
          <w:rStyle w:val="VerbatimChar"/>
        </w:rPr>
        <w:t xml:space="preserve">HR1.13</w:t>
      </w:r>
      <w:r>
        <w:t xml:space="preserve"> </w:t>
      </w:r>
      <w:r>
        <w:t xml:space="preserve">and</w:t>
      </w:r>
      <w:r>
        <w:t xml:space="preserve"> </w:t>
      </w:r>
      <w:r>
        <w:rPr>
          <w:rStyle w:val="VerbatimChar"/>
        </w:rPr>
        <w:t xml:space="preserve">HR4.14</w:t>
      </w:r>
      <w:r>
        <w:t xml:space="preserve"> </w:t>
      </w:r>
      <w:r>
        <w:t xml:space="preserve">must</w:t>
      </w:r>
      <w:r>
        <w:t xml:space="preserve"> </w:t>
      </w:r>
      <w:r>
        <w:rPr>
          <w:b/>
          <w:bCs/>
        </w:rPr>
        <w:t xml:space="preserve">toggle together every update.</w:t>
      </w:r>
      <w:r>
        <w:t xml:space="preserve"> </w:t>
      </w:r>
      <w:r>
        <w:t xml:space="preserve">Both are set for one update, both cleared for the next, continuously. Diverging polarity means the words aren’t from the same slot or the poll is tearing.</w:t>
      </w:r>
    </w:p>
    <w:p>
      <w:pPr>
        <w:pStyle w:val="FirstParagraph"/>
      </w:pPr>
      <w:r>
        <w:rPr>
          <w:b/>
          <w:bCs/>
        </w:rPr>
        <w:t xml:space="preserve">Step 2 — park the command.</w:t>
      </w:r>
      <w:r>
        <w:t xml:space="preserve"> </w:t>
      </w:r>
      <w:r>
        <w:t xml:space="preserve">Write</w:t>
      </w:r>
      <w:r>
        <w:t xml:space="preserve"> </w:t>
      </w:r>
      <w:r>
        <w:rPr>
          <w:rStyle w:val="VerbatimChar"/>
        </w:rPr>
        <w:t xml:space="preserve">11</w:t>
      </w:r>
      <w:r>
        <w:t xml:space="preserve"> </w:t>
      </w:r>
      <w:r>
        <w:t xml:space="preserve">(decimal) into</w:t>
      </w:r>
      <w:r>
        <w:t xml:space="preserve"> </w:t>
      </w:r>
      <w:r>
        <w:rPr>
          <w:rStyle w:val="VerbatimChar"/>
        </w:rPr>
        <w:t xml:space="preserve">HR1026</w:t>
      </w:r>
      <w:r>
        <w:t xml:space="preserve">.</w:t>
      </w:r>
    </w:p>
    <w:p>
      <w:pPr>
        <w:pStyle w:val="BodyText"/>
      </w:pPr>
      <w:r>
        <w:rPr>
          <w:b/>
          <w:bCs/>
        </w:rPr>
        <w:t xml:space="preserve">Step 3 — confirm we’re reading net, not gross.</w:t>
      </w:r>
      <w:r>
        <w:t xml:space="preserve"> </w:t>
      </w:r>
      <w:r>
        <w:t xml:space="preserve">Read</w:t>
      </w:r>
      <w:r>
        <w:t xml:space="preserve"> </w:t>
      </w:r>
      <w:r>
        <w:rPr>
          <w:rStyle w:val="VerbatimChar"/>
        </w:rPr>
        <w:t xml:space="preserve">HR1</w:t>
      </w:r>
      <w:r>
        <w:t xml:space="preserve"> </w:t>
      </w:r>
      <w:r>
        <w:t xml:space="preserve">and check bits 8–12 decode to</w:t>
      </w:r>
      <w:r>
        <w:t xml:space="preserve"> </w:t>
      </w:r>
      <w:r>
        <w:rPr>
          <w:rStyle w:val="VerbatimChar"/>
        </w:rPr>
        <w:t xml:space="preserve">1</w:t>
      </w:r>
      <w:r>
        <w:t xml:space="preserve">. If they decode to</w:t>
      </w:r>
      <w:r>
        <w:t xml:space="preserve"> </w:t>
      </w:r>
      <w:r>
        <w:rPr>
          <w:rStyle w:val="VerbatimChar"/>
        </w:rPr>
        <w:t xml:space="preserve">0</w:t>
      </w:r>
      <w:r>
        <w:t xml:space="preserve">, the command didn’t land and the terminal is reporting</w:t>
      </w:r>
      <w:r>
        <w:t xml:space="preserve"> </w:t>
      </w:r>
      <w:r>
        <w:rPr>
          <w:b/>
          <w:bCs/>
        </w:rPr>
        <w:t xml:space="preserve">gross weight</w:t>
      </w:r>
      <w:r>
        <w:t xml:space="preserve"> </w:t>
      </w:r>
      <w:r>
        <w:t xml:space="preserve">— which will look completely plausible and be entirely wrong.</w:t>
      </w:r>
    </w:p>
    <w:p>
      <w:pPr>
        <w:pStyle w:val="BodyText"/>
      </w:pPr>
      <w:r>
        <w:rPr>
          <w:b/>
          <w:bCs/>
        </w:rPr>
        <w:t xml:space="preserve">Step 4 — compare against the display.</w:t>
      </w:r>
      <w:r>
        <w:t xml:space="preserve"> </w:t>
      </w:r>
      <w:r>
        <w:t xml:space="preserve">Note the terminal’s front-panel weight. Read</w:t>
      </w:r>
      <w:r>
        <w:t xml:space="preserve"> </w:t>
      </w:r>
      <w:r>
        <w:rPr>
          <w:rStyle w:val="VerbatimChar"/>
        </w:rPr>
        <w:t xml:space="preserve">HRF2</w:t>
      </w:r>
      <w:r>
        <w:t xml:space="preserve"> </w:t>
      </w:r>
      <w:r>
        <w:t xml:space="preserve">in Ignition. They should match within the scale’s displayed resolution.</w:t>
      </w:r>
    </w:p>
    <w:p>
      <w:pPr>
        <w:pStyle w:val="BodyText"/>
      </w:pPr>
      <w:r>
        <w:rPr>
          <w:b/>
          <w:bCs/>
        </w:rPr>
        <w:t xml:space="preserve">Step 5 — confirm it tracks.</w:t>
      </w:r>
      <w:r>
        <w:t xml:space="preserve"> </w:t>
      </w:r>
      <w:r>
        <w:t xml:space="preserve">Put weight on and take it off. The Ignition value should follow the display continuously, with no further writes from Ignition. If it only updates once and freezes, the command didn’t stick.</w:t>
      </w:r>
    </w:p>
    <w:p>
      <w:pPr>
        <w:pStyle w:val="BodyText"/>
      </w:pPr>
      <w:r>
        <w:rPr>
          <w:b/>
          <w:bCs/>
        </w:rPr>
        <w:t xml:space="preserve">Step 6 — commissioning commands.</w:t>
      </w:r>
      <w:r>
        <w:t xml:space="preserve"> </w:t>
      </w:r>
      <w:r>
        <w:t xml:space="preserve">Through slot 2, send</w:t>
      </w:r>
      <w:r>
        <w:t xml:space="preserve"> </w:t>
      </w:r>
      <w:r>
        <w:rPr>
          <w:rStyle w:val="VerbatimChar"/>
        </w:rPr>
        <w:t xml:space="preserve">117</w:t>
      </w:r>
      <w:r>
        <w:t xml:space="preserve"> </w:t>
      </w:r>
      <w:r>
        <w:t xml:space="preserve">(target use net weight),</w:t>
      </w:r>
      <w:r>
        <w:t xml:space="preserve"> </w:t>
      </w:r>
      <w:r>
        <w:rPr>
          <w:rStyle w:val="VerbatimChar"/>
        </w:rPr>
        <w:t xml:space="preserve">122</w:t>
      </w:r>
      <w:r>
        <w:t xml:space="preserve"> </w:t>
      </w:r>
      <w:r>
        <w:t xml:space="preserve">(disable target latching), and</w:t>
      </w:r>
      <w:r>
        <w:t xml:space="preserve"> </w:t>
      </w:r>
      <w:r>
        <w:rPr>
          <w:rStyle w:val="VerbatimChar"/>
        </w:rPr>
        <w:t xml:space="preserve">30</w:t>
      </w:r>
      <w:r>
        <w:t xml:space="preserve"> </w:t>
      </w:r>
      <w:r>
        <w:t xml:space="preserve">(report primary units). Confirm command 30 comes back reporting</w:t>
      </w:r>
      <w:r>
        <w:t xml:space="preserve"> </w:t>
      </w:r>
      <w:r>
        <w:rPr>
          <w:b/>
          <w:bCs/>
        </w:rPr>
        <w:t xml:space="preserve">pounds</w:t>
      </w:r>
      <w:r>
        <w:t xml:space="preserve"> </w:t>
      </w:r>
      <w:r>
        <w:t xml:space="preserve">— if a terminal reports anything else, fix it on the front panel rather than reinterpreting the number in software.</w:t>
      </w:r>
    </w:p>
    <w:p>
      <w:pPr>
        <w:pStyle w:val="BodyText"/>
      </w:pPr>
      <w:r>
        <w:rPr>
          <w:b/>
          <w:bCs/>
        </w:rPr>
        <w:t xml:space="preserve">Step 7 — one setpoint load.</w:t>
      </w:r>
      <w:r>
        <w:t xml:space="preserve"> </w:t>
      </w:r>
      <w:r>
        <w:t xml:space="preserve">Through slot 2, run the four-step sequence: FP value +</w:t>
      </w:r>
      <w:r>
        <w:t xml:space="preserve"> </w:t>
      </w:r>
      <w:r>
        <w:rPr>
          <w:rStyle w:val="VerbatimChar"/>
        </w:rPr>
        <w:t xml:space="preserve">110</w:t>
      </w:r>
      <w:r>
        <w:t xml:space="preserve">, FP value +</w:t>
      </w:r>
      <w:r>
        <w:t xml:space="preserve"> </w:t>
      </w:r>
      <w:r>
        <w:rPr>
          <w:rStyle w:val="VerbatimChar"/>
        </w:rPr>
        <w:t xml:space="preserve">131</w:t>
      </w:r>
      <w:r>
        <w:t xml:space="preserve">, FP value +</w:t>
      </w:r>
      <w:r>
        <w:t xml:space="preserve"> </w:t>
      </w:r>
      <w:r>
        <w:rPr>
          <w:rStyle w:val="VerbatimChar"/>
        </w:rPr>
        <w:t xml:space="preserve">112</w:t>
      </w:r>
      <w:r>
        <w:t xml:space="preserve">, then</w:t>
      </w:r>
      <w:r>
        <w:t xml:space="preserve"> </w:t>
      </w:r>
      <w:r>
        <w:rPr>
          <w:rStyle w:val="VerbatimChar"/>
        </w:rPr>
        <w:t xml:space="preserve">114</w:t>
      </w:r>
      <w:r>
        <w:t xml:space="preserve">. Wait for the Command Acknowledge (</w:t>
      </w:r>
      <w:r>
        <w:rPr>
          <w:rStyle w:val="VerbatimChar"/>
        </w:rPr>
        <w:t xml:space="preserve">HR5</w:t>
      </w:r>
      <w:r>
        <w:t xml:space="preserve"> </w:t>
      </w:r>
      <w:r>
        <w:t xml:space="preserve">bits 14–15) to rotate between each. Verify each echoed value in</w:t>
      </w:r>
      <w:r>
        <w:t xml:space="preserve"> </w:t>
      </w:r>
      <w:r>
        <w:rPr>
          <w:rStyle w:val="VerbatimChar"/>
        </w:rPr>
        <w:t xml:space="preserve">HRF6</w:t>
      </w:r>
      <w:r>
        <w:t xml:space="preserve"> </w:t>
      </w:r>
      <w:r>
        <w:t xml:space="preserve">matches what was sent. Then put a known weight on the scale and confirm</w:t>
      </w:r>
      <w:r>
        <w:t xml:space="preserve"> </w:t>
      </w:r>
      <w:r>
        <w:rPr>
          <w:rStyle w:val="VerbatimChar"/>
        </w:rPr>
        <w:t xml:space="preserve">HR4.0</w:t>
      </w:r>
      <w:r>
        <w:t xml:space="preserve"> </w:t>
      </w:r>
      <w:r>
        <w:t xml:space="preserve">/</w:t>
      </w:r>
      <w:r>
        <w:t xml:space="preserve"> </w:t>
      </w:r>
      <w:r>
        <w:rPr>
          <w:rStyle w:val="VerbatimChar"/>
        </w:rPr>
        <w:t xml:space="preserve">HR4.2</w:t>
      </w:r>
      <w:r>
        <w:t xml:space="preserve"> </w:t>
      </w:r>
      <w:r>
        <w:t xml:space="preserve">/</w:t>
      </w:r>
      <w:r>
        <w:t xml:space="preserve"> </w:t>
      </w:r>
      <w:r>
        <w:rPr>
          <w:rStyle w:val="VerbatimChar"/>
        </w:rPr>
        <w:t xml:space="preserve">HR4.4</w:t>
      </w:r>
      <w:r>
        <w:t xml:space="preserve"> </w:t>
      </w:r>
      <w:r>
        <w:t xml:space="preserve">move as Under / OK / Over.</w:t>
      </w:r>
    </w:p>
    <w:bookmarkEnd w:id="25"/>
    <w:bookmarkStart w:id="26" w:name="troubleshooting"/>
    <w:p>
      <w:pPr>
        <w:pStyle w:val="Heading1"/>
      </w:pPr>
      <w:r>
        <w:t xml:space="preserve">7. Troubleshooting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Symptom</w:t>
            </w:r>
          </w:p>
        </w:tc>
        <w:tc>
          <w:tcPr>
            <w:shd w:val="clear" w:color="auto" w:fill="1F4E79"/>
          </w:tcPr>
          <w:tcPr/>
          <w:p>
            <w:pPr>
              <w:pStyle w:val="Compact"/>
            </w:pPr>
            <w:r>
              <w:rPr>
                <w:b/>
                <w:color w:val="FFFFFF"/>
              </w:rPr>
              <w:t xml:space="preserve">Likely cause</w:t>
            </w:r>
          </w:p>
        </w:tc>
        <w:tc>
          <w:tcPr>
            <w:shd w:val="clear" w:color="auto" w:fill="1F4E79"/>
          </w:tcPr>
          <w:tcPr/>
          <w:p>
            <w:pPr>
              <w:pStyle w:val="Compact"/>
            </w:pPr>
            <w:r>
              <w:rPr>
                <w:b/>
                <w:color w:val="FFFFFF"/>
              </w:rPr>
              <w:t xml:space="preserve">What to try</w:t>
            </w:r>
          </w:p>
        </w:tc>
      </w:tr>
      <w:tr>
        <w:tc>
          <w:tcPr/>
          <w:p>
            <w:pPr>
              <w:pStyle w:val="Compact"/>
            </w:pPr>
            <w:r>
              <w:t xml:space="preserve">No connection / device Faulted</w:t>
            </w:r>
          </w:p>
        </w:tc>
        <w:tc>
          <w:tcPr/>
          <w:p>
            <w:pPr>
              <w:pStyle w:val="Compact"/>
            </w:pPr>
            <w:r>
              <w:t xml:space="preserve">IP mismatch, cable/port, or terminal not serving Modbus</w:t>
            </w:r>
          </w:p>
        </w:tc>
        <w:tc>
          <w:tcPr/>
          <w:p>
            <w:pPr>
              <w:pStyle w:val="Compact"/>
            </w:pPr>
            <w:r>
              <w:t xml:space="preserve">Ping the terminal from the Gateway machine. Confirm subnet/gateway. Confirm section 2 outcome.</w:t>
            </w:r>
          </w:p>
        </w:tc>
      </w:tr>
      <w:tr>
        <w:tc>
          <w:tcPr>
            <w:shd w:val="clear" w:color="auto" w:fill="F2F2F2"/>
          </w:tcPr>
          <w:tcPr/>
          <w:p>
            <w:pPr>
              <w:pStyle w:val="Compact"/>
            </w:pPr>
            <w:r>
              <w:t xml:space="preserve">All registers read 0 or garbage</w:t>
            </w:r>
          </w:p>
        </w:tc>
        <w:tc>
          <w:tcPr>
            <w:shd w:val="clear" w:color="auto" w:fill="F2F2F2"/>
          </w:tcPr>
          <w:tcPr/>
          <w:p>
            <w:pPr>
              <w:pStyle w:val="Compact"/>
            </w:pPr>
            <w:r>
              <w:t xml:space="preserve">Register base wrong —</w:t>
            </w:r>
            <w:r>
              <w:t xml:space="preserve"> </w:t>
            </w:r>
            <w:r>
              <w:rPr>
                <w:rStyle w:val="VerbatimChar"/>
              </w:rPr>
              <w:t xml:space="preserve">HR400001</w:t>
            </w:r>
            <w:r>
              <w:t xml:space="preserve"> </w:t>
            </w:r>
            <w:r>
              <w:t xml:space="preserve">instead of</w:t>
            </w:r>
            <w:r>
              <w:t xml:space="preserve"> </w:t>
            </w:r>
            <w:r>
              <w:rPr>
                <w:rStyle w:val="VerbatimChar"/>
              </w:rPr>
              <w:t xml:space="preserve">HR1</w:t>
            </w:r>
            <w:r>
              <w:t xml:space="preserve">, or</w:t>
            </w:r>
            <w:r>
              <w:t xml:space="preserve"> </w:t>
            </w:r>
            <w:r>
              <w:rPr>
                <w:b/>
                <w:bCs/>
              </w:rPr>
              <w:t xml:space="preserve">Zero-based Addressing</w:t>
            </w:r>
            <w:r>
              <w:t xml:space="preserve"> </w:t>
            </w:r>
            <w:r>
              <w:t xml:space="preserve">checked when it should not be</w:t>
            </w:r>
          </w:p>
        </w:tc>
        <w:tc>
          <w:tcPr>
            <w:shd w:val="clear" w:color="auto" w:fill="F2F2F2"/>
          </w:tcPr>
          <w:tcPr/>
          <w:p>
            <w:pPr>
              <w:pStyle w:val="Compact"/>
            </w:pPr>
            <w:r>
              <w:t xml:space="preserve">Run the section 6 step 1 checks.</w:t>
            </w:r>
            <w:r>
              <w:t xml:space="preserve"> </w:t>
            </w:r>
            <w:r>
              <w:rPr>
                <w:rStyle w:val="VerbatimChar"/>
              </w:rPr>
              <w:t xml:space="preserve">HR4.5</w:t>
            </w:r>
            <w:r>
              <w:t xml:space="preserve"> </w:t>
            </w:r>
            <w:r>
              <w:t xml:space="preserve">reading 0 is the tell. Confirm ADVANCED › Zero-based Addressing is UNCHECKED.</w:t>
            </w:r>
          </w:p>
        </w:tc>
      </w:tr>
      <w:tr>
        <w:tc>
          <w:tcPr/>
          <w:p>
            <w:pPr>
              <w:pStyle w:val="Compact"/>
            </w:pPr>
            <w:r>
              <w:t xml:space="preserve">Weight is non-zero but obviously wrong (huge, negative, scrambled)</w:t>
            </w:r>
          </w:p>
        </w:tc>
        <w:tc>
          <w:tcPr/>
          <w:p>
            <w:pPr>
              <w:pStyle w:val="Compact"/>
            </w:pPr>
            <w:r>
              <w:t xml:space="preserve">Byte/word order mismatch</w:t>
            </w:r>
          </w:p>
        </w:tc>
        <w:tc>
          <w:tcPr/>
          <w:p>
            <w:pPr>
              <w:pStyle w:val="Compact"/>
            </w:pPr>
            <w:r>
              <w:t xml:space="preserve">Terminal Byte Order should be Double Word Swap. If still wrong, toggle Ignition’s ADVANCED ›</w:t>
            </w:r>
            <w:r>
              <w:t xml:space="preserve"> </w:t>
            </w:r>
            <w:r>
              <w:rPr>
                <w:b/>
                <w:bCs/>
              </w:rPr>
              <w:t xml:space="preserve">Reverse Word Order</w:t>
            </w:r>
            <w:r>
              <w:t xml:space="preserve">, then work through the terminal’s four Byte Order options against it.</w:t>
            </w:r>
          </w:p>
        </w:tc>
      </w:tr>
      <w:tr>
        <w:tc>
          <w:tcPr>
            <w:shd w:val="clear" w:color="auto" w:fill="F2F2F2"/>
          </w:tcPr>
          <w:tcPr/>
          <w:p>
            <w:pPr>
              <w:pStyle w:val="Compact"/>
            </w:pPr>
            <w:r>
              <w:rPr>
                <w:b/>
                <w:bCs/>
              </w:rPr>
              <w:t xml:space="preserve">Weight looks plausible but is consistently high</w:t>
            </w:r>
          </w:p>
        </w:tc>
        <w:tc>
          <w:tcPr>
            <w:shd w:val="clear" w:color="auto" w:fill="F2F2F2"/>
          </w:tcPr>
          <w:tcPr/>
          <w:p>
            <w:pPr>
              <w:pStyle w:val="Compact"/>
            </w:pPr>
            <w:r>
              <w:rPr>
                <w:b/>
                <w:bCs/>
              </w:rPr>
              <w:t xml:space="preserve">Reporting gross, not net</w:t>
            </w:r>
            <w:r>
              <w:t xml:space="preserve"> </w:t>
            </w:r>
            <w:r>
              <w:t xml:space="preserve">— command register is 0 after a power cycle</w:t>
            </w:r>
          </w:p>
        </w:tc>
        <w:tc>
          <w:tcPr>
            <w:shd w:val="clear" w:color="auto" w:fill="F2F2F2"/>
          </w:tcPr>
          <w:tcPr/>
          <w:p>
            <w:pPr>
              <w:pStyle w:val="Compact"/>
            </w:pPr>
            <w:r>
              <w:t xml:space="preserve">Check</w:t>
            </w:r>
            <w:r>
              <w:t xml:space="preserve"> </w:t>
            </w:r>
            <w:r>
              <w:rPr>
                <w:rStyle w:val="VerbatimChar"/>
              </w:rPr>
              <w:t xml:space="preserve">HR1</w:t>
            </w:r>
            <w:r>
              <w:t xml:space="preserve"> </w:t>
            </w:r>
            <w:r>
              <w:t xml:space="preserve">bits 8–12 decode to</w:t>
            </w:r>
            <w:r>
              <w:t xml:space="preserve"> </w:t>
            </w:r>
            <w:r>
              <w:rPr>
                <w:rStyle w:val="VerbatimChar"/>
              </w:rPr>
              <w:t xml:space="preserve">1</w:t>
            </w:r>
            <w:r>
              <w:t xml:space="preserve">. Re-write</w:t>
            </w:r>
            <w:r>
              <w:t xml:space="preserve"> </w:t>
            </w:r>
            <w:r>
              <w:rPr>
                <w:rStyle w:val="VerbatimChar"/>
              </w:rPr>
              <w:t xml:space="preserve">11</w:t>
            </w:r>
            <w:r>
              <w:t xml:space="preserve"> </w:t>
            </w:r>
            <w:r>
              <w:t xml:space="preserve">to</w:t>
            </w:r>
            <w:r>
              <w:t xml:space="preserve"> </w:t>
            </w:r>
            <w:r>
              <w:rPr>
                <w:rStyle w:val="VerbatimChar"/>
              </w:rPr>
              <w:t xml:space="preserve">HR1026</w:t>
            </w:r>
            <w:r>
              <w:t xml:space="preserve">. This must be re-parked on every reconnect.</w:t>
            </w:r>
          </w:p>
        </w:tc>
      </w:tr>
      <w:tr>
        <w:tc>
          <w:tcPr/>
          <w:p>
            <w:pPr>
              <w:pStyle w:val="Compact"/>
            </w:pPr>
            <w:r>
              <w:t xml:space="preserve">Value close but missing decimal precision</w:t>
            </w:r>
          </w:p>
        </w:tc>
        <w:tc>
          <w:tcPr/>
          <w:p>
            <w:pPr>
              <w:pStyle w:val="Compact"/>
            </w:pPr>
            <w:r>
              <w:t xml:space="preserve">Format is Integer/Divisions, not Floating Point</w:t>
            </w:r>
          </w:p>
        </w:tc>
        <w:tc>
          <w:tcPr/>
          <w:p>
            <w:pPr>
              <w:pStyle w:val="Compact"/>
            </w:pPr>
            <w:r>
              <w:t xml:space="preserve">Confirm Format = Floating Point. Remember changing Format wipes Message Slots.</w:t>
            </w:r>
          </w:p>
        </w:tc>
      </w:tr>
      <w:tr>
        <w:tc>
          <w:tcPr>
            <w:shd w:val="clear" w:color="auto" w:fill="F2F2F2"/>
          </w:tcPr>
          <w:tcPr/>
          <w:p>
            <w:pPr>
              <w:pStyle w:val="Compact"/>
            </w:pPr>
            <w:r>
              <w:t xml:space="preserve">Value updates once then freezes</w:t>
            </w:r>
          </w:p>
        </w:tc>
        <w:tc>
          <w:tcPr>
            <w:shd w:val="clear" w:color="auto" w:fill="F2F2F2"/>
          </w:tcPr>
          <w:tcPr/>
          <w:p>
            <w:pPr>
              <w:pStyle w:val="Compact"/>
            </w:pPr>
            <w:r>
              <w:t xml:space="preserve">Command didn’t stick in the register</w:t>
            </w:r>
          </w:p>
        </w:tc>
        <w:tc>
          <w:tcPr>
            <w:shd w:val="clear" w:color="auto" w:fill="F2F2F2"/>
          </w:tcPr>
          <w:tcPr/>
          <w:p>
            <w:pPr>
              <w:pStyle w:val="Compact"/>
            </w:pPr>
            <w:r>
              <w:t xml:space="preserve">Read</w:t>
            </w:r>
            <w:r>
              <w:t xml:space="preserve"> </w:t>
            </w:r>
            <w:r>
              <w:rPr>
                <w:rStyle w:val="VerbatimChar"/>
              </w:rPr>
              <w:t xml:space="preserve">HR1026</w:t>
            </w:r>
            <w:r>
              <w:t xml:space="preserve"> </w:t>
            </w:r>
            <w:r>
              <w:t xml:space="preserve">back to confirm the write landed. Do</w:t>
            </w:r>
            <w:r>
              <w:t xml:space="preserve"> </w:t>
            </w:r>
            <w:r>
              <w:rPr>
                <w:b/>
                <w:bCs/>
              </w:rPr>
              <w:t xml:space="preserve">not</w:t>
            </w:r>
            <w:r>
              <w:t xml:space="preserve"> </w:t>
            </w:r>
            <w:r>
              <w:t xml:space="preserve">add a repeating write — the command is meant to be sticky.</w:t>
            </w:r>
          </w:p>
        </w:tc>
      </w:tr>
      <w:tr>
        <w:tc>
          <w:tcPr/>
          <w:p>
            <w:pPr>
              <w:pStyle w:val="Compact"/>
            </w:pPr>
            <w:r>
              <w:t xml:space="preserve">Setpoint load rejected, FP Indicator reads</w:t>
            </w:r>
            <w:r>
              <w:t xml:space="preserve"> </w:t>
            </w:r>
            <w:r>
              <w:rPr>
                <w:rStyle w:val="VerbatimChar"/>
              </w:rPr>
              <w:t xml:space="preserve">31</w:t>
            </w:r>
          </w:p>
        </w:tc>
        <w:tc>
          <w:tcPr/>
          <w:p>
            <w:pPr>
              <w:pStyle w:val="Compact"/>
            </w:pPr>
            <w:r>
              <w:t xml:space="preserve">Invalid command — the terminal has Fill-570 after all</w:t>
            </w:r>
          </w:p>
        </w:tc>
        <w:tc>
          <w:tcPr/>
          <w:p>
            <w:pPr>
              <w:pStyle w:val="Compact"/>
            </w:pPr>
            <w:r>
              <w:t xml:space="preserve">Commands become 170 / 173 / 174 / 119. Re-verify the licensing question.</w:t>
            </w:r>
          </w:p>
        </w:tc>
      </w:tr>
      <w:tr>
        <w:tc>
          <w:tcPr>
            <w:shd w:val="clear" w:color="auto" w:fill="F2F2F2"/>
          </w:tcPr>
          <w:tcPr/>
          <w:p>
            <w:pPr>
              <w:pStyle w:val="Compact"/>
            </w:pPr>
            <w:r>
              <w:t xml:space="preserve">Verdict bits never change</w:t>
            </w:r>
          </w:p>
        </w:tc>
        <w:tc>
          <w:tcPr>
            <w:shd w:val="clear" w:color="auto" w:fill="F2F2F2"/>
          </w:tcPr>
          <w:tcPr/>
          <w:p>
            <w:pPr>
              <w:pStyle w:val="Compact"/>
            </w:pPr>
            <w:r>
              <w:t xml:space="preserve">Target comparison not started, or wrong target mode</w:t>
            </w:r>
          </w:p>
        </w:tc>
        <w:tc>
          <w:tcPr>
            <w:shd w:val="clear" w:color="auto" w:fill="F2F2F2"/>
          </w:tcPr>
          <w:tcPr/>
          <w:p>
            <w:pPr>
              <w:pStyle w:val="Compact"/>
            </w:pPr>
            <w:r>
              <w:t xml:space="preserve">Confirm</w:t>
            </w:r>
            <w:r>
              <w:t xml:space="preserve"> </w:t>
            </w:r>
            <w:r>
              <w:rPr>
                <w:rStyle w:val="VerbatimChar"/>
              </w:rPr>
              <w:t xml:space="preserve">114</w:t>
            </w:r>
            <w:r>
              <w:t xml:space="preserve"> </w:t>
            </w:r>
            <w:r>
              <w:t xml:space="preserve">was sent and acknowledged. Confirm over/under mode (section 3.3).</w:t>
            </w:r>
          </w:p>
        </w:tc>
      </w:tr>
      <w:tr>
        <w:tc>
          <w:tcPr/>
          <w:p>
            <w:pPr>
              <w:pStyle w:val="Compact"/>
            </w:pPr>
            <w:r>
              <w:t xml:space="preserve">Device config refuses to save,</w:t>
            </w:r>
            <w:r>
              <w:t xml:space="preserve"> </w:t>
            </w:r>
            <w:r>
              <w:t xml:space="preserve">“This configuration has N invalid fields”</w:t>
            </w:r>
          </w:p>
        </w:tc>
        <w:tc>
          <w:tcPr/>
          <w:p>
            <w:pPr>
              <w:pStyle w:val="Compact"/>
            </w:pPr>
            <w:r>
              <w:t xml:space="preserve">A blank</w:t>
            </w:r>
            <w:r>
              <w:t xml:space="preserve"> </w:t>
            </w:r>
            <w:r>
              <w:rPr>
                <w:b/>
                <w:bCs/>
              </w:rPr>
              <w:t xml:space="preserve">Address Mapping</w:t>
            </w:r>
            <w:r>
              <w:t xml:space="preserve"> </w:t>
            </w:r>
            <w:r>
              <w:t xml:space="preserve">row with empty PREFIX / MODBUS ADDRESS</w:t>
            </w:r>
          </w:p>
        </w:tc>
        <w:tc>
          <w:tcPr/>
          <w:p>
            <w:pPr>
              <w:pStyle w:val="Compact"/>
            </w:pPr>
            <w:r>
              <w:rPr>
                <w:b/>
                <w:bCs/>
              </w:rPr>
              <w:t xml:space="preserve">Delete</w:t>
            </w:r>
            <w:r>
              <w:t xml:space="preserve"> </w:t>
            </w:r>
            <w:r>
              <w:t xml:space="preserve">the row. Address mapping is optional and we do not use it — see section 5 step 3.</w:t>
            </w:r>
          </w:p>
        </w:tc>
      </w:tr>
      <w:tr>
        <w:tc>
          <w:tcPr>
            <w:shd w:val="clear" w:color="auto" w:fill="F2F2F2"/>
          </w:tcPr>
          <w:tcPr/>
          <w:p>
            <w:pPr>
              <w:pStyle w:val="Compact"/>
            </w:pPr>
            <w:r>
              <w:t xml:space="preserve">Reads fine, setpoint float write fails or corrupts</w:t>
            </w:r>
          </w:p>
        </w:tc>
        <w:tc>
          <w:tcPr>
            <w:shd w:val="clear" w:color="auto" w:fill="F2F2F2"/>
          </w:tcPr>
          <w:tcPr/>
          <w:p>
            <w:pPr>
              <w:pStyle w:val="Compact"/>
            </w:pPr>
            <w:r>
              <w:rPr>
                <w:b/>
                <w:bCs/>
              </w:rPr>
              <w:t xml:space="preserve">Allow Write Multiple Registers Request</w:t>
            </w:r>
            <w:r>
              <w:t xml:space="preserve"> </w:t>
            </w:r>
            <w:r>
              <w:t xml:space="preserve">unchecked</w:t>
            </w:r>
          </w:p>
        </w:tc>
        <w:tc>
          <w:tcPr>
            <w:shd w:val="clear" w:color="auto" w:fill="F2F2F2"/>
          </w:tcPr>
          <w:tcPr/>
          <w:p>
            <w:pPr>
              <w:pStyle w:val="Compact"/>
            </w:pPr>
            <w:r>
              <w:t xml:space="preserve">Re-check it. A 32-bit float spans two registers and needs function code 0x10.</w:t>
            </w:r>
          </w:p>
        </w:tc>
      </w:tr>
    </w:tbl>
    <w:bookmarkEnd w:id="26"/>
    <w:bookmarkStart w:id="34" w:name="reference-material"/>
    <w:p>
      <w:pPr>
        <w:pStyle w:val="Heading1"/>
      </w:pPr>
      <w:r>
        <w:t xml:space="preserve">8. Reference Material</w:t>
      </w:r>
    </w:p>
    <w:bookmarkStart w:id="28" w:name="vendor-documentation"/>
    <w:p>
      <w:pPr>
        <w:pStyle w:val="Heading2"/>
      </w:pPr>
      <w:r>
        <w:t xml:space="preserve">Vendor documentation</w:t>
      </w:r>
    </w:p>
    <w:p>
      <w:pPr>
        <w:numPr>
          <w:ilvl w:val="0"/>
          <w:numId w:val="1008"/>
        </w:numPr>
      </w:pPr>
      <w:hyperlink r:id="rId9">
        <w:r>
          <w:rPr>
            <w:rStyle w:val="Hyperlink"/>
            <w:b/>
            <w:bCs/>
          </w:rPr>
          <w:t xml:space="preserve">METTLER TOLEDO IND570 PLC Interface Manual</w:t>
        </w:r>
        <w:r>
          <w:rPr>
            <w:rStyle w:val="Hyperlink"/>
          </w:rPr>
          <w:t xml:space="preserve">, document #30205335</w:t>
        </w:r>
      </w:hyperlink>
      <w:r>
        <w:t xml:space="preserve"> </w:t>
      </w:r>
      <w:r>
        <w:t xml:space="preserve">— the authority for everything in sections 4 and 6. Chapter 5 (Modbus TCP), Appendix B (Floating Point Format — status bits, command table, worked handshake examples), Appendix C.2 (Byte Order).</w:t>
      </w:r>
    </w:p>
    <w:p>
      <w:pPr>
        <w:numPr>
          <w:ilvl w:val="0"/>
          <w:numId w:val="1008"/>
        </w:numPr>
      </w:pPr>
      <w:hyperlink r:id="rId15">
        <w:r>
          <w:rPr>
            <w:rStyle w:val="Hyperlink"/>
            <w:b/>
            <w:bCs/>
          </w:rPr>
          <w:t xml:space="preserve">IND570 User’s Guide</w:t>
        </w:r>
        <w:r>
          <w:rPr>
            <w:rStyle w:val="Hyperlink"/>
          </w:rPr>
          <w:t xml:space="preserve">, document #30205308</w:t>
        </w:r>
      </w:hyperlink>
      <w:r>
        <w:t xml:space="preserve"> </w:t>
      </w:r>
      <w:r>
        <w:t xml:space="preserve">—</w:t>
      </w:r>
      <w:r>
        <w:t xml:space="preserve"> </w:t>
      </w:r>
      <w:r>
        <w:rPr>
          <w:b/>
          <w:bCs/>
        </w:rPr>
        <w:t xml:space="preserve">Tom’s reference for section 3.</w:t>
      </w:r>
      <w:r>
        <w:t xml:space="preserve"> </w:t>
      </w:r>
      <w:r>
        <w:t xml:space="preserve">The terminal-side setup menus live here, not in the PLC manual: Setup › Application › Target (including over/under vs material transfer mode), scale calibration, and the serial-port output modes. If a menu in section 3 doesn’t look the way this guide describes it, check here first.</w:t>
      </w:r>
    </w:p>
    <w:p>
      <w:pPr>
        <w:numPr>
          <w:ilvl w:val="0"/>
          <w:numId w:val="1008"/>
        </w:numPr>
      </w:pPr>
      <w:hyperlink r:id="rId27">
        <w:r>
          <w:rPr>
            <w:rStyle w:val="Hyperlink"/>
          </w:rPr>
          <w:t xml:space="preserve">IND570 Quick Guide, document #30205355</w:t>
        </w:r>
      </w:hyperlink>
      <w:r>
        <w:t xml:space="preserve"> </w:t>
      </w:r>
      <w:r>
        <w:t xml:space="preserve">— condensed front-panel reference, handy to have printed at the terminal.</w:t>
      </w:r>
    </w:p>
    <w:bookmarkEnd w:id="28"/>
    <w:bookmarkStart w:id="31" w:name="ignition-documentation"/>
    <w:p>
      <w:pPr>
        <w:pStyle w:val="Heading2"/>
      </w:pPr>
      <w:r>
        <w:t xml:space="preserve">Ignition documentation</w:t>
      </w:r>
    </w:p>
    <w:p>
      <w:pPr>
        <w:numPr>
          <w:ilvl w:val="0"/>
          <w:numId w:val="1009"/>
        </w:numPr>
      </w:pPr>
      <w:hyperlink r:id="rId23">
        <w:r>
          <w:rPr>
            <w:rStyle w:val="Hyperlink"/>
          </w:rPr>
          <w:t xml:space="preserve">Modbus Addressing</w:t>
        </w:r>
      </w:hyperlink>
      <w:r>
        <w:t xml:space="preserve"> </w:t>
      </w:r>
      <w:r>
        <w:t xml:space="preserve">— the prefix table (</w:t>
      </w:r>
      <w:r>
        <w:rPr>
          <w:rStyle w:val="VerbatimChar"/>
        </w:rPr>
        <w:t xml:space="preserve">HR</w:t>
      </w:r>
      <w:r>
        <w:t xml:space="preserve">,</w:t>
      </w:r>
      <w:r>
        <w:t xml:space="preserve"> </w:t>
      </w:r>
      <w:r>
        <w:rPr>
          <w:rStyle w:val="VerbatimChar"/>
        </w:rPr>
        <w:t xml:space="preserve">HRF</w:t>
      </w:r>
      <w:r>
        <w:t xml:space="preserve">,</w:t>
      </w:r>
      <w:r>
        <w:t xml:space="preserve"> </w:t>
      </w:r>
      <w:r>
        <w:rPr>
          <w:rStyle w:val="VerbatimChar"/>
        </w:rPr>
        <w:t xml:space="preserve">HRUS</w:t>
      </w:r>
      <w:r>
        <w:t xml:space="preserve">,</w:t>
      </w:r>
      <w:r>
        <w:t xml:space="preserve"> </w:t>
      </w:r>
      <w:r>
        <w:rPr>
          <w:rStyle w:val="VerbatimChar"/>
        </w:rPr>
        <w:t xml:space="preserve">HRI</w:t>
      </w:r>
      <w:r>
        <w:t xml:space="preserve">,</w:t>
      </w:r>
      <w:r>
        <w:t xml:space="preserve"> </w:t>
      </w:r>
      <w:r>
        <w:rPr>
          <w:rStyle w:val="VerbatimChar"/>
        </w:rPr>
        <w:t xml:space="preserve">C</w:t>
      </w:r>
      <w:r>
        <w:t xml:space="preserve">,</w:t>
      </w:r>
      <w:r>
        <w:t xml:space="preserve"> </w:t>
      </w:r>
      <w:r>
        <w:rPr>
          <w:rStyle w:val="VerbatimChar"/>
        </w:rPr>
        <w:t xml:space="preserve">DI</w:t>
      </w:r>
      <w:r>
        <w:t xml:space="preserve">, …) and the</w:t>
      </w:r>
      <w:r>
        <w:t xml:space="preserve"> </w:t>
      </w:r>
      <w:r>
        <w:rPr>
          <w:rStyle w:val="VerbatimChar"/>
        </w:rPr>
        <w:t xml:space="preserve">.N</w:t>
      </w:r>
      <w:r>
        <w:t xml:space="preserve"> </w:t>
      </w:r>
      <w:r>
        <w:t xml:space="preserve">bit-suffix syntax used throughout section 5.</w:t>
      </w:r>
    </w:p>
    <w:p>
      <w:pPr>
        <w:numPr>
          <w:ilvl w:val="0"/>
          <w:numId w:val="1009"/>
        </w:numPr>
      </w:pPr>
      <w:hyperlink r:id="rId22">
        <w:r>
          <w:rPr>
            <w:rStyle w:val="Hyperlink"/>
          </w:rPr>
          <w:t xml:space="preserve">Connecting to a Modbus Device</w:t>
        </w:r>
      </w:hyperlink>
      <w:r>
        <w:t xml:space="preserve"> </w:t>
      </w:r>
      <w:r>
        <w:t xml:space="preserve">— device-connection settings, including the one-based/zero-based addressing option.</w:t>
      </w:r>
    </w:p>
    <w:p>
      <w:pPr>
        <w:numPr>
          <w:ilvl w:val="0"/>
          <w:numId w:val="1009"/>
        </w:numPr>
      </w:pPr>
      <w:hyperlink r:id="rId29">
        <w:r>
          <w:rPr>
            <w:rStyle w:val="Hyperlink"/>
          </w:rPr>
          <w:t xml:space="preserve">getBit expression function</w:t>
        </w:r>
      </w:hyperlink>
      <w:r>
        <w:t xml:space="preserve"> </w:t>
      </w:r>
      <w:r>
        <w:t xml:space="preserve">— used to decode the multi-bit FP Indicator and Command Acknowledge fields (section 4.2). Zero-indexed, LSB at position 0, matching Mettler’s numbering.</w:t>
      </w:r>
    </w:p>
    <w:p>
      <w:pPr>
        <w:numPr>
          <w:ilvl w:val="0"/>
          <w:numId w:val="1009"/>
        </w:numPr>
      </w:pPr>
      <w:hyperlink r:id="rId30">
        <w:r>
          <w:rPr>
            <w:rStyle w:val="Hyperlink"/>
          </w:rPr>
          <w:t xml:space="preserve">Inductive Automation forum,</w:t>
        </w:r>
        <w:r>
          <w:rPr>
            <w:rStyle w:val="Hyperlink"/>
          </w:rPr>
          <w:t xml:space="preserve"> </w:t>
        </w:r>
        <w:r>
          <w:rPr>
            <w:rStyle w:val="Hyperlink"/>
          </w:rPr>
          <w:t xml:space="preserve">“Metler Toledo IND570 Weight Data (float)”</w:t>
        </w:r>
      </w:hyperlink>
      <w:r>
        <w:t xml:space="preserve"> </w:t>
      </w:r>
      <w:r>
        <w:t xml:space="preserve">— community precedent for this exact terminal on Ignition, including working byte-order and addressing combinations. Useful as a second opinion, but the manual is authoritative — the forum thread’s register numbers were flagged by its own author as best guesses.</w:t>
      </w:r>
    </w:p>
    <w:bookmarkEnd w:id="31"/>
    <w:bookmarkStart w:id="33" w:name="blue-ridge-internal"/>
    <w:p>
      <w:pPr>
        <w:pStyle w:val="Heading2"/>
      </w:pPr>
      <w:r>
        <w:t xml:space="preserve">Blue Ridge internal</w:t>
      </w:r>
    </w:p>
    <w:p>
      <w:pPr>
        <w:numPr>
          <w:ilvl w:val="0"/>
          <w:numId w:val="1010"/>
        </w:numPr>
      </w:pPr>
      <w:r>
        <w:rPr>
          <w:rStyle w:val="VerbatimChar"/>
          <w:b/>
          <w:bCs/>
        </w:rPr>
        <w:t xml:space="preserve">reference/IND570_PLC_Interface_Manual.md</w:t>
      </w:r>
      <w:r>
        <w:t xml:space="preserve"> </w:t>
      </w:r>
      <w:r>
        <w:t xml:space="preserve">— in-repo searchable extract of the manual above, page-anchored and greppable. Figures are not in the extract; use the web PDF for wiring diagrams and screenshots.</w:t>
      </w:r>
    </w:p>
    <w:p>
      <w:pPr>
        <w:numPr>
          <w:ilvl w:val="0"/>
          <w:numId w:val="1010"/>
        </w:numPr>
      </w:pPr>
      <w:r>
        <w:rPr>
          <w:rStyle w:val="VerbatimChar"/>
          <w:b/>
          <w:bCs/>
        </w:rPr>
        <w:t xml:space="preserve">docs/superpowers/specs/2026-08-27-ind570-scale-udt-modbus-tcp-design.md</w:t>
      </w:r>
      <w:r>
        <w:t xml:space="preserve"> </w:t>
      </w:r>
      <w:r>
        <w:t xml:space="preserve">— the UDT design, both data flows, the</w:t>
      </w:r>
      <w:r>
        <w:t xml:space="preserve"> </w:t>
      </w:r>
      <w:r>
        <w:rPr>
          <w:rStyle w:val="VerbatimChar"/>
        </w:rPr>
        <w:t xml:space="preserve">ContainerConfig.ToleranceWeight</w:t>
      </w:r>
      <w:r>
        <w:t xml:space="preserve"> </w:t>
      </w:r>
      <w:r>
        <w:t xml:space="preserve">schema change, and why each decision was made.</w:t>
      </w:r>
    </w:p>
    <w:p>
      <w:pPr>
        <w:numPr>
          <w:ilvl w:val="0"/>
          <w:numId w:val="1010"/>
        </w:numPr>
      </w:pPr>
      <w:r>
        <w:rPr>
          <w:rStyle w:val="VerbatimChar"/>
          <w:b/>
          <w:bCs/>
        </w:rPr>
        <w:t xml:space="preserve">notes/2026-08-12_mpp-opc-consolidation-assessment.md</w:t>
      </w:r>
      <w:r>
        <w:t xml:space="preserve"> </w:t>
      </w:r>
      <w:r>
        <w:t xml:space="preserve">— the earlier assessment that listed these 7 scales as un-migratable. Superseded: they connect to Ignition natively, and OmniServer can be retired entirely.</w:t>
      </w:r>
    </w:p>
    <w:p>
      <w:pPr>
        <w:pStyle w:val="BlockText"/>
      </w:pPr>
      <w:r>
        <w:rPr>
          <w:b/>
          <w:bCs/>
        </w:rPr>
        <w:t xml:space="preserve">Not applicable:</w:t>
      </w:r>
      <w:r>
        <w:t xml:space="preserve"> </w:t>
      </w:r>
      <w:r>
        <w:t xml:space="preserve">the</w:t>
      </w:r>
      <w:r>
        <w:t xml:space="preserve"> </w:t>
      </w:r>
      <w:hyperlink r:id="rId32">
        <w:r>
          <w:rPr>
            <w:rStyle w:val="Hyperlink"/>
          </w:rPr>
          <w:t xml:space="preserve">IND570 Shared Data Reference, document #30205337</w:t>
        </w:r>
      </w:hyperlink>
      <w:r>
        <w:t xml:space="preserve">. Manual Table B-4 note 9 states outright that</w:t>
      </w:r>
      <w:r>
        <w:t xml:space="preserve"> </w:t>
      </w:r>
      <w:r>
        <w:rPr>
          <w:i/>
          <w:iCs/>
        </w:rPr>
        <w:t xml:space="preserve">“Shared data is not available with the AB-RIO, DeviceNet and Modbus TCP.”</w:t>
      </w:r>
      <w:r>
        <w:t xml:space="preserve"> </w:t>
      </w:r>
      <w:r>
        <w:t xml:space="preserve">Command 160 (Apply scale setup) also does not function over this path. Linked so nobody spends an afternoon working out why the</w:t>
      </w:r>
      <w:r>
        <w:t xml:space="preserve"> </w:t>
      </w:r>
      <w:r>
        <w:rPr>
          <w:rStyle w:val="VerbatimChar"/>
        </w:rPr>
        <w:t xml:space="preserve">wt0101</w:t>
      </w:r>
      <w:r>
        <w:t xml:space="preserve">-style variable names don’t resolve.</w:t>
      </w:r>
    </w:p>
    <w:bookmarkEnd w:id="33"/>
    <w:bookmarkEnd w:id="34"/>
    <w:bookmarkStart w:id="35" w:name="Xa5050344bc3f6e31d78d0711856d89628028461"/>
    <w:p>
      <w:pPr>
        <w:pStyle w:val="Heading1"/>
      </w:pPr>
      <w:r>
        <w:t xml:space="preserve">9. Worksheet — Fill In As We Go (Terminal #1 of 7)</w:t>
      </w:r>
    </w:p>
    <w:p>
      <w:pPr>
        <w:pStyle w:val="FirstParagraph"/>
      </w:pPr>
      <w:r>
        <w:t xml:space="preserve">Everything the manual settled has been removed from this table. What’s left is genuinely per-site. This becomes the template for scales 2–7 — each gets its own IP, but the Format / Byte Order / Message Slot / target-mode choices should stay identical across all seven.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Setting</w:t>
            </w:r>
          </w:p>
        </w:tc>
        <w:tc>
          <w:tcPr>
            <w:shd w:val="clear" w:color="auto" w:fill="1F4E79"/>
          </w:tcPr>
          <w:tcPr/>
          <w:p>
            <w:pPr>
              <w:pStyle w:val="Compact"/>
            </w:pPr>
            <w:r>
              <w:rPr>
                <w:b/>
                <w:color w:val="FFFFFF"/>
              </w:rPr>
              <w:t xml:space="preserve">Value</w:t>
            </w:r>
          </w:p>
        </w:tc>
      </w:tr>
      <w:tr>
        <w:tc>
          <w:tcPr/>
          <w:p>
            <w:pPr>
              <w:pStyle w:val="Compact"/>
            </w:pPr>
            <w:r>
              <w:t xml:space="preserve">Protocol path (concurrent / selector found / master reset needed)</w:t>
            </w:r>
          </w:p>
        </w:tc>
        <w:tc>
          <w:tcPr/>
          <w:p>
            <w:pPr>
              <w:pStyle w:val="Compact"/>
            </w:pPr>
          </w:p>
        </w:tc>
      </w:tr>
      <w:tr>
        <w:tc>
          <w:tcPr>
            <w:shd w:val="clear" w:color="auto" w:fill="F2F2F2"/>
          </w:tcPr>
          <w:tcPr/>
          <w:p>
            <w:pPr>
              <w:pStyle w:val="Compact"/>
            </w:pPr>
            <w:r>
              <w:t xml:space="preserve">Anything still an active EtherNet/IP client?</w:t>
            </w:r>
          </w:p>
        </w:tc>
        <w:tc>
          <w:tcPr>
            <w:shd w:val="clear" w:color="auto" w:fill="F2F2F2"/>
          </w:tcPr>
          <w:tcPr/>
          <w:p>
            <w:pPr>
              <w:pStyle w:val="Compact"/>
            </w:pPr>
          </w:p>
        </w:tc>
      </w:tr>
      <w:tr>
        <w:tc>
          <w:tcPr/>
          <w:p>
            <w:pPr>
              <w:pStyle w:val="Compact"/>
            </w:pPr>
            <w:r>
              <w:t xml:space="preserve">Terminal IP address</w:t>
            </w:r>
          </w:p>
        </w:tc>
        <w:tc>
          <w:tcPr/>
          <w:p>
            <w:pPr>
              <w:pStyle w:val="Compact"/>
            </w:pPr>
          </w:p>
        </w:tc>
      </w:tr>
      <w:tr>
        <w:tc>
          <w:tcPr>
            <w:shd w:val="clear" w:color="auto" w:fill="F2F2F2"/>
          </w:tcPr>
          <w:tcPr/>
          <w:p>
            <w:pPr>
              <w:pStyle w:val="Compact"/>
            </w:pPr>
            <w:r>
              <w:t xml:space="preserve">Subnet mask</w:t>
            </w:r>
          </w:p>
        </w:tc>
        <w:tc>
          <w:tcPr>
            <w:shd w:val="clear" w:color="auto" w:fill="F2F2F2"/>
          </w:tcPr>
          <w:tcPr/>
          <w:p>
            <w:pPr>
              <w:pStyle w:val="Compact"/>
            </w:pPr>
          </w:p>
        </w:tc>
      </w:tr>
      <w:tr>
        <w:tc>
          <w:tcPr/>
          <w:p>
            <w:pPr>
              <w:pStyle w:val="Compact"/>
            </w:pPr>
            <w:r>
              <w:t xml:space="preserve">Gateway address</w:t>
            </w:r>
          </w:p>
        </w:tc>
        <w:tc>
          <w:tcPr/>
          <w:p>
            <w:pPr>
              <w:pStyle w:val="Compact"/>
            </w:pPr>
          </w:p>
        </w:tc>
      </w:tr>
      <w:tr>
        <w:tc>
          <w:tcPr>
            <w:shd w:val="clear" w:color="auto" w:fill="F2F2F2"/>
          </w:tcPr>
          <w:tcPr/>
          <w:p>
            <w:pPr>
              <w:pStyle w:val="Compact"/>
            </w:pPr>
            <w:r>
              <w:t xml:space="preserve">MAC address (informational)</w:t>
            </w:r>
          </w:p>
        </w:tc>
        <w:tc>
          <w:tcPr>
            <w:shd w:val="clear" w:color="auto" w:fill="F2F2F2"/>
          </w:tcPr>
          <w:tcPr/>
          <w:p>
            <w:pPr>
              <w:pStyle w:val="Compact"/>
            </w:pPr>
          </w:p>
        </w:tc>
      </w:tr>
      <w:tr>
        <w:tc>
          <w:tcPr/>
          <w:p>
            <w:pPr>
              <w:pStyle w:val="Compact"/>
            </w:pPr>
            <w:r>
              <w:t xml:space="preserve">Zero-based Addressing checked or unchecked?</w:t>
            </w:r>
          </w:p>
        </w:tc>
        <w:tc>
          <w:tcPr/>
          <w:p>
            <w:pPr>
              <w:pStyle w:val="Compact"/>
            </w:pPr>
          </w:p>
        </w:tc>
      </w:tr>
      <w:tr>
        <w:tc>
          <w:tcPr>
            <w:shd w:val="clear" w:color="auto" w:fill="F2F2F2"/>
          </w:tcPr>
          <w:tcPr/>
          <w:p>
            <w:pPr>
              <w:pStyle w:val="Compact"/>
            </w:pPr>
            <w:r>
              <w:t xml:space="preserve">Reverse Word Order needed?</w:t>
            </w:r>
          </w:p>
        </w:tc>
        <w:tc>
          <w:tcPr>
            <w:shd w:val="clear" w:color="auto" w:fill="F2F2F2"/>
          </w:tcPr>
          <w:tcPr/>
          <w:p>
            <w:pPr>
              <w:pStyle w:val="Compact"/>
            </w:pPr>
          </w:p>
        </w:tc>
      </w:tr>
      <w:tr>
        <w:tc>
          <w:tcPr/>
          <w:p>
            <w:pPr>
              <w:pStyle w:val="Compact"/>
            </w:pPr>
            <w:r>
              <w:rPr>
                <w:rStyle w:val="VerbatimChar"/>
              </w:rPr>
              <w:t xml:space="preserve">HR4.5</w:t>
            </w:r>
            <w:r>
              <w:t xml:space="preserve"> </w:t>
            </w:r>
            <w:r>
              <w:t xml:space="preserve">reads 1?</w:t>
            </w:r>
          </w:p>
        </w:tc>
        <w:tc>
          <w:tcPr/>
          <w:p>
            <w:pPr>
              <w:pStyle w:val="Compact"/>
            </w:pPr>
          </w:p>
        </w:tc>
      </w:tr>
      <w:tr>
        <w:tc>
          <w:tcPr>
            <w:shd w:val="clear" w:color="auto" w:fill="F2F2F2"/>
          </w:tcPr>
          <w:tcPr/>
          <w:p>
            <w:pPr>
              <w:pStyle w:val="Compact"/>
            </w:pPr>
            <w:r>
              <w:t xml:space="preserve">Integrity bits toggle together?</w:t>
            </w:r>
          </w:p>
        </w:tc>
        <w:tc>
          <w:tcPr>
            <w:shd w:val="clear" w:color="auto" w:fill="F2F2F2"/>
          </w:tcPr>
          <w:tcPr/>
          <w:p>
            <w:pPr>
              <w:pStyle w:val="Compact"/>
            </w:pPr>
          </w:p>
        </w:tc>
      </w:tr>
      <w:tr>
        <w:tc>
          <w:tcPr/>
          <w:p>
            <w:pPr>
              <w:pStyle w:val="Compact"/>
            </w:pPr>
            <w:r>
              <w:t xml:space="preserve">Primary units reported by command 30</w:t>
            </w:r>
          </w:p>
        </w:tc>
        <w:tc>
          <w:tcPr/>
          <w:p>
            <w:pPr>
              <w:pStyle w:val="Compact"/>
            </w:pPr>
          </w:p>
        </w:tc>
      </w:tr>
      <w:tr>
        <w:tc>
          <w:tcPr>
            <w:shd w:val="clear" w:color="auto" w:fill="F2F2F2"/>
          </w:tcPr>
          <w:tcPr/>
          <w:p>
            <w:pPr>
              <w:pStyle w:val="Compact"/>
            </w:pPr>
            <w:r>
              <w:t xml:space="preserve">Front-panel weight vs</w:t>
            </w:r>
            <w:r>
              <w:t xml:space="preserve"> </w:t>
            </w:r>
            <w:r>
              <w:rPr>
                <w:rStyle w:val="VerbatimChar"/>
              </w:rPr>
              <w:t xml:space="preserve">HRF2</w:t>
            </w:r>
            <w:r>
              <w:t xml:space="preserve"> </w:t>
            </w:r>
            <w:r>
              <w:t xml:space="preserve">— match?</w:t>
            </w:r>
          </w:p>
        </w:tc>
        <w:tc>
          <w:tcPr>
            <w:shd w:val="clear" w:color="auto" w:fill="F2F2F2"/>
          </w:tcPr>
          <w:tcPr/>
          <w:p>
            <w:pPr>
              <w:pStyle w:val="Compact"/>
            </w:pPr>
          </w:p>
        </w:tc>
      </w:tr>
      <w:tr>
        <w:tc>
          <w:tcPr/>
          <w:p>
            <w:pPr>
              <w:pStyle w:val="Compact"/>
            </w:pPr>
            <w:r>
              <w:t xml:space="preserve">Byte order confirmed working</w:t>
            </w:r>
          </w:p>
        </w:tc>
        <w:tc>
          <w:tcPr/>
          <w:p>
            <w:pPr>
              <w:pStyle w:val="Compact"/>
            </w:pPr>
          </w:p>
        </w:tc>
      </w:tr>
      <w:tr>
        <w:tc>
          <w:tcPr>
            <w:shd w:val="clear" w:color="auto" w:fill="F2F2F2"/>
          </w:tcPr>
          <w:tcPr/>
          <w:p>
            <w:pPr>
              <w:pStyle w:val="Compact"/>
            </w:pPr>
            <w:r>
              <w:t xml:space="preserve">Target mode set to over/under?</w:t>
            </w:r>
          </w:p>
        </w:tc>
        <w:tc>
          <w:tcPr>
            <w:shd w:val="clear" w:color="auto" w:fill="F2F2F2"/>
          </w:tcPr>
          <w:tcPr/>
          <w:p>
            <w:pPr>
              <w:pStyle w:val="Compact"/>
            </w:pPr>
          </w:p>
        </w:tc>
      </w:tr>
      <w:tr>
        <w:tc>
          <w:tcPr/>
          <w:p>
            <w:pPr>
              <w:pStyle w:val="Compact"/>
            </w:pPr>
            <w:r>
              <w:t xml:space="preserve">Notes / anything unusual</w:t>
            </w:r>
          </w:p>
        </w:tc>
        <w:tc>
          <w:tcPr/>
          <w:p>
            <w:pPr>
              <w:pStyle w:val="Compact"/>
            </w:pPr>
          </w:p>
        </w:tc>
      </w:tr>
    </w:tbl>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forum.inductiveautomation.com/t/metler-toledo-ind570-weight-data-float/31892" TargetMode="External" /><Relationship Type="http://schemas.openxmlformats.org/officeDocument/2006/relationships/hyperlink" Id="rId29" Target="https://www.docs.inductiveautomation.com/docs/8.1/appendix/expression-functions/logic/getBit" TargetMode="External" /><Relationship Type="http://schemas.openxmlformats.org/officeDocument/2006/relationships/hyperlink" Id="rId22" Target="https://www.docs.inductiveautomation.com/docs/8.3/ignition-modules/opc-ua/opc-ua-drivers/modbus/connecting-to-modbus-device" TargetMode="External" /><Relationship Type="http://schemas.openxmlformats.org/officeDocument/2006/relationships/hyperlink" Id="rId23" Target="https://www.docs.inductiveautomation.com/docs/8.3/ignition-modules/opc-ua/opc-ua-drivers/modbus/modbus-addressing" TargetMode="External" /><Relationship Type="http://schemas.openxmlformats.org/officeDocument/2006/relationships/hyperlink" Id="rId15" Target="https://www.mt.com/dam/product_organizations/industry/IndustrialTerminals/30205308_R07_MAN_IND570_UG_EN.pdf" TargetMode="External" /><Relationship Type="http://schemas.openxmlformats.org/officeDocument/2006/relationships/hyperlink" Id="rId9" Target="https://www.mt.com/dam/product_organizations/industry/IndustrialTerminals/30205335_12_MAN_PLC_IND570_EN.pdf" TargetMode="External" /><Relationship Type="http://schemas.openxmlformats.org/officeDocument/2006/relationships/hyperlink" Id="rId32" Target="https://www.mt.com/dam/product_organizations/industry/IndustrialTerminals/30205337_R04_MAN_SDREF_IND570_EN.pdf" TargetMode="External" /><Relationship Type="http://schemas.openxmlformats.org/officeDocument/2006/relationships/hyperlink" Id="rId27" Target="https://www.mt.com/dam/product_organizations/industry/IndustrialTerminals/30205355_06_MAN_QG_IND570_ML_A4.pdf" TargetMode="External" /></Relationships>
</file>

<file path=word/_rels/footnotes.xml.rels><?xml version="1.0" encoding="UTF-8"?><Relationships xmlns="http://schemas.openxmlformats.org/package/2006/relationships"><Relationship Type="http://schemas.openxmlformats.org/officeDocument/2006/relationships/hyperlink" Id="rId30" Target="https://forum.inductiveautomation.com/t/metler-toledo-ind570-weight-data-float/31892" TargetMode="External" /><Relationship Type="http://schemas.openxmlformats.org/officeDocument/2006/relationships/hyperlink" Id="rId29" Target="https://www.docs.inductiveautomation.com/docs/8.1/appendix/expression-functions/logic/getBit" TargetMode="External" /><Relationship Type="http://schemas.openxmlformats.org/officeDocument/2006/relationships/hyperlink" Id="rId22" Target="https://www.docs.inductiveautomation.com/docs/8.3/ignition-modules/opc-ua/opc-ua-drivers/modbus/connecting-to-modbus-device" TargetMode="External" /><Relationship Type="http://schemas.openxmlformats.org/officeDocument/2006/relationships/hyperlink" Id="rId23" Target="https://www.docs.inductiveautomation.com/docs/8.3/ignition-modules/opc-ua/opc-ua-drivers/modbus/modbus-addressing" TargetMode="External" /><Relationship Type="http://schemas.openxmlformats.org/officeDocument/2006/relationships/hyperlink" Id="rId15" Target="https://www.mt.com/dam/product_organizations/industry/IndustrialTerminals/30205308_R07_MAN_IND570_UG_EN.pdf" TargetMode="External" /><Relationship Type="http://schemas.openxmlformats.org/officeDocument/2006/relationships/hyperlink" Id="rId9" Target="https://www.mt.com/dam/product_organizations/industry/IndustrialTerminals/30205335_12_MAN_PLC_IND570_EN.pdf" TargetMode="External" /><Relationship Type="http://schemas.openxmlformats.org/officeDocument/2006/relationships/hyperlink" Id="rId32" Target="https://www.mt.com/dam/product_organizations/industry/IndustrialTerminals/30205337_R04_MAN_SDREF_IND570_EN.pdf" TargetMode="External" /><Relationship Type="http://schemas.openxmlformats.org/officeDocument/2006/relationships/hyperlink" Id="rId27" Target="https://www.mt.com/dam/product_organizations/industry/IndustrialTerminals/30205355_06_MAN_QG_IND570_ML_A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2026-08-27T17:47:19Z</dcterms:created>
  <dcterms:modified xsi:type="dcterms:W3CDTF">2026-08-27T17:47:19Z</dcterms:modified>
</cp:coreProperties>
</file>

<file path=docProps/custom.xml><?xml version="1.0" encoding="utf-8"?>
<Properties xmlns="http://schemas.openxmlformats.org/officeDocument/2006/custom-properties" xmlns:vt="http://schemas.openxmlformats.org/officeDocument/2006/docPropsVTypes"/>
</file>