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mpp-mes-fds-change-log-pre-release"/>
    <w:p>
      <w:pPr>
        <w:pStyle w:val="Heading1"/>
      </w:pPr>
      <w:r>
        <w:t xml:space="preserve">MPP MES — FDS Change Log (Pre-Release)</w:t>
      </w:r>
    </w:p>
    <w:p>
      <w:pPr>
        <w:pStyle w:val="FirstParagraph"/>
      </w:pPr>
      <w:r>
        <w:rPr>
          <w:b/>
          <w:bCs/>
        </w:rPr>
        <w:t xml:space="preserve">Companion document to:</w:t>
      </w:r>
      <w:r>
        <w:t xml:space="preserve"> </w:t>
      </w:r>
      <w:r>
        <w:rPr>
          <w:rStyle w:val="VerbatimChar"/>
        </w:rPr>
        <w:t xml:space="preserve">MPP_MES_FDS.docx</w:t>
      </w:r>
      <w:r>
        <w:t xml:space="preserve"> </w:t>
      </w:r>
      <w:r>
        <w:rPr>
          <w:b/>
          <w:bCs/>
        </w:rPr>
        <w:t xml:space="preserve">Status:</w:t>
      </w:r>
      <w:r>
        <w:t xml:space="preserve"> </w:t>
      </w:r>
      <w:r>
        <w:t xml:space="preserve">Pre-release — change log lives here while the FDS is in active development. On customer-review release the change log will be reintegrated into the FDS itself.</w:t>
      </w:r>
      <w:r>
        <w:t xml:space="preserve"> </w:t>
      </w:r>
      <w:r>
        <w:rPr>
          <w:b/>
          <w:bCs/>
        </w:rPr>
        <w:t xml:space="preserve">Maintained by:</w:t>
      </w:r>
      <w:r>
        <w:t xml:space="preserve"> </w:t>
      </w:r>
      <w:r>
        <w:t xml:space="preserve">Blue Ridge Automation</w:t>
      </w:r>
    </w:p>
    <w:p>
      <w:r>
        <w:pict>
          <v:rect style="width:0;height:1.5pt" o:hralign="center" o:hrstd="t" o:hr="t"/>
        </w:pict>
      </w:r>
    </w:p>
    <w:bookmarkStart w:id="9" w:name="why-this-is-a-separate-document"/>
    <w:p>
      <w:pPr>
        <w:pStyle w:val="Heading2"/>
      </w:pPr>
      <w:r>
        <w:t xml:space="preserve">Why this is a separate document</w:t>
      </w:r>
    </w:p>
    <w:p>
      <w:pPr>
        <w:pStyle w:val="FirstParagraph"/>
      </w:pPr>
      <w:r>
        <w:t xml:space="preserve">Until the FDS is released to MPP for customer review, every working session produces revisions worth capturing — but the cumulative change history rapidly outgrows what fits cleanly inside the design document. Pages of revision history bury the design content and make the FDS unwieldy.</w:t>
      </w:r>
    </w:p>
    <w:p>
      <w:pPr>
        <w:pStyle w:val="BodyText"/>
      </w:pPr>
      <w:r>
        <w:t xml:space="preserve">We therefore keep two artifacts during development:</w:t>
      </w:r>
    </w:p>
    <w:p>
      <w:pPr>
        <w:pStyle w:val="Compact"/>
        <w:numPr>
          <w:ilvl w:val="0"/>
          <w:numId w:val="1001"/>
        </w:numPr>
      </w:pPr>
      <w:r>
        <w:rPr>
          <w:rStyle w:val="VerbatimChar"/>
          <w:b/>
          <w:bCs/>
        </w:rPr>
        <w:t xml:space="preserve">MPP_MES_FDS.docx</w:t>
      </w:r>
      <w:r>
        <w:t xml:space="preserve"> </w:t>
      </w:r>
      <w:r>
        <w:t xml:space="preserve">— the design document. Front matter shows the current version + date; no in-document change log.</w:t>
      </w:r>
    </w:p>
    <w:p>
      <w:pPr>
        <w:pStyle w:val="Compact"/>
        <w:numPr>
          <w:ilvl w:val="0"/>
          <w:numId w:val="1001"/>
        </w:numPr>
      </w:pPr>
      <w:r>
        <w:rPr>
          <w:rStyle w:val="VerbatimChar"/>
          <w:b/>
          <w:bCs/>
        </w:rPr>
        <w:t xml:space="preserve">MPP_MES_FDS_CHANGELOG.docx</w:t>
      </w:r>
      <w:r>
        <w:t xml:space="preserve"> </w:t>
      </w:r>
      <w:r>
        <w:t xml:space="preserve">— this document. The full revision history of the FDS through pre-release.</w:t>
      </w:r>
    </w:p>
    <w:p>
      <w:pPr>
        <w:pStyle w:val="FirstParagraph"/>
      </w:pPr>
      <w:r>
        <w:t xml:space="preserve">At customer-review release, this change log is reintegrated into the FDS in a tightened form (one entry per release, not per working-session turn) and this standalone artifact is retired or archived. From that point forward, the customer-facing FDS carries its own in-document change log.</w:t>
      </w:r>
    </w:p>
    <w:bookmarkEnd w:id="9"/>
    <w:bookmarkStart w:id="10" w:name="convention"/>
    <w:p>
      <w:pPr>
        <w:pStyle w:val="Heading2"/>
      </w:pPr>
      <w:r>
        <w:t xml:space="preserve">Convention</w:t>
      </w:r>
    </w:p>
    <w:p>
      <w:pPr>
        <w:pStyle w:val="FirstParagraph"/>
      </w:pPr>
      <w:r>
        <w:t xml:space="preserve">Newest at top. Each entry:</w:t>
      </w:r>
      <w:r>
        <w:t xml:space="preserve"> </w:t>
      </w:r>
      <w:r>
        <w:rPr>
          <w:b/>
          <w:bCs/>
        </w:rPr>
        <w:t xml:space="preserve">§ section(s) — driver/topic.</w:t>
      </w:r>
      <w:r>
        <w:t xml:space="preserve"> </w:t>
      </w:r>
      <w:r>
        <w:t xml:space="preserve">Specific FDS-XX-NNN req IDs created or rewritten. Companion data model / OIR / ERD versions where applicable.</w:t>
      </w:r>
    </w:p>
    <w:p>
      <w:r>
        <w:pict>
          <v:rect style="width:0;height:1.5pt" o:hralign="center" o:hrstd="t" o:hr="t"/>
        </w:pict>
      </w:r>
    </w:p>
    <w:bookmarkEnd w:id="10"/>
    <w:bookmarkStart w:id="11"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0.11p</w:t>
            </w:r>
          </w:p>
        </w:tc>
        <w:tc>
          <w:tcPr/>
          <w:p>
            <w:pPr>
              <w:pStyle w:val="Compact"/>
            </w:pPr>
            <w:r>
              <w:t xml:space="preserve">2026-05-01</w:t>
            </w:r>
          </w:p>
        </w:tc>
        <w:tc>
          <w:tcPr/>
          <w:p>
            <w:pPr>
              <w:pStyle w:val="Compact"/>
            </w:pPr>
            <w:r>
              <w:t xml:space="preserve">Blue Ridge Automation</w:t>
            </w:r>
          </w:p>
        </w:tc>
        <w:tc>
          <w:tcPr/>
          <w:p>
            <w:pPr>
              <w:pStyle w:val="Compact"/>
            </w:pPr>
            <w:r>
              <w:rPr>
                <w:b/>
                <w:bCs/>
              </w:rPr>
              <w:t xml:space="preserve">§16 cutover-offset rule + §12.6 banners-only notifications posture + Open Items Register reduced to 6 items.</w:t>
            </w:r>
            <w:r>
              <w:t xml:space="preserve"> </w:t>
            </w:r>
            <w:r>
              <w:t xml:space="preserve">Driven by Jacques’s 2026-05-01 markup of the Outstanding Items extract, which closed 9 OIR items (OI-07, -24, -25, -27, -28, -29, -30, -31, UJ-03).</w:t>
            </w:r>
            <w:r>
              <w:t xml:space="preserve"> </w:t>
            </w:r>
            <w:r>
              <w:rPr>
                <w:b/>
                <w:bCs/>
              </w:rPr>
              <w:t xml:space="preserve">FDS-16-003 amended</w:t>
            </w:r>
            <w:r>
              <w:t xml:space="preserve"> </w:t>
            </w:r>
            <w:r>
              <w:t xml:space="preserve">— cutover-day seeding rule changed from</w:t>
            </w:r>
            <w:r>
              <w:t xml:space="preserve"> </w:t>
            </w:r>
            <w:r>
              <w:t xml:space="preserve">“at or above the Flexware value”</w:t>
            </w:r>
            <w:r>
              <w:t xml:space="preserve"> </w:t>
            </w:r>
            <w:r>
              <w:t xml:space="preserve">to a concrete</w:t>
            </w:r>
            <w:r>
              <w:t xml:space="preserve"> </w:t>
            </w:r>
            <w:r>
              <w:rPr>
                <w:rStyle w:val="VerbatimChar"/>
              </w:rPr>
              <w:t xml:space="preserve">&lt;Flexware-current&gt; + 10,000</w:t>
            </w:r>
            <w:r>
              <w:t xml:space="preserve"> </w:t>
            </w:r>
            <w:r>
              <w:t xml:space="preserve">offset (or MPP-agreed delta). The +10,000 buffer prevents LTT collisions during partial-cutover windows where the legacy and replacement systems mint LOTs in parallel. Sample post-offset cutover seeds:</w:t>
            </w:r>
            <w:r>
              <w:t xml:space="preserve"> </w:t>
            </w:r>
            <w:r>
              <w:rPr>
                <w:rStyle w:val="VerbatimChar"/>
              </w:rPr>
              <w:t xml:space="preserve">Lot=1,720,932</w:t>
            </w:r>
            <w:r>
              <w:t xml:space="preserve">,</w:t>
            </w:r>
            <w:r>
              <w:t xml:space="preserve"> </w:t>
            </w:r>
            <w:r>
              <w:rPr>
                <w:rStyle w:val="VerbatimChar"/>
              </w:rPr>
              <w:t xml:space="preserve">SerializedItem=12,492</w:t>
            </w:r>
            <w:r>
              <w:t xml:space="preserve">. The</w:t>
            </w:r>
            <w:r>
              <w:t xml:space="preserve"> </w:t>
            </w:r>
            <w:r>
              <w:t xml:space="preserve">“Open items (OI-31)”</w:t>
            </w:r>
            <w:r>
              <w:t xml:space="preserve"> </w:t>
            </w:r>
            <w:r>
              <w:t xml:space="preserve">paragraph absorbed into design fact: format carry-forward (</w:t>
            </w:r>
            <w:r>
              <w:rPr>
                <w:rStyle w:val="VerbatimChar"/>
              </w:rPr>
              <w:t xml:space="preserve">MESL{0:D7}</w:t>
            </w:r>
            <w:r>
              <w:t xml:space="preserve"> </w:t>
            </w:r>
            <w:r>
              <w:t xml:space="preserve">/</w:t>
            </w:r>
            <w:r>
              <w:t xml:space="preserve"> </w:t>
            </w:r>
            <w:r>
              <w:rPr>
                <w:rStyle w:val="VerbatimChar"/>
              </w:rPr>
              <w:t xml:space="preserve">MESI{0:D7}</w:t>
            </w:r>
            <w:r>
              <w:t xml:space="preserve"> </w:t>
            </w:r>
            <w:r>
              <w:t xml:space="preserve">retained, no new prefix space), reset policy (none), rollover horizon (~30+ years, no MVP warning mechanism).</w:t>
            </w:r>
            <w:r>
              <w:t xml:space="preserve"> </w:t>
            </w:r>
            <w:r>
              <w:rPr>
                <w:b/>
                <w:bCs/>
              </w:rPr>
              <w:t xml:space="preserve">FDS-12-015 NEW</w:t>
            </w:r>
            <w:r>
              <w:t xml:space="preserve"> </w:t>
            </w:r>
            <w:r>
              <w:t xml:space="preserve">—</w:t>
            </w:r>
            <w:r>
              <w:t xml:space="preserve"> </w:t>
            </w:r>
            <w:r>
              <w:rPr>
                <w:rStyle w:val="VerbatimChar"/>
              </w:rPr>
              <w:t xml:space="preserve">Notifications Posture — MVP</w:t>
            </w:r>
            <w:r>
              <w:t xml:space="preserve"> </w:t>
            </w:r>
            <w:r>
              <w:t xml:space="preserve">subsection (§12.6) establishes that user-facing notifications in MVP are surfaced as banners on workstation terminals via the existing terminal-context broadcast pattern (FDS-07-006a/b, elevation banners, hold tiles, AIM-pool alarm tiles). Text and email notifications are out-of-MVP — may be added as post-deployment change order or follow-on project. The legacy Configuration Tool’s Notifications module is not reproduced.</w:t>
            </w:r>
            <w:r>
              <w:t xml:space="preserve"> </w:t>
            </w:r>
            <w:r>
              <w:rPr>
                <w:b/>
                <w:bCs/>
              </w:rPr>
              <w:t xml:space="preserve">Embedded Open Items Register reduced</w:t>
            </w:r>
            <w:r>
              <w:t xml:space="preserve"> </w:t>
            </w:r>
            <w:r>
              <w:t xml:space="preserve">from 14 unresolved items to 6: dropped OI-07, -24, -25, -27, -28, -29, -30, -31, UJ-03 (all now Resolved per OIR v2.17). Added previously-omitted OI-35 row (long-horizon scaling — HARD GATE before Arc 2 Phase 1 SQL build). Status header updated to</w:t>
            </w:r>
            <w:r>
              <w:t xml:space="preserve"> </w:t>
            </w:r>
            <w:r>
              <w:t xml:space="preserve">“6 unresolved items (0 In Review, 6 Open)”</w:t>
            </w:r>
            <w:r>
              <w:t xml:space="preserve"> </w:t>
            </w:r>
            <w:r>
              <w:t xml:space="preserve">and date refreshed to 2026-05-01. No data-model changes; no SQL changes. Companion OIR v2.17.</w:t>
            </w:r>
          </w:p>
        </w:tc>
      </w:tr>
      <w:tr>
        <w:tc>
          <w:tcPr>
            <w:shd w:val="clear" w:color="auto" w:fill="F2F2F2"/>
          </w:tcPr>
          <w:tcPr/>
          <w:p>
            <w:pPr>
              <w:pStyle w:val="Compact"/>
            </w:pPr>
            <w:r>
              <w:t xml:space="preserve">0.11o</w:t>
            </w:r>
          </w:p>
        </w:tc>
        <w:tc>
          <w:tcPr>
            <w:shd w:val="clear" w:color="auto" w:fill="F2F2F2"/>
          </w:tcPr>
          <w:tcPr/>
          <w:p>
            <w:pPr>
              <w:pStyle w:val="Compact"/>
            </w:pPr>
            <w:r>
              <w:t xml:space="preserve">2026-04-30</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§6.6 / FDS-06-014 —</w:t>
            </w:r>
            <w:r>
              <w:rPr>
                <w:b/>
                <w:bCs/>
              </w:rPr>
              <w:t xml:space="preserve"> </w:t>
            </w:r>
            <w:r>
              <w:rPr>
                <w:rStyle w:val="VerbatimChar"/>
                <w:b/>
                <w:bCs/>
              </w:rPr>
              <w:t xml:space="preserve">ByVision</w:t>
            </w:r>
            <w:r>
              <w:rPr>
                <w:b/>
                <w:bCs/>
              </w:rPr>
              <w:t xml:space="preserve"> </w:t>
            </w:r>
            <w:r>
              <w:rPr>
                <w:b/>
                <w:bCs/>
              </w:rPr>
              <w:t xml:space="preserve">corrected: camera scans the FULL TRAY as a single image, one validation event per tray.</w:t>
            </w:r>
            <w:r>
              <w:t xml:space="preserve"> </w:t>
            </w:r>
            <w:r>
              <w:t xml:space="preserve">Per Jacques 2026-04-30 (during Arc 2 plantFloor mockup review): the prior wording</w:t>
            </w:r>
            <w:r>
              <w:t xml:space="preserve"> </w:t>
            </w:r>
            <w:r>
              <w:t xml:space="preserve">“camera validates each part (pass/fail per piece); the PLC accumulates validated parts”</w:t>
            </w:r>
            <w:r>
              <w:t xml:space="preserve"> </w:t>
            </w:r>
            <w:r>
              <w:t xml:space="preserve">implied per-piece validation that doesn’t match the actual integration. The camera takes a single image of a full tray once it’s presented for inspection and emits one Pass/Fail result for the tray as a whole. A four-tray container therefore yields exactly four passing tray-scan events. Per-tray ConsumptionEvent semantics clarified: one</w:t>
            </w:r>
            <w:r>
              <w:t xml:space="preserve"> </w:t>
            </w:r>
            <w:r>
              <w:rPr>
                <w:rStyle w:val="VerbatimChar"/>
              </w:rPr>
              <w:t xml:space="preserve">Workorder.ConsumptionEvent</w:t>
            </w:r>
            <w:r>
              <w:t xml:space="preserve"> </w:t>
            </w:r>
            <w:r>
              <w:t xml:space="preserve">per BOM component per validated tray (not per piece). Tag names updated:</w:t>
            </w:r>
            <w:r>
              <w:t xml:space="preserve"> </w:t>
            </w:r>
            <w:r>
              <w:rPr>
                <w:rStyle w:val="VerbatimChar"/>
              </w:rPr>
              <w:t xml:space="preserve">TrayPresent</w:t>
            </w:r>
            <w:r>
              <w:t xml:space="preserve"> </w:t>
            </w:r>
            <w:r>
              <w:t xml:space="preserve">(operator positioned tray for scan),</w:t>
            </w:r>
            <w:r>
              <w:t xml:space="preserve"> </w:t>
            </w:r>
            <w:r>
              <w:rPr>
                <w:rStyle w:val="VerbatimChar"/>
              </w:rPr>
              <w:t xml:space="preserve">TrayValidationResult</w:t>
            </w:r>
            <w:r>
              <w:t xml:space="preserve"> </w:t>
            </w:r>
            <w:r>
              <w:t xml:space="preserve">(Pass / Fail),</w:t>
            </w:r>
            <w:r>
              <w:t xml:space="preserve"> </w:t>
            </w:r>
            <w:r>
              <w:rPr>
                <w:rStyle w:val="VerbatimChar"/>
              </w:rPr>
              <w:t xml:space="preserve">TrayFullFlag</w:t>
            </w:r>
            <w:r>
              <w:t xml:space="preserve"> </w:t>
            </w:r>
            <w:r>
              <w:t xml:space="preserve">(asserts on Pass). Same mechanic applies in Sort Cage non-serialized re-pack — uses the same camera scanner. No data-model changes — the per-tray ConsumptionEvent is the natural output of the existing schema (one row per consumption transaction). Mockup at</w:t>
            </w:r>
            <w:r>
              <w:t xml:space="preserve"> </w:t>
            </w:r>
            <w:r>
              <w:rPr>
                <w:rStyle w:val="VerbatimChar"/>
              </w:rPr>
              <w:t xml:space="preserve">mockup/plantFloor.html#terminal/sort-cage</w:t>
            </w:r>
            <w:r>
              <w:t xml:space="preserve"> </w:t>
            </w:r>
            <w:r>
              <w:t xml:space="preserve">and</w:t>
            </w:r>
            <w:r>
              <w:t xml:space="preserve"> </w:t>
            </w:r>
            <w:r>
              <w:rPr>
                <w:rStyle w:val="VerbatimChar"/>
              </w:rPr>
              <w:t xml:space="preserve">#terminal/assembly</w:t>
            </w:r>
            <w:r>
              <w:t xml:space="preserve"> </w:t>
            </w:r>
            <w:r>
              <w:t xml:space="preserve">reflects the per-tray counter pattern.</w:t>
            </w:r>
          </w:p>
        </w:tc>
      </w:tr>
      <w:tr>
        <w:tc>
          <w:tcPr/>
          <w:p>
            <w:pPr>
              <w:pStyle w:val="Compact"/>
            </w:pPr>
            <w:r>
              <w:t xml:space="preserve">0.11n</w:t>
            </w:r>
          </w:p>
        </w:tc>
        <w:tc>
          <w:tcPr/>
          <w:p>
            <w:pPr>
              <w:pStyle w:val="Compact"/>
            </w:pPr>
            <w:r>
              <w:t xml:space="preserve">2026-04-30</w:t>
            </w:r>
          </w:p>
        </w:tc>
        <w:tc>
          <w:tcPr/>
          <w:p>
            <w:pPr>
              <w:pStyle w:val="Compact"/>
            </w:pPr>
            <w:r>
              <w:t xml:space="preserve">Blue Ridge Automation</w:t>
            </w:r>
          </w:p>
        </w:tc>
        <w:tc>
          <w:tcPr/>
          <w:p>
            <w:pPr>
              <w:pStyle w:val="Compact"/>
            </w:pPr>
            <w:r>
              <w:rPr>
                <w:b/>
                <w:bCs/>
              </w:rPr>
              <w:t xml:space="preserve">§9.4 — FDS-09-013 End-of-Shift Time Entry — selection mechanism corrected to button-toggle.</w:t>
            </w:r>
            <w:r>
              <w:t xml:space="preserve"> </w:t>
            </w:r>
            <w:r>
              <w:t xml:space="preserve">Per Jacques 2026-04-30 (during Arc 2 plantFloor mockup review): the prior wording —</w:t>
            </w:r>
            <w:r>
              <w:t xml:space="preserve"> </w:t>
            </w:r>
            <w:r>
              <w:t xml:space="preserve">“confirms lunch (yes / no) and which breaks were taken”</w:t>
            </w:r>
            <w:r>
              <w:t xml:space="preserve"> </w:t>
            </w:r>
            <w:r>
              <w:t xml:space="preserve">with implied dropdown/checkbox UX — was incorrect. The selection mechanism on</w:t>
            </w:r>
            <w:r>
              <w:t xml:space="preserve"> </w:t>
            </w:r>
            <w:r>
              <w:rPr>
                <w:b/>
                <w:bCs/>
              </w:rPr>
              <w:t xml:space="preserve">both terminal modes</w:t>
            </w:r>
            <w:r>
              <w:t xml:space="preserve"> </w:t>
            </w:r>
            <w:r>
              <w:t xml:space="preserve">is</w:t>
            </w:r>
            <w:r>
              <w:t xml:space="preserve"> </w:t>
            </w:r>
            <w:r>
              <w:rPr>
                <w:b/>
                <w:bCs/>
              </w:rPr>
              <w:t xml:space="preserve">toggleable buttons</w:t>
            </w:r>
            <w:r>
              <w:t xml:space="preserve"> </w:t>
            </w:r>
            <w:r>
              <w:t xml:space="preserve">— one per scheduled break (Lunch, Break 1, Break 2…), tap to select, tap again to deselect. There is no numeric duration entry, no dropdown, no checkbox list. Differences between modes are now scoped to identity capture only: Dedicated relies on persistent initials presence; Shared adds an inline initials field plus a 3-button single-select Time Category row (Regular / Overtime / Double-Time). Selecting zero buttons is valid (operator skipped all breaks) — the system records the shift-end acknowledgement and writes no</w:t>
            </w:r>
            <w:r>
              <w:t xml:space="preserve"> </w:t>
            </w:r>
            <w:r>
              <w:rPr>
                <w:rStyle w:val="VerbatimChar"/>
              </w:rPr>
              <w:t xml:space="preserve">DowntimeEvent</w:t>
            </w:r>
            <w:r>
              <w:t xml:space="preserve"> </w:t>
            </w:r>
            <w:r>
              <w:t xml:space="preserve">rows. Underlying mechanic is unchanged: durations and start times come from the shift schedule’s break configuration at submit time; one</w:t>
            </w:r>
            <w:r>
              <w:t xml:space="preserve"> </w:t>
            </w:r>
            <w:r>
              <w:rPr>
                <w:rStyle w:val="VerbatimChar"/>
              </w:rPr>
              <w:t xml:space="preserve">DowntimeEvent</w:t>
            </w:r>
            <w:r>
              <w:t xml:space="preserve"> </w:t>
            </w:r>
            <w:r>
              <w:t xml:space="preserve">row per selected break. No data-model changes. Mockup at</w:t>
            </w:r>
            <w:r>
              <w:t xml:space="preserve"> </w:t>
            </w:r>
            <w:r>
              <w:rPr>
                <w:rStyle w:val="VerbatimChar"/>
              </w:rPr>
              <w:t xml:space="preserve">mockup/plantFloor.html#terminal/end-of-shift</w:t>
            </w:r>
            <w:r>
              <w:t xml:space="preserve"> </w:t>
            </w:r>
            <w:r>
              <w:t xml:space="preserve">demonstrates the pattern — toggleable</w:t>
            </w:r>
            <w:r>
              <w:t xml:space="preserve"> </w:t>
            </w:r>
            <w:r>
              <w:rPr>
                <w:rStyle w:val="VerbatimChar"/>
              </w:rPr>
              <w:t xml:space="preserve">.pf-toggle-btn</w:t>
            </w:r>
            <w:r>
              <w:t xml:space="preserve"> </w:t>
            </w:r>
            <w:r>
              <w:t xml:space="preserve">component with selected-state checkmark. Companion mockup commit landed at</w:t>
            </w:r>
            <w:r>
              <w:t xml:space="preserve"> </w:t>
            </w:r>
            <w:r>
              <w:rPr>
                <w:rStyle w:val="VerbatimChar"/>
              </w:rPr>
              <w:t xml:space="preserve">737d485</w:t>
            </w:r>
            <w:r>
              <w:t xml:space="preserve">.</w:t>
            </w:r>
          </w:p>
        </w:tc>
      </w:tr>
      <w:tr>
        <w:tc>
          <w:tcPr>
            <w:shd w:val="clear" w:color="auto" w:fill="F2F2F2"/>
          </w:tcPr>
          <w:tcPr/>
          <w:p>
            <w:pPr>
              <w:pStyle w:val="Compact"/>
            </w:pPr>
            <w:r>
              <w:t xml:space="preserve">0.11m</w:t>
            </w:r>
          </w:p>
        </w:tc>
        <w:tc>
          <w:tcPr>
            <w:shd w:val="clear" w:color="auto" w:fill="F2F2F2"/>
          </w:tcPr>
          <w:tcPr/>
          <w:p>
            <w:pPr>
              <w:pStyle w:val="Compact"/>
            </w:pPr>
            <w:r>
              <w:t xml:space="preserve">2026-04-28</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2026-04-28 working session — clarity, factual corrections, plant-reality alignment.</w:t>
            </w:r>
            <w:r>
              <w:t xml:space="preserve"> </w:t>
            </w:r>
            <w:r>
              <w:t xml:space="preserve">Consolidated revision entry covering all in-session edits.</w:t>
            </w:r>
            <w:r>
              <w:rPr>
                <w:b/>
                <w:bCs/>
              </w:rPr>
              <w:t xml:space="preserve">Editorial / formatting.</w:t>
            </w:r>
            <w:r>
              <w:t xml:space="preserve"> </w:t>
            </w:r>
            <w:r>
              <w:t xml:space="preserve">Twenty numbered-list intros gained a blank line before the first item (pandoc was rendering them as paragraphs in docx). Document-wide strip of internal</w:t>
            </w:r>
            <w:r>
              <w:t xml:space="preserve"> </w:t>
            </w:r>
            <w:r>
              <w:t xml:space="preserve">“Arc 1”</w:t>
            </w:r>
            <w:r>
              <w:t xml:space="preserve"> </w:t>
            </w:r>
            <w:r>
              <w:t xml:space="preserve">/</w:t>
            </w:r>
            <w:r>
              <w:t xml:space="preserve"> </w:t>
            </w:r>
            <w:r>
              <w:t xml:space="preserve">“Arc 2 Phase N”</w:t>
            </w:r>
            <w:r>
              <w:t xml:space="preserve"> </w:t>
            </w:r>
            <w:r>
              <w:t xml:space="preserve">project-execution markers from body prose (revision-history mentions retained as metadata) — the FDS describes WHAT the system does; WHEN each piece is built belongs in the phased plan. The FDS-05-038</w:t>
            </w:r>
            <w:r>
              <w:t xml:space="preserve"> </w:t>
            </w:r>
            <w:r>
              <w:t xml:space="preserve">“Implementation deferred”</w:t>
            </w:r>
            <w:r>
              <w:t xml:space="preserve"> </w:t>
            </w:r>
            <w:r>
              <w:t xml:space="preserve">admonition (which tracked Phase 1–8 codebase delta) was deleted entirely.</w:t>
            </w:r>
            <w:r>
              <w:rPr>
                <w:b/>
                <w:bCs/>
              </w:rPr>
              <w:t xml:space="preserve">Cross-document references.</w:t>
            </w:r>
            <w:r>
              <w:t xml:space="preserve"> </w:t>
            </w:r>
            <w:r>
              <w:t xml:space="preserve">All references to project deliverables updated to point at their</w:t>
            </w:r>
            <w:r>
              <w:t xml:space="preserve"> </w:t>
            </w:r>
            <w:r>
              <w:rPr>
                <w:rStyle w:val="VerbatimChar"/>
              </w:rPr>
              <w:t xml:space="preserve">.docx</w:t>
            </w:r>
            <w:r>
              <w:t xml:space="preserve"> </w:t>
            </w:r>
            <w:r>
              <w:t xml:space="preserve">counterparts (</w:t>
            </w:r>
            <w:r>
              <w:rPr>
                <w:rStyle w:val="VerbatimChar"/>
              </w:rPr>
              <w:t xml:space="preserve">MPP_MES_DATA_MODEL</w:t>
            </w:r>
            <w:r>
              <w:t xml:space="preserve">,</w:t>
            </w:r>
            <w:r>
              <w:t xml:space="preserve"> </w:t>
            </w:r>
            <w:r>
              <w:rPr>
                <w:rStyle w:val="VerbatimChar"/>
              </w:rPr>
              <w:t xml:space="preserve">MPP_MES_SUMMARY</w:t>
            </w:r>
            <w:r>
              <w:t xml:space="preserve">,</w:t>
            </w:r>
            <w:r>
              <w:t xml:space="preserve"> </w:t>
            </w:r>
            <w:r>
              <w:rPr>
                <w:rStyle w:val="VerbatimChar"/>
              </w:rPr>
              <w:t xml:space="preserve">MPP_MES_USER_JOURNEYS</w:t>
            </w:r>
            <w:r>
              <w:t xml:space="preserve">,</w:t>
            </w:r>
            <w:r>
              <w:t xml:space="preserve"> </w:t>
            </w:r>
            <w:r>
              <w:rPr>
                <w:rStyle w:val="VerbatimChar"/>
              </w:rPr>
              <w:t xml:space="preserve">MPP_MES_Open_Issues_Register</w:t>
            </w:r>
            <w:r>
              <w:t xml:space="preserve">).</w:t>
            </w:r>
            <w:r>
              <w:t xml:space="preserve"> </w:t>
            </w:r>
            <w:r>
              <w:rPr>
                <w:rStyle w:val="VerbatimChar"/>
              </w:rPr>
              <w:t xml:space="preserve">MPP_MES_ERD.html</w:t>
            </w:r>
            <w:r>
              <w:t xml:space="preserve"> </w:t>
            </w:r>
            <w:r>
              <w:t xml:space="preserve">stays as HTML;</w:t>
            </w:r>
            <w:r>
              <w:t xml:space="preserve"> </w:t>
            </w:r>
            <w:r>
              <w:rPr>
                <w:rStyle w:val="VerbatimChar"/>
              </w:rPr>
              <w:t xml:space="preserve">sql_best_practices_mes.md</w:t>
            </w:r>
            <w:r>
              <w:t xml:space="preserve"> </w:t>
            </w:r>
            <w:r>
              <w:t xml:space="preserve">stays as</w:t>
            </w:r>
            <w:r>
              <w:t xml:space="preserve"> </w:t>
            </w:r>
            <w:r>
              <w:rPr>
                <w:rStyle w:val="VerbatimChar"/>
              </w:rPr>
              <w:t xml:space="preserve">.md</w:t>
            </w:r>
            <w:r>
              <w:t xml:space="preserve"> </w:t>
            </w:r>
            <w:r>
              <w:t xml:space="preserve">(no docx counterpart);</w:t>
            </w:r>
            <w:r>
              <w:t xml:space="preserve"> </w:t>
            </w:r>
            <w:r>
              <w:rPr>
                <w:rStyle w:val="VerbatimChar"/>
              </w:rPr>
              <w:t xml:space="preserve">Meeting_Notes/*.md</w:t>
            </w:r>
            <w:r>
              <w:t xml:space="preserve"> </w:t>
            </w:r>
            <w:r>
              <w:t xml:space="preserve">stay as</w:t>
            </w:r>
            <w:r>
              <w:t xml:space="preserve"> </w:t>
            </w:r>
            <w:r>
              <w:rPr>
                <w:rStyle w:val="VerbatimChar"/>
              </w:rPr>
              <w:t xml:space="preserve">.md</w:t>
            </w:r>
            <w:r>
              <w:t xml:space="preserve"> </w:t>
            </w:r>
            <w:r>
              <w:t xml:space="preserve">(working notes, not deliverables).</w:t>
            </w:r>
            <w:r>
              <w:rPr>
                <w:b/>
                <w:bCs/>
              </w:rPr>
              <w:t xml:space="preserve">§1.2 / §1.7 / Glossary / Related-Docs.</w:t>
            </w:r>
            <w:r>
              <w:t xml:space="preserve"> </w:t>
            </w:r>
            <w:r>
              <w:t xml:space="preserve">Schema count corrected from 7 to 8 (Tools schema was missing); FDS-01-002 now enumerates all eight (Location, Parts, Lots, Workorder, Quality, OEE, Tools, Audit). Related-docs version on Data Model bumped from v1.7 (~70 tables) to v1.9 (~73 tables).</w:t>
            </w:r>
            <w:r>
              <w:rPr>
                <w:b/>
                <w:bCs/>
              </w:rPr>
              <w:t xml:space="preserve">§1.4 Data Flow Architecture.</w:t>
            </w:r>
            <w:r>
              <w:t xml:space="preserve"> </w:t>
            </w:r>
            <w:r>
              <w:t xml:space="preserve">ASCII layer diagram in a code block replaced with a proper 4-column table (Layer / Mutability / Tables / What it answers). FDS-01-007 expanded — Tag Historian MAY share the SQL Server instance with the MES but SHALL use a separate database (different access patterns, retention, backup, tuning).</w:t>
            </w:r>
            <w:r>
              <w:rPr>
                <w:b/>
                <w:bCs/>
              </w:rPr>
              <w:t xml:space="preserve">§2.5 Terminals (+ §3.5 / §4.1 / §5.3 follow-ons).</w:t>
            </w:r>
            <w:r>
              <w:t xml:space="preserve"> </w:t>
            </w:r>
            <w:r>
              <w:t xml:space="preserve">Cell-context selection MAY use scan</w:t>
            </w:r>
            <w:r>
              <w:t xml:space="preserve"> </w:t>
            </w:r>
            <w:r>
              <w:rPr>
                <w:b/>
                <w:bCs/>
              </w:rPr>
              <w:t xml:space="preserve">or</w:t>
            </w:r>
            <w:r>
              <w:t xml:space="preserve"> </w:t>
            </w:r>
            <w:r>
              <w:t xml:space="preserve">dropdown (no longer scan-only). FDS-02-009 renamed and rewritten (</w:t>
            </w:r>
            <w:r>
              <w:t xml:space="preserve">“Cell Context Selection”</w:t>
            </w:r>
            <w:r>
              <w:t xml:space="preserve">). FDS-02-010 mode-derivation table refreshed: Cell-parent → Dedicated, WorkCenter-parent → Shared, Area-parent → Shared (was a binary table that lumped WorkCenter with Cell). Examples replaced — Dedicated = paired Machining + Assembly WorkCenter with two Cell-parented sibling terminals; Shared = Die Cast cabin parented to Area; new WorkCenter-shared row added. FDS-02-011 rewritten — dedicated terminals can’t change context; shared terminals change via scan or dropdown only. FDS-02-012 expanded to two eligibility paths (direct + BOM-derived) — components are eligible at any Cell where their parent Item is eligible, eliminating per-component-per-Cell row explosion. FDS-04-003 shared-terminal definition realigned with the new tier rule. FDS-05-008 movement step 2 wording updated for scan-or-dropdown.</w:t>
            </w:r>
            <w:r>
              <w:rPr>
                <w:b/>
                <w:bCs/>
              </w:rPr>
              <w:t xml:space="preserve">§3.6 ContainerConfig + §6.6 Non-Serialized Assembly.</w:t>
            </w:r>
            <w:r>
              <w:t xml:space="preserve"> </w:t>
            </w:r>
            <w:r>
              <w:t xml:space="preserve">Non-serialized closure granularity corrected — validation is</w:t>
            </w:r>
            <w:r>
              <w:t xml:space="preserve"> </w:t>
            </w:r>
            <w:r>
              <w:rPr>
                <w:b/>
                <w:bCs/>
              </w:rPr>
              <w:t xml:space="preserve">tray-level</w:t>
            </w:r>
            <w:r>
              <w:t xml:space="preserve">, with the container as the accumulator.</w:t>
            </w:r>
            <w:r>
              <w:t xml:space="preserve"> </w:t>
            </w:r>
            <w:r>
              <w:rPr>
                <w:rStyle w:val="VerbatimChar"/>
              </w:rPr>
              <w:t xml:space="preserve">ClosureMethod</w:t>
            </w:r>
            <w:r>
              <w:t xml:space="preserve"> </w:t>
            </w:r>
            <w:r>
              <w:t xml:space="preserve">extended with a third value</w:t>
            </w:r>
            <w:r>
              <w:t xml:space="preserve"> </w:t>
            </w:r>
            <w:r>
              <w:rPr>
                <w:rStyle w:val="VerbatimChar"/>
              </w:rPr>
              <w:t xml:space="preserve">ByVision</w:t>
            </w:r>
            <w:r>
              <w:t xml:space="preserve"> </w:t>
            </w:r>
            <w:r>
              <w:t xml:space="preserve">(camera validates each part, PLC asserts</w:t>
            </w:r>
            <w:r>
              <w:t xml:space="preserve"> </w:t>
            </w:r>
            <w:r>
              <w:rPr>
                <w:rStyle w:val="VerbatimChar"/>
              </w:rPr>
              <w:t xml:space="preserve">TrayFullFlag</w:t>
            </w:r>
            <w:r>
              <w:t xml:space="preserve"> </w:t>
            </w:r>
            <w:r>
              <w:t xml:space="preserve">at</w:t>
            </w:r>
            <w:r>
              <w:t xml:space="preserve"> </w:t>
            </w:r>
            <w:r>
              <w:rPr>
                <w:rStyle w:val="VerbatimChar"/>
              </w:rPr>
              <w:t xml:space="preserve">PartsPerTray</w:t>
            </w:r>
            <w:r>
              <w:t xml:space="preserve">); code values renamed to UpperCamelCase per project convention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was</w:t>
            </w:r>
            <w:r>
              <w:t xml:space="preserve"> </w:t>
            </w:r>
            <w:r>
              <w:rPr>
                <w:rStyle w:val="VerbatimChar"/>
              </w:rPr>
              <w:t xml:space="preserve">BY_COUNT</w:t>
            </w:r>
            <w:r>
              <w:t xml:space="preserve"> </w:t>
            </w:r>
            <w:r>
              <w:t xml:space="preserve">/</w:t>
            </w:r>
            <w:r>
              <w:t xml:space="preserve"> </w:t>
            </w:r>
            <w:r>
              <w:rPr>
                <w:rStyle w:val="VerbatimChar"/>
              </w:rPr>
              <w:t xml:space="preserve">BY_WEIGHT</w:t>
            </w:r>
            <w:r>
              <w:t xml:space="preserve">). FDS-03-017 reframed as a two-stage trigger (tray validates, container accumulates). FDS-06-013 (Non-Serialized Assembly) rewritten to drive ConsumptionEvents per tray pass and increment a running container count. FDS-06-014 fully rewritten —</w:t>
            </w:r>
            <w:r>
              <w:t xml:space="preserve"> </w:t>
            </w:r>
            <w:r>
              <w:rPr>
                <w:rStyle w:val="VerbatimChar"/>
              </w:rPr>
              <w:t xml:space="preserve">ClosureMethod</w:t>
            </w:r>
            <w:r>
              <w:t xml:space="preserve"> </w:t>
            </w:r>
            <w:r>
              <w:t xml:space="preserve">table now describes tray-level triggers; container fill is derived in MES from accumulated tray closes (no PLC</w:t>
            </w:r>
            <w:r>
              <w:t xml:space="preserve"> </w:t>
            </w:r>
            <w:r>
              <w:rPr>
                <w:rStyle w:val="VerbatimChar"/>
              </w:rPr>
              <w:t xml:space="preserve">ContainerFullFlag</w:t>
            </w:r>
            <w:r>
              <w:t xml:space="preserve"> </w:t>
            </w:r>
            <w:r>
              <w:t xml:space="preserve">tag needed). Three-tier signal chain made explicit: tray pass → container fill → WO auto-finish. FDS-03-020 prose corrected — was mischaracterizing FDS-03-019 as a</w:t>
            </w:r>
            <w:r>
              <w:t xml:space="preserve"> </w:t>
            </w:r>
            <w:r>
              <w:t xml:space="preserve">“per-container cap”</w:t>
            </w:r>
            <w:r>
              <w:t xml:space="preserve">; it is a per-Item LOT-volume cap at a Cell.</w:t>
            </w:r>
            <w:r>
              <w:rPr>
                <w:b/>
                <w:bCs/>
              </w:rPr>
              <w:t xml:space="preserve">§5.1 / §5.2 LOT Identity + Creation.</w:t>
            </w:r>
            <w:r>
              <w:t xml:space="preserve"> </w:t>
            </w:r>
            <w:r>
              <w:t xml:space="preserve">FDS-05-003 LOT Attributes table cleaned up — legacy</w:t>
            </w:r>
            <w:r>
              <w:t xml:space="preserve"> </w:t>
            </w:r>
            <w:r>
              <w:rPr>
                <w:rStyle w:val="VerbatimChar"/>
              </w:rPr>
              <w:t xml:space="preserve">DieNumber</w:t>
            </w:r>
            <w:r>
              <w:t xml:space="preserve"> </w:t>
            </w:r>
            <w:r>
              <w:t xml:space="preserve">/</w:t>
            </w:r>
            <w:r>
              <w:t xml:space="preserve"> </w:t>
            </w:r>
            <w:r>
              <w:rPr>
                <w:rStyle w:val="VerbatimChar"/>
              </w:rPr>
              <w:t xml:space="preserve">CavityNumber</w:t>
            </w:r>
            <w:r>
              <w:t xml:space="preserve"> </w:t>
            </w:r>
            <w:r>
              <w:t xml:space="preserve">rows removed (superseded by</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per Arc 2 v1.9; columns persist until follow-up migration but the FDS no longer surfaces them as design attributes).</w:t>
            </w:r>
            <w:r>
              <w:t xml:space="preserve"> </w:t>
            </w:r>
            <w:r>
              <w:rPr>
                <w:rStyle w:val="VerbatimChar"/>
              </w:rPr>
              <w:t xml:space="preserve">LotOriginType</w:t>
            </w:r>
            <w:r>
              <w:t xml:space="preserve"> </w:t>
            </w:r>
            <w:r>
              <w:t xml:space="preserve">/</w:t>
            </w:r>
            <w:r>
              <w:t xml:space="preserve"> </w:t>
            </w:r>
            <w:r>
              <w:rPr>
                <w:rStyle w:val="VerbatimChar"/>
              </w:rPr>
              <w:t xml:space="preserve">LotStatus</w:t>
            </w:r>
            <w:r>
              <w:t xml:space="preserve"> </w:t>
            </w:r>
            <w:r>
              <w:t xml:space="preserve">code values rewritten in UpperCamelCase (was</w:t>
            </w:r>
            <w:r>
              <w:t xml:space="preserve"> </w:t>
            </w:r>
            <w:r>
              <w:rPr>
                <w:rStyle w:val="VerbatimChar"/>
              </w:rPr>
              <w:t xml:space="preserve">RECEIVED</w:t>
            </w:r>
            <w:r>
              <w:t xml:space="preserve"> </w:t>
            </w:r>
            <w:r>
              <w:t xml:space="preserve">/</w:t>
            </w:r>
            <w:r>
              <w:t xml:space="preserve"> </w:t>
            </w:r>
            <w:r>
              <w:rPr>
                <w:rStyle w:val="VerbatimChar"/>
              </w:rPr>
              <w:t xml:space="preserve">GOOD</w:t>
            </w:r>
            <w:r>
              <w:t xml:space="preserve"> </w:t>
            </w:r>
            <w:r>
              <w:t xml:space="preserve">/</w:t>
            </w:r>
            <w:r>
              <w:t xml:space="preserve"> </w:t>
            </w:r>
            <w:r>
              <w:rPr>
                <w:rStyle w:val="VerbatimChar"/>
              </w:rPr>
              <w:t xml:space="preserve">HOLD</w:t>
            </w:r>
            <w:r>
              <w:t xml:space="preserve"> </w:t>
            </w:r>
            <w:r>
              <w:t xml:space="preserve">/</w:t>
            </w:r>
            <w:r>
              <w:t xml:space="preserve"> </w:t>
            </w:r>
            <w:r>
              <w:rPr>
                <w:rStyle w:val="VerbatimChar"/>
              </w:rPr>
              <w:t xml:space="preserve">SCRAP</w:t>
            </w:r>
            <w:r>
              <w:t xml:space="preserve"> </w:t>
            </w:r>
            <w:r>
              <w:t xml:space="preserve">/</w:t>
            </w:r>
            <w:r>
              <w:t xml:space="preserve"> </w:t>
            </w:r>
            <w:r>
              <w:rPr>
                <w:rStyle w:val="VerbatimChar"/>
              </w:rPr>
              <w:t xml:space="preserve">CLOSED</w:t>
            </w:r>
            <w:r>
              <w:t xml:space="preserve">).</w:t>
            </w:r>
            <w:r>
              <w:t xml:space="preserve"> </w:t>
            </w:r>
            <w:r>
              <w:rPr>
                <w:rStyle w:val="VerbatimChar"/>
              </w:rPr>
              <w:t xml:space="preserve">MaxPieceCount</w:t>
            </w:r>
            <w:r>
              <w:t xml:space="preserve"> </w:t>
            </w:r>
            <w:r>
              <w:t xml:space="preserve">row clarified as inferred from</w:t>
            </w:r>
            <w:r>
              <w:t xml:space="preserve"> </w:t>
            </w:r>
            <w:r>
              <w:rPr>
                <w:rStyle w:val="VerbatimChar"/>
              </w:rPr>
              <w:t xml:space="preserve">Parts.Item.MaxLotSize</w:t>
            </w:r>
            <w:r>
              <w:t xml:space="preserve"> </w:t>
            </w:r>
            <w:r>
              <w:t xml:space="preserve">(semantic</w:t>
            </w:r>
            <w:r>
              <w:t xml:space="preserve"> </w:t>
            </w:r>
            <w:r>
              <w:rPr>
                <w:rStyle w:val="VerbatimChar"/>
              </w:rPr>
              <w:t xml:space="preserve">PartsPerBasket</w:t>
            </w:r>
            <w:r>
              <w:t xml:space="preserve">).</w:t>
            </w:r>
            <w:r>
              <w:t xml:space="preserve"> </w:t>
            </w:r>
            <w:r>
              <w:rPr>
                <w:rStyle w:val="VerbatimChar"/>
              </w:rPr>
              <w:t xml:space="preserve">ItemId</w:t>
            </w:r>
            <w:r>
              <w:t xml:space="preserve"> </w:t>
            </w:r>
            <w:r>
              <w:t xml:space="preserve">row notes selection is constrained by FDS-02-012 eligibility. FDS-05-004 step 5 wording updated —</w:t>
            </w:r>
            <w:r>
              <w:t xml:space="preserve"> </w:t>
            </w:r>
            <w:r>
              <w:t xml:space="preserve">“Part number is implied by the current order / schedule”</w:t>
            </w:r>
            <w:r>
              <w:t xml:space="preserve"> </w:t>
            </w:r>
            <w:r>
              <w:t xml:space="preserve">was stale (Production WOs are MVP-LITE / invisible per OI-07); now states the operator picks</w:t>
            </w:r>
            <w:r>
              <w:t xml:space="preserve"> </w:t>
            </w:r>
            <w:r>
              <w:rPr>
                <w:rStyle w:val="VerbatimChar"/>
              </w:rPr>
              <w:t xml:space="preserve">ItemId</w:t>
            </w:r>
            <w:r>
              <w:t xml:space="preserve"> </w:t>
            </w:r>
            <w:r>
              <w:t xml:space="preserve">from a dropdown constrained by FDS-02-012 (Option 2 closure of the auto-populate question — no Tool→Item FK added).</w:t>
            </w:r>
            <w:r>
              <w:rPr>
                <w:b/>
                <w:bCs/>
              </w:rPr>
              <w:t xml:space="preserve">§5.10 + FDS-05-033 — Part-identity rename boundary.</w:t>
            </w:r>
            <w:r>
              <w:t xml:space="preserve"> </w:t>
            </w:r>
            <w:r>
              <w:t xml:space="preserve">Moved one step downstream — was described as</w:t>
            </w:r>
            <w:r>
              <w:t xml:space="preserve"> </w:t>
            </w:r>
            <w:r>
              <w:rPr>
                <w:b/>
                <w:bCs/>
              </w:rPr>
              <w:t xml:space="preserve">Casting → Trim</w:t>
            </w:r>
            <w:r>
              <w:t xml:space="preserve"> </w:t>
            </w:r>
            <w:r>
              <w:t xml:space="preserve">(factually incorrect); actually happens at</w:t>
            </w:r>
            <w:r>
              <w:t xml:space="preserve"> </w:t>
            </w:r>
            <w:r>
              <w:rPr>
                <w:b/>
                <w:bCs/>
              </w:rPr>
              <w:t xml:space="preserve">Trim → Machining</w:t>
            </w:r>
            <w:r>
              <w:t xml:space="preserve">. Within Casting and Trim the LOT retains a single cast-part identity (Trim’s sprue/deburr work is yield loss via</w:t>
            </w:r>
            <w:r>
              <w:t xml:space="preserve"> </w:t>
            </w:r>
            <w:r>
              <w:rPr>
                <w:rStyle w:val="VerbatimChar"/>
              </w:rPr>
              <w:t xml:space="preserve">RejectEvent</w:t>
            </w:r>
            <w:r>
              <w:t xml:space="preserve"> </w:t>
            </w:r>
            <w:r>
              <w:t xml:space="preserve">on the same LOT, not a rename). Section heading, requirement title, body prose, BOM/</w:t>
            </w:r>
            <w:r>
              <w:rPr>
                <w:rStyle w:val="VerbatimChar"/>
              </w:rPr>
              <w:t xml:space="preserve">ConsumptionEvent</w:t>
            </w:r>
            <w:r>
              <w:t xml:space="preserve"> </w:t>
            </w:r>
            <w:r>
              <w:t xml:space="preserve">example labels (</w:t>
            </w:r>
            <w:r>
              <w:rPr>
                <w:rStyle w:val="VerbatimChar"/>
              </w:rPr>
              <w:t xml:space="preserve">cast</w:t>
            </w:r>
            <w:r>
              <w:t xml:space="preserve">/</w:t>
            </w:r>
            <w:r>
              <w:rPr>
                <w:rStyle w:val="VerbatimChar"/>
              </w:rPr>
              <w:t xml:space="preserve">trim</w:t>
            </w:r>
            <w:r>
              <w:t xml:space="preserve"> </w:t>
            </w:r>
            <w:r>
              <w:t xml:space="preserve">→</w:t>
            </w:r>
            <w:r>
              <w:t xml:space="preserve"> </w:t>
            </w:r>
            <w:r>
              <w:rPr>
                <w:rStyle w:val="VerbatimChar"/>
              </w:rPr>
              <w:t xml:space="preserve">trim</w:t>
            </w:r>
            <w:r>
              <w:t xml:space="preserve">/</w:t>
            </w:r>
            <w:r>
              <w:rPr>
                <w:rStyle w:val="VerbatimChar"/>
              </w:rPr>
              <w:t xml:space="preserve">machined</w:t>
            </w:r>
            <w:r>
              <w:t xml:space="preserve">), and backward-trace narrative all rewritten consistently. Backward trace from a shipped LOT lands on cast machine / die / cavity in one read after the single Machining-IN consumption hop (the trim/cast LOT and its Die Cast</w:t>
            </w:r>
            <w:r>
              <w:t xml:space="preserve"> </w:t>
            </w:r>
            <w:r>
              <w:rPr>
                <w:rStyle w:val="VerbatimChar"/>
              </w:rPr>
              <w:t xml:space="preserve">ProductionEvent</w:t>
            </w:r>
            <w:r>
              <w:t xml:space="preserve"> </w:t>
            </w:r>
            <w:r>
              <w:t xml:space="preserve">rows share one</w:t>
            </w:r>
            <w:r>
              <w:t xml:space="preserve"> </w:t>
            </w:r>
            <w:r>
              <w:rPr>
                <w:rStyle w:val="VerbatimChar"/>
              </w:rPr>
              <w:t xml:space="preserve">LotId</w:t>
            </w:r>
            <w:r>
              <w:t xml:space="preserve">).</w:t>
            </w:r>
            <w:r>
              <w:rPr>
                <w:b/>
                <w:bCs/>
              </w:rPr>
              <w:t xml:space="preserve">§5.4 + §6.3 + §6.4 — Trim → Machining workflow.</w:t>
            </w:r>
            <w:r>
              <w:t xml:space="preserve"> </w:t>
            </w:r>
            <w:r>
              <w:t xml:space="preserve">Plant-reality alignment. Sub-LOT split moved from Machining IN to</w:t>
            </w:r>
            <w:r>
              <w:t xml:space="preserve"> </w:t>
            </w:r>
            <w:r>
              <w:rPr>
                <w:b/>
                <w:bCs/>
              </w:rPr>
              <w:t xml:space="preserve">Trim OUT</w:t>
            </w:r>
            <w:r>
              <w:t xml:space="preserve">: FDS-05-009 retitled and rewritten — at Trim OUT the parent LOT splits N ways and each sub-LOT is routed to a destination Machining Cell’s FIFO queue (operator selects via scan or dropdown). Sub-LOTs inherit cast/trim</w:t>
            </w:r>
            <w:r>
              <w:t xml:space="preserve"> </w:t>
            </w:r>
            <w:r>
              <w:rPr>
                <w:rStyle w:val="VerbatimChar"/>
              </w:rPr>
              <w:t xml:space="preserve">ItemId</w:t>
            </w:r>
            <w:r>
              <w:t xml:space="preserve">; the rename to the machined Item happens at Machining IN per FDS-05-033. FDS-06-006 (Trim OUT) rewritten to combine the Trim ProductionEvent with the FDS-05-009 sub-LOT split + LotMovement to Machining FIFO. FDS-06-007 (Machining IN) rewritten — no scan-to-receive; operator picks the next sub-LOT from the Cell’s FIFO queue and the system applies the FDS-05-033 rename consumption. FDS-06-008 (Machining OUT) rewritten as event-driven auto-completion: PLC signals completion → MES writes the</w:t>
            </w:r>
            <w:r>
              <w:t xml:space="preserve"> </w:t>
            </w:r>
            <w:r>
              <w:rPr>
                <w:rStyle w:val="VerbatimChar"/>
              </w:rPr>
              <w:t xml:space="preserve">ProductionEvent</w:t>
            </w:r>
            <w:r>
              <w:t xml:space="preserve"> </w:t>
            </w:r>
            <w:r>
              <w:t xml:space="preserve">and auto-moves the machined LOT to the</w:t>
            </w:r>
            <w:r>
              <w:t xml:space="preserve"> </w:t>
            </w:r>
            <w:r>
              <w:rPr>
                <w:b/>
                <w:bCs/>
              </w:rPr>
              <w:t xml:space="preserve">coupled downstream Cell</w:t>
            </w:r>
            <w:r>
              <w:t xml:space="preserve"> </w:t>
            </w:r>
            <w:r>
              <w:t xml:space="preserve">(typically the paired Assembly Cell). New</w:t>
            </w:r>
            <w:r>
              <w:t xml:space="preserve"> </w:t>
            </w:r>
            <w:r>
              <w:rPr>
                <w:rStyle w:val="VerbatimChar"/>
              </w:rPr>
              <w:t xml:space="preserve">CoupledDownstreamCellLocationId</w:t>
            </w:r>
            <w:r>
              <w:t xml:space="preserve"> </w:t>
            </w:r>
            <w:r>
              <w:rPr>
                <w:rStyle w:val="VerbatimChar"/>
              </w:rPr>
              <w:t xml:space="preserve">LocationAttribute</w:t>
            </w:r>
            <w:r>
              <w:t xml:space="preserve"> </w:t>
            </w:r>
            <w:r>
              <w:t xml:space="preserve">on Machining Cells controls the auto-move target (NULL = operator-driven path). Pairing is set up at deployment via the Configuration Tool.</w:t>
            </w:r>
            <w:r>
              <w:rPr>
                <w:b/>
                <w:bCs/>
              </w:rPr>
              <w:t xml:space="preserve">Schema posture.</w:t>
            </w:r>
            <w:r>
              <w:t xml:space="preserve"> </w:t>
            </w:r>
            <w:r>
              <w:t xml:space="preserve">No schema change in this session.</w:t>
            </w:r>
            <w:r>
              <w:t xml:space="preserve"> </w:t>
            </w:r>
            <w:r>
              <w:rPr>
                <w:rStyle w:val="VerbatimChar"/>
              </w:rPr>
              <w:t xml:space="preserve">Parts.v_EffectiveItemLocation</w:t>
            </w:r>
            <w:r>
              <w:t xml:space="preserve"> </w:t>
            </w:r>
            <w:r>
              <w:t xml:space="preserve">(Direct ∪ BomDerived) is a derived view fronting the FDS-02-012 eligibility check at scan-in.</w:t>
            </w:r>
            <w:r>
              <w:t xml:space="preserve"> </w:t>
            </w:r>
            <w:r>
              <w:rPr>
                <w:b/>
                <w:bCs/>
              </w:rPr>
              <w:t xml:space="preserve">Data model follow-ups flagged for next pass:</w:t>
            </w:r>
            <w:r>
              <w:t xml:space="preserve"> </w:t>
            </w:r>
            <w:r>
              <w:t xml:space="preserve">seed</w:t>
            </w:r>
            <w:r>
              <w:t xml:space="preserve"> </w:t>
            </w:r>
            <w:r>
              <w:rPr>
                <w:rStyle w:val="VerbatimChar"/>
              </w:rPr>
              <w:t xml:space="preserve">CoupledDownstreamCellLocationId</w:t>
            </w:r>
            <w:r>
              <w:t xml:space="preserve"> </w:t>
            </w:r>
            <w:r>
              <w:rPr>
                <w:rStyle w:val="VerbatimChar"/>
              </w:rPr>
              <w:t xml:space="preserve">LocationAttributeDefinition</w:t>
            </w:r>
            <w:r>
              <w:t xml:space="preserve"> </w:t>
            </w:r>
            <w:r>
              <w:t xml:space="preserve">under Machining Cell type.</w:t>
            </w:r>
            <w:r>
              <w:t xml:space="preserve"> </w:t>
            </w:r>
            <w:r>
              <w:rPr>
                <w:b/>
                <w:bCs/>
              </w:rPr>
              <w:t xml:space="preserve">FDS follow-up flagged:</w:t>
            </w:r>
            <w:r>
              <w:t xml:space="preserve"> </w:t>
            </w:r>
            <w:r>
              <w:t xml:space="preserve">FDS-06-028 (WO Auto-Finish, §6.10) wording could be sharpened to reference the new tray-by-tray validation source — consistent at the WO tier today but the camera-count description predates the tray-level reframe.</w:t>
            </w:r>
            <w:r>
              <w:rPr>
                <w:b/>
                <w:bCs/>
              </w:rPr>
              <w:t xml:space="preserve">Stale implementation-status note removed.</w:t>
            </w:r>
            <w:r>
              <w:t xml:space="preserve"> </w:t>
            </w:r>
            <w:r>
              <w:t xml:space="preserve">FDS-06-025 carried a callout flagging the OI-07 SQL correction as queued; that migration (</w:t>
            </w:r>
            <w:r>
              <w:rPr>
                <w:rStyle w:val="VerbatimChar"/>
              </w:rPr>
              <w:t xml:space="preserve">0013_oi07_oi12_corrections.sql</w:t>
            </w:r>
            <w:r>
              <w:t xml:space="preserve">) landed earlier in the session with test</w:t>
            </w:r>
            <w:r>
              <w:t xml:space="preserve"> </w:t>
            </w:r>
            <w:r>
              <w:rPr>
                <w:rStyle w:val="VerbatimChar"/>
              </w:rPr>
              <w:t xml:space="preserve">0019/010_Phase_E_additives.sql</w:t>
            </w:r>
            <w:r>
              <w:t xml:space="preserve"> </w:t>
            </w:r>
            <w:r>
              <w:t xml:space="preserve">updated and 858/858 tests passing. The OIR-appendix OI-07 row also shed its trailing</w:t>
            </w:r>
            <w:r>
              <w:t xml:space="preserve"> </w:t>
            </w:r>
            <w:r>
              <w:t xml:space="preserve">“SQL correction migration queued”</w:t>
            </w:r>
            <w:r>
              <w:t xml:space="preserve"> </w:t>
            </w:r>
            <w:r>
              <w:t xml:space="preserve">note for the same reason. Implementation-status metadata of this kind belongs in the SQL repo / phased plan, not the FDS body.</w:t>
            </w:r>
            <w:r>
              <w:rPr>
                <w:b/>
                <w:bCs/>
              </w:rPr>
              <w:t xml:space="preserve">Deleted-requirement tombstones removed.</w:t>
            </w:r>
            <w:r>
              <w:t xml:space="preserve"> </w:t>
            </w:r>
            <w:r>
              <w:t xml:space="preserve">Two tombstone blocks pulled from the body — the FDS-06-027</w:t>
            </w:r>
            <w:r>
              <w:t xml:space="preserve"> </w:t>
            </w:r>
            <w:r>
              <w:rPr>
                <w:i/>
                <w:iCs/>
              </w:rPr>
              <w:t xml:space="preserve">DELETED</w:t>
            </w:r>
            <w:r>
              <w:t xml:space="preserve"> </w:t>
            </w:r>
            <w:r>
              <w:t xml:space="preserve">note (per OI-07 correction) just before FDS-06-028, and the FDS-05-023</w:t>
            </w:r>
            <w:r>
              <w:t xml:space="preserve"> </w:t>
            </w:r>
            <w:r>
              <w:rPr>
                <w:i/>
                <w:iCs/>
              </w:rPr>
              <w:t xml:space="preserve">[Superseded v0.11]</w:t>
            </w:r>
            <w:r>
              <w:t xml:space="preserve"> </w:t>
            </w:r>
            <w:r>
              <w:t xml:space="preserve">heading + body before FDS-05-024 (cavity-parallel LOTs as peers, not sublots). Both slots are simply unused; the FDS body does not need to explain</w:t>
            </w:r>
            <w:r>
              <w:t xml:space="preserve"> </w:t>
            </w:r>
            <w:r>
              <w:rPr>
                <w:i/>
                <w:iCs/>
              </w:rPr>
              <w:t xml:space="preserve">why</w:t>
            </w:r>
            <w:r>
              <w:t xml:space="preserve"> </w:t>
            </w:r>
            <w:r>
              <w:t xml:space="preserve">a number is empty. The change log is the appropriate place for that history. FDS-06-028’s</w:t>
            </w:r>
            <w:r>
              <w:t xml:space="preserve"> </w:t>
            </w:r>
            <w:r>
              <w:rPr>
                <w:rStyle w:val="VerbatimChar"/>
              </w:rPr>
              <w:t xml:space="preserve">(extended v0.11g)</w:t>
            </w:r>
            <w:r>
              <w:t xml:space="preserve"> </w:t>
            </w:r>
            <w:r>
              <w:t xml:space="preserve">title trailer also stripped (same category of stale version-decoration as the earlier pass).</w:t>
            </w:r>
            <w:r>
              <w:rPr>
                <w:b/>
                <w:bCs/>
              </w:rPr>
              <w:t xml:space="preserve">Anti-pattern explanations removed.</w:t>
            </w:r>
            <w:r>
              <w:t xml:space="preserve"> </w:t>
            </w:r>
            <w:r>
              <w:t xml:space="preserve">FDS-07-006a previously carried two</w:t>
            </w:r>
            <w:r>
              <w:t xml:space="preserve"> </w:t>
            </w:r>
            <w:r>
              <w:t xml:space="preserve">“we are not doing X”</w:t>
            </w:r>
            <w:r>
              <w:t xml:space="preserve"> </w:t>
            </w:r>
            <w:r>
              <w:t xml:space="preserve">callouts —</w:t>
            </w:r>
            <w:r>
              <w:t xml:space="preserve"> </w:t>
            </w:r>
            <w:r>
              <w:rPr>
                <w:i/>
                <w:iCs/>
              </w:rPr>
              <w:t xml:space="preserve">“No</w:t>
            </w:r>
            <w:r>
              <w:rPr>
                <w:i/>
                <w:iCs/>
              </w:rPr>
              <w:t xml:space="preserve"> </w:t>
            </w:r>
            <w:r>
              <w:rPr>
                <w:rStyle w:val="VerbatimChar"/>
                <w:i/>
                <w:iCs/>
              </w:rPr>
              <w:t xml:space="preserve">sendRequestAsync</w:t>
            </w:r>
            <w:r>
              <w:rPr>
                <w:i/>
                <w:iCs/>
              </w:rPr>
              <w:t xml:space="preserve"> </w:t>
            </w:r>
            <w:r>
              <w:rPr>
                <w:i/>
                <w:iCs/>
              </w:rPr>
              <w:t xml:space="preserve">re-send-to-self pattern”</w:t>
            </w:r>
            <w:r>
              <w:t xml:space="preserve"> </w:t>
            </w:r>
            <w:r>
              <w:t xml:space="preserve">(with rationale about thread-pool exhaustion) and</w:t>
            </w:r>
            <w:r>
              <w:t xml:space="preserve"> </w:t>
            </w:r>
            <w:r>
              <w:rPr>
                <w:i/>
                <w:iCs/>
              </w:rPr>
              <w:t xml:space="preserve">“No polling on the print path”</w:t>
            </w:r>
            <w:r>
              <w:t xml:space="preserve"> </w:t>
            </w:r>
            <w:r>
              <w:t xml:space="preserve">(with rationale about Gateway timers). Both stripped; the retry policy now states only what the system does (</w:t>
            </w:r>
            <w:r>
              <w:t xml:space="preserve">“3 attempts, fixed 2s gap, inline within the single message-handler invocation”</w:t>
            </w:r>
            <w:r>
              <w:t xml:space="preserve">). Going-forward rule: design specs say what the system does, not what it doesn’t. Roads-not-taken belong in design-review notes, not the FDS.</w:t>
            </w:r>
            <w:r>
              <w:rPr>
                <w:b/>
                <w:bCs/>
              </w:rPr>
              <w:t xml:space="preserve">FDS-07-006b — print failure surfacing reframed.</w:t>
            </w:r>
            <w:r>
              <w:t xml:space="preserve"> </w:t>
            </w:r>
            <w:r>
              <w:t xml:space="preserve">The previous spec had every Perspective session bind a</w:t>
            </w:r>
            <w:r>
              <w:t xml:space="preserve"> </w:t>
            </w:r>
            <w:r>
              <w:rPr>
                <w:rStyle w:val="VerbatimChar"/>
              </w:rPr>
              <w:t xml:space="preserve">SELECT * FROM Lots.ShippingLabel WHERE PrintFailedAt IS NOT NULL AND TerminalLocationId = @MyTerminalId</w:t>
            </w:r>
            <w:r>
              <w:t xml:space="preserve"> </w:t>
            </w:r>
            <w:r>
              <w:t xml:space="preserve">query — at 200 terminals × 5s cadence that’s 40 q/s of mostly-empty results, scaling linearly with terminal count. Replaced with a</w:t>
            </w:r>
            <w:r>
              <w:t xml:space="preserve"> </w:t>
            </w:r>
            <w:r>
              <w:rPr>
                <w:b/>
                <w:bCs/>
              </w:rPr>
              <w:t xml:space="preserve">fan-out broadcast</w:t>
            </w:r>
            <w:r>
              <w:t xml:space="preserve"> </w:t>
            </w:r>
            <w:r>
              <w:t xml:space="preserve">model: a single Gateway timer script (5s cadence) queries the DB once, fires</w:t>
            </w:r>
            <w:r>
              <w:t xml:space="preserve"> </w:t>
            </w:r>
            <w:r>
              <w:rPr>
                <w:rStyle w:val="VerbatimChar"/>
              </w:rPr>
              <w:t xml:space="preserve">system.util.sendMessage('mes', 'print-failure-alert', {ShippingLabelId, TerminalLocationId, ...})</w:t>
            </w:r>
            <w:r>
              <w:t xml:space="preserve"> </w:t>
            </w:r>
            <w:r>
              <w:t xml:space="preserve">for each failed/stranded label, and each Perspective session has a message handler that filters by its own bound</w:t>
            </w:r>
            <w:r>
              <w:t xml:space="preserve"> </w:t>
            </w:r>
            <w:r>
              <w:rPr>
                <w:rStyle w:val="VerbatimChar"/>
              </w:rPr>
              <w:t xml:space="preserve">TerminalLocationId</w:t>
            </w:r>
            <w:r>
              <w:t xml:space="preserve">. One DB query per 5 seconds regardless of terminal count; session-side filter is a cheap branch. Same operator UX (Retry / Reprint / Acknowledge) — Acknowledge now sets a new</w:t>
            </w:r>
            <w:r>
              <w:t xml:space="preserve"> </w:t>
            </w:r>
            <w:r>
              <w:rPr>
                <w:rStyle w:val="VerbatimChar"/>
              </w:rPr>
              <w:t xml:space="preserve">Lots.ShippingLabel.BannerAcknowledgedAt DATETIME2(3) NULL</w:t>
            </w:r>
            <w:r>
              <w:t xml:space="preserve"> </w:t>
            </w:r>
            <w:r>
              <w:t xml:space="preserve">column so subsequent sweeps suppress the alert without losing the</w:t>
            </w:r>
            <w:r>
              <w:t xml:space="preserve"> </w:t>
            </w:r>
            <w:r>
              <w:rPr>
                <w:rStyle w:val="VerbatimChar"/>
              </w:rPr>
              <w:t xml:space="preserve">PrintFailedAt</w:t>
            </w:r>
            <w:r>
              <w:t xml:space="preserve"> </w:t>
            </w:r>
            <w:r>
              <w:t xml:space="preserve">audit trail.</w:t>
            </w:r>
            <w:r>
              <w:t xml:space="preserve"> </w:t>
            </w:r>
            <w:r>
              <w:rPr>
                <w:b/>
                <w:bCs/>
              </w:rPr>
              <w:t xml:space="preserve">Data model follow-up flagged:</w:t>
            </w:r>
            <w:r>
              <w:t xml:space="preserve"> </w:t>
            </w:r>
            <w:r>
              <w:t xml:space="preserve">add</w:t>
            </w:r>
            <w:r>
              <w:t xml:space="preserve"> </w:t>
            </w:r>
            <w:r>
              <w:rPr>
                <w:rStyle w:val="VerbatimChar"/>
              </w:rPr>
              <w:t xml:space="preserve">BannerAcknowledgedAt</w:t>
            </w:r>
            <w:r>
              <w:t xml:space="preserve"> </w:t>
            </w:r>
            <w:r>
              <w:t xml:space="preserve">column to</w:t>
            </w:r>
            <w:r>
              <w:t xml:space="preserve"> </w:t>
            </w:r>
            <w:r>
              <w:rPr>
                <w:rStyle w:val="VerbatimChar"/>
              </w:rPr>
              <w:t xml:space="preserve">Lots.ShippingLabel</w:t>
            </w:r>
            <w:r>
              <w:t xml:space="preserve">.</w:t>
            </w:r>
            <w:r>
              <w:t xml:space="preserve"> </w:t>
            </w:r>
            <w:r>
              <w:rPr>
                <w:b/>
                <w:bCs/>
              </w:rPr>
              <w:t xml:space="preserve">Architectural pattern note:</w:t>
            </w:r>
            <w:r>
              <w:t xml:space="preserve"> </w:t>
            </w:r>
            <w:r>
              <w:t xml:space="preserve">“Gateway-broadcast-with-session-filter”</w:t>
            </w:r>
            <w:r>
              <w:t xml:space="preserve"> </w:t>
            </w:r>
            <w:r>
              <w:t xml:space="preserve">is reusable (hold notifications, AIM pool alarms, etc.) — if used more than twice we should hoist it to a cross-cutting requirement (FDS-01-NNN) sibling to FDS-01-014 (Gateway-script-async). Not landed yet — flagging.</w:t>
            </w:r>
            <w:r>
              <w:rPr>
                <w:b/>
                <w:bCs/>
              </w:rPr>
              <w:t xml:space="preserve">OIR appendix — new entry OI-33.</w:t>
            </w:r>
            <w:r>
              <w:t xml:space="preserve"> </w:t>
            </w:r>
            <w:r>
              <w:t xml:space="preserve">Flagged FDS-07-010a (AIM Shipper ID pool empty-pool hard-fail behavior) for customer validation. The hard-fail design is a deliberate operational choice — production stops on affected lines until the pool refills, with no soft-fallback or placeholder-then-reconcile path. MPP Operations / IT need to explicitly affirm hard-fail is the desired posture (trucks cannot ship without valid Honda-issued AIM IDs, so a pile of un-shippable containers obscuring the integration outage is the alternative). Marked HIGH criticality. Status header bumped from</w:t>
            </w:r>
            <w:r>
              <w:t xml:space="preserve"> </w:t>
            </w:r>
            <w:r>
              <w:t xml:space="preserve">“12 unresolved (2 In Review, 10 Open)”</w:t>
            </w:r>
            <w:r>
              <w:t xml:space="preserve"> </w:t>
            </w:r>
            <w:r>
              <w:t xml:space="preserve">to</w:t>
            </w:r>
            <w:r>
              <w:t xml:space="preserve"> </w:t>
            </w:r>
            <w:r>
              <w:t xml:space="preserve">“13 unresolved (2 In Review, 11 Open)”</w:t>
            </w:r>
            <w:r>
              <w:t xml:space="preserve"> </w:t>
            </w:r>
            <w:r>
              <w:t xml:space="preserve">and date refreshed to 2026-04-28.</w:t>
            </w:r>
            <w:r>
              <w:rPr>
                <w:b/>
                <w:bCs/>
              </w:rPr>
              <w:t xml:space="preserve">Version references in body — cleaned.</w:t>
            </w:r>
            <w:r>
              <w:t xml:space="preserve"> </w:t>
            </w:r>
            <w:r>
              <w:t xml:space="preserve">FDS describes current design; references to</w:t>
            </w:r>
            <w:r>
              <w:t xml:space="preserve"> </w:t>
            </w:r>
            <w:r>
              <w:t xml:space="preserve">“what changed since v0.X”</w:t>
            </w:r>
            <w:r>
              <w:t xml:space="preserve"> </w:t>
            </w:r>
            <w:r>
              <w:t xml:space="preserve">or</w:t>
            </w:r>
            <w:r>
              <w:t xml:space="preserve"> </w:t>
            </w:r>
            <w:r>
              <w:t xml:space="preserve">“pre-v0.9 MVP-Lite design”</w:t>
            </w:r>
            <w:r>
              <w:t xml:space="preserve"> </w:t>
            </w:r>
            <w:r>
              <w:t xml:space="preserve">framing pulled out. Specific edits: FDS-03-017a header trailer</w:t>
            </w:r>
            <w:r>
              <w:t xml:space="preserve"> </w:t>
            </w:r>
            <w:r>
              <w:rPr>
                <w:rStyle w:val="VerbatimChar"/>
              </w:rPr>
              <w:t xml:space="preserve">(Checkpoint Shape, v0.11)</w:t>
            </w:r>
            <w:r>
              <w:t xml:space="preserve"> </w:t>
            </w:r>
            <w:r>
              <w:t xml:space="preserve">→</w:t>
            </w:r>
            <w:r>
              <w:t xml:space="preserve"> </w:t>
            </w:r>
            <w:r>
              <w:rPr>
                <w:rStyle w:val="VerbatimChar"/>
              </w:rPr>
              <w:t xml:space="preserve">(Checkpoint Shape)</w:t>
            </w:r>
            <w:r>
              <w:t xml:space="preserve">. FDS-06-022 sentence</w:t>
            </w:r>
            <w:r>
              <w:t xml:space="preserve"> </w:t>
            </w:r>
            <w:r>
              <w:t xml:space="preserve">“Auto-generation semantics are unchanged from the pre-v0.9 MVP-Lite design.”</w:t>
            </w:r>
            <w:r>
              <w:t xml:space="preserve"> </w:t>
            </w:r>
            <w:r>
              <w:t xml:space="preserve">stripped (the requirement already says what the system does). FDS-06-025 sentence</w:t>
            </w:r>
            <w:r>
              <w:t xml:space="preserve"> </w:t>
            </w:r>
            <w:r>
              <w:t xml:space="preserve">“Existing</w:t>
            </w:r>
            <w:r>
              <w:t xml:space="preserve"> </w:t>
            </w:r>
            <w:r>
              <w:rPr>
                <w:rStyle w:val="VerbatimChar"/>
              </w:rPr>
              <w:t xml:space="preserve">Workorder.WorkOrder</w:t>
            </w:r>
            <w:r>
              <w:t xml:space="preserve"> </w:t>
            </w:r>
            <w:r>
              <w:t xml:space="preserve">rows created before v1.7 SHALL be backfilled to</w:t>
            </w:r>
            <w:r>
              <w:t xml:space="preserve"> </w:t>
            </w:r>
            <w:r>
              <w:rPr>
                <w:rStyle w:val="VerbatimChar"/>
              </w:rPr>
              <w:t xml:space="preserve">Production</w:t>
            </w:r>
            <w:r>
              <w:t xml:space="preserve">. Create-proc defaults SHALL set</w:t>
            </w:r>
            <w:r>
              <w:t xml:space="preserve"> </w:t>
            </w:r>
            <w:r>
              <w:rPr>
                <w:rStyle w:val="VerbatimChar"/>
              </w:rPr>
              <w:t xml:space="preserve">WorkOrderTypeId = Production</w:t>
            </w:r>
            <w:r>
              <w:t xml:space="preserve"> </w:t>
            </w:r>
            <w:r>
              <w:t xml:space="preserve">so Phase 1–8 callers keep working unchanged.”</w:t>
            </w:r>
            <w:r>
              <w:t xml:space="preserve"> </w:t>
            </w:r>
            <w:r>
              <w:t xml:space="preserve">reduced to just the create-proc default rule (backfill-mechanics + Phase 1–8 caller compat are migration concerns, not design). FDS-06-029</w:t>
            </w:r>
            <w:r>
              <w:t xml:space="preserve"> </w:t>
            </w:r>
            <w:r>
              <w:rPr>
                <w:rStyle w:val="VerbatimChar"/>
              </w:rPr>
              <w:t xml:space="preserve">&gt; Note (v0.11):</w:t>
            </w:r>
            <w:r>
              <w:t xml:space="preserve"> </w:t>
            </w:r>
            <w:r>
              <w:t xml:space="preserve">callout reframed as plain prose (</w:t>
            </w:r>
            <w:r>
              <w:t xml:space="preserve">“</w:t>
            </w:r>
            <w:r>
              <w:rPr>
                <w:b/>
                <w:bCs/>
              </w:rPr>
              <w:t xml:space="preserve">Cumulative GoodCount derivation.</w:t>
            </w:r>
            <w:r>
              <w:t xml:space="preserve"> </w:t>
            </w:r>
            <w:r>
              <w:t xml:space="preserve">…”</w:t>
            </w:r>
            <w:r>
              <w:t xml:space="preserve">) describing the rule directly without</w:t>
            </w:r>
            <w:r>
              <w:t xml:space="preserve"> </w:t>
            </w:r>
            <w:r>
              <w:t xml:space="preserve">“the v0.11 reshape removed…”</w:t>
            </w:r>
            <w:r>
              <w:t xml:space="preserve"> </w:t>
            </w:r>
            <w:r>
              <w:t xml:space="preserve">framing.</w:t>
            </w:r>
            <w:r>
              <w:t xml:space="preserve"> </w:t>
            </w:r>
            <w:r>
              <w:rPr>
                <w:b/>
                <w:bCs/>
              </w:rPr>
              <w:t xml:space="preserve">Bonus continuity fix in same area:</w:t>
            </w:r>
            <w:r>
              <w:t xml:space="preserve"> </w:t>
            </w:r>
            <w:r>
              <w:t xml:space="preserve">FDS-05-027 step 1 was telling the merge proc to resolve dies via</w:t>
            </w:r>
            <w:r>
              <w:t xml:space="preserve"> </w:t>
            </w:r>
            <w:r>
              <w:rPr>
                <w:rStyle w:val="VerbatimChar"/>
              </w:rPr>
              <w:t xml:space="preserve">Workorder.ProductionEvent.DieIdentifier</w:t>
            </w:r>
            <w:r>
              <w:t xml:space="preserve"> </w:t>
            </w:r>
            <w:r>
              <w:t xml:space="preserve">(column dropped in Arc 2 v1.9 reshape) and pointed at</w:t>
            </w:r>
            <w:r>
              <w:t xml:space="preserve"> </w:t>
            </w:r>
            <w:r>
              <w:t xml:space="preserve">“Data Model v1.7 §7”</w:t>
            </w:r>
            <w:r>
              <w:t xml:space="preserve"> </w:t>
            </w:r>
            <w:r>
              <w:t xml:space="preserve">— both stale. Updated to use</w:t>
            </w:r>
            <w:r>
              <w:t xml:space="preserve"> </w:t>
            </w:r>
            <w:r>
              <w:rPr>
                <w:rStyle w:val="VerbatimChar"/>
              </w:rPr>
              <w:t xml:space="preserve">Lots.Lot.ToolId</w:t>
            </w:r>
            <w:r>
              <w:t xml:space="preserve"> </w:t>
            </w:r>
            <w:r>
              <w:t xml:space="preserve">directly (the current die FK on Lot, populated at die-cast LOT create per FDS-05-034). External version citations preserved: Flexware FRS v1.0 (input requirements) and Data Model v1.9 (current companion-doc cross-references) are correct as-is.</w:t>
            </w:r>
            <w:r>
              <w:rPr>
                <w:b/>
                <w:bCs/>
              </w:rPr>
              <w:t xml:space="preserve">§9.4 Shift Management — End-of-shift time entry rewrite + cleanup.</w:t>
            </w:r>
            <w:r>
              <w:t xml:space="preserve"> </w:t>
            </w:r>
            <w:r>
              <w:t xml:space="preserve">Section reframed to match plant reality: the only operator time entry is a single end-of-shift submission capturing whether lunch was taken and which breaks. No live per-break entry during the shift; no minute-level adjustment of the shift window.</w:t>
            </w:r>
            <w:r>
              <w:t xml:space="preserve"> </w:t>
            </w:r>
            <w:r>
              <w:rPr>
                <w:b/>
                <w:bCs/>
              </w:rPr>
              <w:t xml:space="preserve">FDS-09-013</w:t>
            </w:r>
            <w:r>
              <w:t xml:space="preserve"> </w:t>
            </w:r>
            <w:r>
              <w:t xml:space="preserve">(was</w:t>
            </w:r>
            <w:r>
              <w:t xml:space="preserve"> </w:t>
            </w:r>
            <w:r>
              <w:t xml:space="preserve">“Break Logging”</w:t>
            </w:r>
            <w:r>
              <w:t xml:space="preserve">) rewritten as</w:t>
            </w:r>
            <w:r>
              <w:t xml:space="preserve"> </w:t>
            </w:r>
            <w:r>
              <w:t xml:space="preserve">“End-of-Shift Time Entry”</w:t>
            </w:r>
            <w:r>
              <w:t xml:space="preserve"> </w:t>
            </w:r>
            <w:r>
              <w:t xml:space="preserve">— visibility window of ~15 min before / after scheduled shift end; dedicated terminals (Cell-parented) take a single button press; shared terminals (WorkCenter- or Area-parented) prompt button → initials → time category (Regular default) → lunch yes/no → breaks selected → submit. Submission writes</w:t>
            </w:r>
            <w:r>
              <w:t xml:space="preserve"> </w:t>
            </w:r>
            <w:r>
              <w:rPr>
                <w:rStyle w:val="VerbatimChar"/>
              </w:rPr>
              <w:t xml:space="preserve">Oee.DowntimeEvent</w:t>
            </w:r>
            <w:r>
              <w:t xml:space="preserve"> </w:t>
            </w:r>
            <w:r>
              <w:t xml:space="preserve">rows for each selected lunch / break with durations populated from the shift-schedule break configuration (no operator-entered durations).</w:t>
            </w:r>
            <w:r>
              <w:t xml:space="preserve"> </w:t>
            </w:r>
            <w:r>
              <w:rPr>
                <w:b/>
                <w:bCs/>
              </w:rPr>
              <w:t xml:space="preserve">FDS-09-010</w:t>
            </w:r>
            <w:r>
              <w:t xml:space="preserve"> </w:t>
            </w:r>
            <w:r>
              <w:t xml:space="preserve">awkward</w:t>
            </w:r>
            <w:r>
              <w:t xml:space="preserve"> </w:t>
            </w:r>
            <w:r>
              <w:rPr>
                <w:rStyle w:val="VerbatimChar"/>
              </w:rPr>
              <w:t xml:space="preserve">&gt; Note:</w:t>
            </w:r>
            <w:r>
              <w:t xml:space="preserve"> </w:t>
            </w:r>
            <w:r>
              <w:t xml:space="preserve">callout (UJ-10 reference + open-events-at-shift-boundary clarification) collapsed into the body — the substantive rule kept (</w:t>
            </w:r>
            <w:r>
              <w:t xml:space="preserve">“Open events at the shift boundary remain open; the incoming shift operator closes them when the machine resumes”</w:t>
            </w:r>
            <w:r>
              <w:t xml:space="preserve">) without the admonition framing or User-Journey-Assumption reference.</w:t>
            </w:r>
            <w:r>
              <w:t xml:space="preserve"> </w:t>
            </w:r>
            <w:r>
              <w:rPr>
                <w:b/>
                <w:bCs/>
              </w:rPr>
              <w:t xml:space="preserve">§9.4 intro</w:t>
            </w:r>
            <w:r>
              <w:t xml:space="preserve"> </w:t>
            </w:r>
            <w:r>
              <w:t xml:space="preserve">updated to point at FDS-09-013 for the time-entry mechanism and to drop the</w:t>
            </w:r>
            <w:r>
              <w:t xml:space="preserve"> </w:t>
            </w:r>
            <w:r>
              <w:t xml:space="preserve">“MPP owes the spreadsheet template”</w:t>
            </w:r>
            <w:r>
              <w:t xml:space="preserve"> </w:t>
            </w:r>
            <w:r>
              <w:t xml:space="preserve">project-execution note.</w:t>
            </w:r>
            <w:r>
              <w:t xml:space="preserve"> </w:t>
            </w:r>
            <w:r>
              <w:rPr>
                <w:b/>
                <w:bCs/>
              </w:rPr>
              <w:t xml:space="preserve">FDS-09-015</w:t>
            </w:r>
            <w:r>
              <w:t xml:space="preserve"> </w:t>
            </w:r>
            <w:r>
              <w:t xml:space="preserve">stripped the OI-03 reference from its optional-summary paragraph (events-not-auto-splitting is a design fact, not requiring an OI cite). The</w:t>
            </w:r>
            <w:r>
              <w:t xml:space="preserve"> </w:t>
            </w:r>
            <w:r>
              <w:t xml:space="preserve">“Implementation note (UJ-10 Q1 from Jacques)”</w:t>
            </w:r>
            <w:r>
              <w:t xml:space="preserve"> </w:t>
            </w:r>
            <w:r>
              <w:t xml:space="preserve">callout reframed as a plain</w:t>
            </w:r>
            <w:r>
              <w:t xml:space="preserve"> </w:t>
            </w:r>
            <w:r>
              <w:t xml:space="preserve">“</w:t>
            </w:r>
            <w:r>
              <w:rPr>
                <w:b/>
                <w:bCs/>
              </w:rPr>
              <w:t xml:space="preserve">Performance.</w:t>
            </w:r>
            <w:r>
              <w:t xml:space="preserve">”</w:t>
            </w:r>
            <w:r>
              <w:t xml:space="preserve"> </w:t>
            </w:r>
            <w:r>
              <w:t xml:space="preserve">paragraph describing the recommended index on</w:t>
            </w:r>
            <w:r>
              <w:t xml:space="preserve"> </w:t>
            </w:r>
            <w:r>
              <w:rPr>
                <w:rStyle w:val="VerbatimChar"/>
              </w:rPr>
              <w:t xml:space="preserve">Lots.LotMovement (ToLocationId, MovedAt DESC)</w:t>
            </w:r>
            <w:r>
              <w:t xml:space="preserve"> </w:t>
            </w:r>
            <w:r>
              <w:t xml:space="preserve">— same content, no Jacques attribution or UJ ID, fits the established communication standard.</w:t>
            </w:r>
            <w:r>
              <w:t xml:space="preserve"> </w:t>
            </w:r>
            <w:r>
              <w:rPr>
                <w:b/>
                <w:bCs/>
              </w:rPr>
              <w:t xml:space="preserve">OIR appendix — new entry OI-34.</w:t>
            </w:r>
            <w:r>
              <w:t xml:space="preserve"> </w:t>
            </w:r>
            <w:r>
              <w:t xml:space="preserve">Open question on how MPP wants to leverage the production schedules they author beyond the basic shift-window timing currently imported (target quotas per shift? line-scheduling drift detection? throughput planning?). Marked MEDIUM, owner MPP Production Control. Status header bumped to 14 unresolved (2 In Review, 12 Open).</w:t>
            </w:r>
            <w:r>
              <w:rPr>
                <w:b/>
                <w:bCs/>
              </w:rPr>
              <w:t xml:space="preserve">FDS-10-010 — stranded</w:t>
            </w:r>
            <w:r>
              <w:rPr>
                <w:b/>
                <w:bCs/>
              </w:rPr>
              <w:t xml:space="preserve"> </w:t>
            </w:r>
            <w:r>
              <w:rPr>
                <w:b/>
                <w:bCs/>
              </w:rPr>
              <w:t xml:space="preserve">“new column”</w:t>
            </w:r>
            <w:r>
              <w:rPr>
                <w:b/>
                <w:bCs/>
              </w:rPr>
              <w:t xml:space="preserve"> </w:t>
            </w:r>
            <w:r>
              <w:rPr>
                <w:b/>
                <w:bCs/>
              </w:rPr>
              <w:t xml:space="preserve">callout removed.</w:t>
            </w:r>
            <w:r>
              <w:t xml:space="preserve"> </w:t>
            </w:r>
            <w:r>
              <w:t xml:space="preserve">The body claimed</w:t>
            </w:r>
            <w:r>
              <w:t xml:space="preserve"> </w:t>
            </w:r>
            <w:r>
              <w:rPr>
                <w:rStyle w:val="VerbatimChar"/>
              </w:rPr>
              <w:t xml:space="preserve">Quality.DefectCode.LeaderFlagOnFirstOccurrence BIT</w:t>
            </w:r>
            <w:r>
              <w:t xml:space="preserve"> </w:t>
            </w:r>
            <w:r>
              <w:t xml:space="preserve">would make the leader-flag branching configurable per defect type. That column never landed in the data model and never made it into SQL — confirmed by direct check of</w:t>
            </w:r>
            <w:r>
              <w:t xml:space="preserve"> </w:t>
            </w:r>
            <w:r>
              <w:rPr>
                <w:rStyle w:val="VerbatimChar"/>
              </w:rPr>
              <w:t xml:space="preserve">MPP_MES_DATA_MODEL.md</w:t>
            </w:r>
            <w:r>
              <w:t xml:space="preserve"> </w:t>
            </w:r>
            <w:r>
              <w:t xml:space="preserve">§DefectCode (line 1043) and full grep of the</w:t>
            </w:r>
            <w:r>
              <w:t xml:space="preserve"> </w:t>
            </w:r>
            <w:r>
              <w:rPr>
                <w:rStyle w:val="VerbatimChar"/>
              </w:rPr>
              <w:t xml:space="preserve">sql/</w:t>
            </w:r>
            <w:r>
              <w:t xml:space="preserve"> </w:t>
            </w:r>
            <w:r>
              <w:t xml:space="preserve">tree (zero hits). Reframed as hardcoded-by-event-type: each failure category (Wrong-part / Wrong-orientation / PartDisposition / Barcode) is knowable at the point of failure from the source data (vision-vs-operator comparison, vision orientation flag, PLC PartDisposition tag, MES barcode-read rejection), so no</w:t>
            </w:r>
            <w:r>
              <w:t xml:space="preserve"> </w:t>
            </w:r>
            <w:r>
              <w:rPr>
                <w:rStyle w:val="VerbatimChar"/>
              </w:rPr>
              <w:t xml:space="preserve">DefectCode</w:t>
            </w:r>
            <w:r>
              <w:t xml:space="preserve"> </w:t>
            </w:r>
            <w:r>
              <w:t xml:space="preserve">configuration lookup is needed. The branching is hardcoded in the line-stop handler. Same external behaviour, no schema change.</w:t>
            </w:r>
          </w:p>
        </w:tc>
      </w:tr>
      <w:tr>
        <w:tc>
          <w:tcPr/>
          <w:p>
            <w:pPr>
              <w:pStyle w:val="Compact"/>
            </w:pPr>
            <w:r>
              <w:t xml:space="preserve">0.11l</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Stale-PENDING callout cleanup + OIR appendix refresh.</w:t>
            </w:r>
            <w:r>
              <w:t xml:space="preserve"> </w:t>
            </w:r>
            <w:r>
              <w:t xml:space="preserve">Converted 5 stale</w:t>
            </w:r>
            <w:r>
              <w:t xml:space="preserve"> </w:t>
            </w:r>
            <w:r>
              <w:rPr>
                <w:rStyle w:val="VerbatimChar"/>
              </w:rPr>
              <w:t xml:space="preserve">🔶 PENDING</w:t>
            </w:r>
            <w:r>
              <w:t xml:space="preserve"> </w:t>
            </w:r>
            <w:r>
              <w:t xml:space="preserve">callouts to flowing prose now that the underlying decisions are Resolved per OIR v2.14 (UJ-02 LTT pre-printing × 2, UJ-14 warm-up shots, UJ-16 HardwareInterlockBypassed flag — Option A on</w:t>
            </w:r>
            <w:r>
              <w:t xml:space="preserve"> </w:t>
            </w:r>
            <w:r>
              <w:rPr>
                <w:rStyle w:val="VerbatimChar"/>
              </w:rPr>
              <w:t xml:space="preserve">Lots.ContainerSerial</w:t>
            </w:r>
            <w:r>
              <w:t xml:space="preserve">, OI-02 weight-based container closure). Updated stale schema reference</w:t>
            </w:r>
            <w:r>
              <w:t xml:space="preserve"> </w:t>
            </w:r>
            <w:r>
              <w:rPr>
                <w:rStyle w:val="VerbatimChar"/>
              </w:rPr>
              <w:t xml:space="preserve">ContainerShippingLabel.ShipperId</w:t>
            </w:r>
            <w:r>
              <w:t xml:space="preserve"> </w:t>
            </w:r>
            <w:r>
              <w:t xml:space="preserve">→</w:t>
            </w:r>
            <w:r>
              <w:t xml:space="preserve"> </w:t>
            </w:r>
            <w:r>
              <w:rPr>
                <w:rStyle w:val="VerbatimChar"/>
              </w:rPr>
              <w:t xml:space="preserve">Lots.ShippingLabel.ShipperId</w:t>
            </w:r>
            <w:r>
              <w:t xml:space="preserve"> </w:t>
            </w:r>
            <w:r>
              <w:t xml:space="preserve">in §12.5. Replaced the embedded Open Items Register (was at v2.4 grid with 14 stale rows ending mid-table) with a clean unresolved-only register: 12 items (2 In Review, 10 Open) with FDS section, description, criticality, owner. Resolved items absorbed into FDS body sections as design fact; full historical record points to canonical</w:t>
            </w:r>
            <w:r>
              <w:t xml:space="preserve"> </w:t>
            </w:r>
            <w:r>
              <w:rPr>
                <w:rStyle w:val="VerbatimChar"/>
              </w:rPr>
              <w:t xml:space="preserve">MPP_MES_Open_Issues_Register.md</w:t>
            </w:r>
            <w:r>
              <w:t xml:space="preserve">.</w:t>
            </w:r>
          </w:p>
        </w:tc>
      </w:tr>
      <w:tr>
        <w:tc>
          <w:tcPr>
            <w:shd w:val="clear" w:color="auto" w:fill="F2F2F2"/>
          </w:tcPr>
          <w:tcPr/>
          <w:p>
            <w:pPr>
              <w:pStyle w:val="Compact"/>
            </w:pPr>
            <w:r>
              <w:t xml:space="preserve">0.11k</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Editorial cleanup pass.</w:t>
            </w:r>
            <w:r>
              <w:t xml:space="preserve"> </w:t>
            </w:r>
            <w:r>
              <w:t xml:space="preserve">Added Table of Contents. Removed 5</w:t>
            </w:r>
            <w:r>
              <w:t xml:space="preserve"> </w:t>
            </w:r>
            <w:r>
              <w:t xml:space="preserve">“Spark Dependency”</w:t>
            </w:r>
            <w:r>
              <w:t xml:space="preserve"> </w:t>
            </w:r>
            <w:r>
              <w:t xml:space="preserve">parenthetical citations. Renamed all</w:t>
            </w:r>
            <w:r>
              <w:t xml:space="preserve"> </w:t>
            </w:r>
            <w:r>
              <w:rPr>
                <w:rStyle w:val="VerbatimChar"/>
              </w:rPr>
              <w:t xml:space="preserve">system.util.sendMessageAsync</w:t>
            </w:r>
            <w:r>
              <w:t xml:space="preserve"> </w:t>
            </w:r>
            <w:r>
              <w:t xml:space="preserve">references to</w:t>
            </w:r>
            <w:r>
              <w:t xml:space="preserve"> </w:t>
            </w:r>
            <w:r>
              <w:rPr>
                <w:rStyle w:val="VerbatimChar"/>
              </w:rPr>
              <w:t xml:space="preserve">system.util.sendRequestAsync</w:t>
            </w:r>
            <w:r>
              <w:t xml:space="preserve"> </w:t>
            </w:r>
            <w:r>
              <w:t xml:space="preserve">(the real Ignition API for error-surfacing async dispatch — the</w:t>
            </w:r>
            <w:r>
              <w:t xml:space="preserve"> </w:t>
            </w:r>
            <w:r>
              <w:t xml:space="preserve">“Async”</w:t>
            </w:r>
            <w:r>
              <w:t xml:space="preserve"> </w:t>
            </w:r>
            <w:r>
              <w:t xml:space="preserve">suffix on</w:t>
            </w:r>
            <w:r>
              <w:t xml:space="preserve"> </w:t>
            </w:r>
            <w:r>
              <w:rPr>
                <w:rStyle w:val="VerbatimChar"/>
              </w:rPr>
              <w:t xml:space="preserve">sendMessage</w:t>
            </w:r>
            <w:r>
              <w:t xml:space="preserve"> </w:t>
            </w:r>
            <w:r>
              <w:t xml:space="preserve">was incorrect). Removed</w:t>
            </w:r>
            <w:r>
              <w:t xml:space="preserve"> </w:t>
            </w:r>
            <w:r>
              <w:rPr>
                <w:rStyle w:val="VerbatimChar"/>
              </w:rPr>
              <w:t xml:space="preserve">NumberOfCavities</w:t>
            </w:r>
            <w:r>
              <w:t xml:space="preserve"> </w:t>
            </w:r>
            <w:r>
              <w:t xml:space="preserve">as a</w:t>
            </w:r>
            <w:r>
              <w:t xml:space="preserve"> </w:t>
            </w:r>
            <w:r>
              <w:rPr>
                <w:rStyle w:val="VerbatimChar"/>
              </w:rPr>
              <w:t xml:space="preserve">DieCastMachine</w:t>
            </w:r>
            <w:r>
              <w:t xml:space="preserve"> </w:t>
            </w:r>
            <w:r>
              <w:t xml:space="preserve">LocationAttribute example — cavity data lives on</w:t>
            </w:r>
            <w:r>
              <w:t xml:space="preserve"> </w:t>
            </w:r>
            <w:r>
              <w:rPr>
                <w:rStyle w:val="VerbatimChar"/>
              </w:rPr>
              <w:t xml:space="preserve">Tools.ToolCavity</w:t>
            </w:r>
            <w:r>
              <w:t xml:space="preserve"> </w:t>
            </w:r>
            <w:r>
              <w:t xml:space="preserve">per Data Model v1.9 §15. Stripped section-header decoration trailers (</w:t>
            </w:r>
            <w:r>
              <w:rPr>
                <w:rStyle w:val="VerbatimChar"/>
              </w:rPr>
              <w:t xml:space="preserve">(revised vX.YZ)</w:t>
            </w:r>
            <w:r>
              <w:t xml:space="preserve"> </w:t>
            </w:r>
            <w:r>
              <w:t xml:space="preserve">/</w:t>
            </w:r>
            <w:r>
              <w:t xml:space="preserve"> </w:t>
            </w:r>
            <w:r>
              <w:rPr>
                <w:rStyle w:val="VerbatimChar"/>
              </w:rPr>
              <w:t xml:space="preserve">(vX.YZ, OI-NN)</w:t>
            </w:r>
            <w:r>
              <w:t xml:space="preserve"> </w:t>
            </w:r>
            <w:r>
              <w:t xml:space="preserve">/</w:t>
            </w:r>
            <w:r>
              <w:t xml:space="preserve"> </w:t>
            </w:r>
            <w:r>
              <w:rPr>
                <w:rStyle w:val="VerbatimChar"/>
              </w:rPr>
              <w:t xml:space="preserve">(OI-NN resolved DATE)</w:t>
            </w:r>
            <w:r>
              <w:t xml:space="preserve">) from ~30 headers; converted decision-noted callout blocks (REVISED OI-09 / OI-05 / OI-11 / OI-07 / OI-04) to flowing prose; stripped inline</w:t>
            </w:r>
            <w:r>
              <w:t xml:space="preserve"> </w:t>
            </w:r>
            <w:r>
              <w:rPr>
                <w:rStyle w:val="VerbatimChar"/>
              </w:rPr>
              <w:t xml:space="preserve">(OI-XX revised)</w:t>
            </w:r>
            <w:r>
              <w:t xml:space="preserve"> </w:t>
            </w:r>
            <w:r>
              <w:t xml:space="preserve">and prefix-bold</w:t>
            </w:r>
            <w:r>
              <w:t xml:space="preserve"> </w:t>
            </w:r>
            <w:r>
              <w:rPr>
                <w:rStyle w:val="VerbatimChar"/>
              </w:rPr>
              <w:t xml:space="preserve">**OI-XX (...):**</w:t>
            </w:r>
            <w:r>
              <w:t xml:space="preserve"> </w:t>
            </w:r>
            <w:r>
              <w:t xml:space="preserve">decision-trailers throughout. No requirement IDs added or retired; no scope changes.</w:t>
            </w:r>
          </w:p>
        </w:tc>
      </w:tr>
      <w:tr>
        <w:tc>
          <w:tcPr/>
          <w:p>
            <w:pPr>
              <w:pStyle w:val="Compact"/>
            </w:pPr>
            <w:r>
              <w:t xml:space="preserve">0.11j</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§1.6, §4.3, §6.5, §7.2, §7.3, §9.4, §10.3 — UJ batch closures (UJ-09, -10, -17, -18 with downstream design impact).</w:t>
            </w:r>
            <w:r>
              <w:t xml:space="preserve"> </w:t>
            </w:r>
            <w:r>
              <w:t xml:space="preserve">FDS-01-014 NEW (Gateway-script-async cross-cutting integration pattern, UJ-18); FDS-04-007 elevated-action list extended (UJ-09 BOM substitute override); FDS-06-011 extended (UJ-09 supervisor-override flow at scan-in); FDS-07-005 amended (print extracted from atomic block, UJ-18); FDS-07-006a NEW (print dispatch + 3×2s retry, UJ-18); FDS-07-006b NEW (banner + safety-sweep + stranded-prints alarm at 5, UJ-18); FDS-09-015 NEW (shift-end summary screen, UJ-10 Option D); FDS-10-013 NEW (</w:t>
            </w:r>
            <w:r>
              <w:rPr>
                <w:rStyle w:val="VerbatimChar"/>
              </w:rPr>
              <w:t xml:space="preserve">ConfirmationMethod</w:t>
            </w:r>
            <w:r>
              <w:t xml:space="preserve"> </w:t>
            </w:r>
            <w:r>
              <w:t xml:space="preserve">LocationAttribute, UJ-17 Option A). Data Model v1.9i (</w:t>
            </w:r>
            <w:r>
              <w:rPr>
                <w:rStyle w:val="VerbatimChar"/>
              </w:rPr>
              <w:t xml:space="preserve">Lots.ShippingLabel</w:t>
            </w:r>
            <w:r>
              <w:t xml:space="preserve"> </w:t>
            </w:r>
            <w:r>
              <w:t xml:space="preserve">+5 print-state columns). OIR v2.14.</w:t>
            </w:r>
          </w:p>
        </w:tc>
      </w:tr>
      <w:tr>
        <w:tc>
          <w:tcPr>
            <w:shd w:val="clear" w:color="auto" w:fill="F2F2F2"/>
          </w:tcPr>
          <w:tcPr/>
          <w:p>
            <w:pPr>
              <w:pStyle w:val="Compact"/>
            </w:pPr>
            <w:r>
              <w:t xml:space="preserve">0.11i</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§7.2, §7.4 — UJ-04 AIM Shipper ID local pool.</w:t>
            </w:r>
            <w:r>
              <w:t xml:space="preserve"> </w:t>
            </w:r>
            <w:r>
              <w:t xml:space="preserve">FDS-07-005 rewritten, FDS-07-008 amended, FDS-07-010 rewritten; FDS-07-010a/b/c NEW. Data Model v1.9h.</w:t>
            </w:r>
          </w:p>
        </w:tc>
      </w:tr>
      <w:tr>
        <w:tc>
          <w:tcPr/>
          <w:p>
            <w:pPr>
              <w:pStyle w:val="Compact"/>
            </w:pPr>
            <w:r>
              <w:t xml:space="preserve">0.11h</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§5.3 — OI-21 Pausable LOT at Workstation.</w:t>
            </w:r>
            <w:r>
              <w:t xml:space="preserve"> </w:t>
            </w:r>
            <w:r>
              <w:t xml:space="preserve">FDS-05-038 NEW. Data Model v1.9g.</w:t>
            </w:r>
          </w:p>
        </w:tc>
      </w:tr>
      <w:tr>
        <w:tc>
          <w:tcPr>
            <w:shd w:val="clear" w:color="auto" w:fill="F2F2F2"/>
          </w:tcPr>
          <w:tcPr/>
          <w:p>
            <w:pPr>
              <w:pStyle w:val="Compact"/>
            </w:pPr>
            <w:r>
              <w:t xml:space="preserve">0.11g</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§6.10 — OI-16 PLC confirm + RequiresCompletionConfirm LocationAttribute.</w:t>
            </w:r>
            <w:r>
              <w:t xml:space="preserve"> </w:t>
            </w:r>
            <w:r>
              <w:t xml:space="preserve">FDS-06-028 extended. Data Model v1.9f.</w:t>
            </w:r>
          </w:p>
        </w:tc>
      </w:tr>
      <w:tr>
        <w:tc>
          <w:tcPr/>
          <w:p>
            <w:pPr>
              <w:pStyle w:val="Compact"/>
            </w:pPr>
            <w:r>
              <w:t xml:space="preserve">0.11f</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§5.1 — OI-23 Lot derived quantities as a view.</w:t>
            </w:r>
            <w:r>
              <w:t xml:space="preserve"> </w:t>
            </w:r>
            <w:r>
              <w:t xml:space="preserve">FDS-05-031 rewritten. Data Model v1.9e.</w:t>
            </w:r>
          </w:p>
        </w:tc>
      </w:tr>
      <w:tr>
        <w:tc>
          <w:tcPr>
            <w:shd w:val="clear" w:color="auto" w:fill="F2F2F2"/>
          </w:tcPr>
          <w:tcPr/>
          <w:p>
            <w:pPr>
              <w:pStyle w:val="Compact"/>
            </w:pPr>
            <w:r>
              <w:t xml:space="preserve">0.11e</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§2.5, §4 — OI-08 Terminal mode by parent Location tier.</w:t>
            </w:r>
            <w:r>
              <w:t xml:space="preserve"> </w:t>
            </w:r>
            <w:r>
              <w:t xml:space="preserve">FDS-02-010, FDS-04-003 rewritten. (No data model change.)</w:t>
            </w:r>
          </w:p>
        </w:tc>
      </w:tr>
      <w:tr>
        <w:tc>
          <w:tcPr/>
          <w:p>
            <w:pPr>
              <w:pStyle w:val="Compact"/>
            </w:pPr>
            <w:r>
              <w:t xml:space="preserve">0.11d</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§3.5 — OI-18 ItemLocation hierarchy cascade.</w:t>
            </w:r>
            <w:r>
              <w:t xml:space="preserve"> </w:t>
            </w:r>
            <w:r>
              <w:t xml:space="preserve">FDS-03-014 rewritten; FDS-03-015, FDS-03-018 extended. Data Model v1.9d.</w:t>
            </w:r>
          </w:p>
        </w:tc>
      </w:tr>
      <w:tr>
        <w:tc>
          <w:tcPr>
            <w:shd w:val="clear" w:color="auto" w:fill="F2F2F2"/>
          </w:tcPr>
          <w:tcPr/>
          <w:p>
            <w:pPr>
              <w:pStyle w:val="Compact"/>
            </w:pPr>
            <w:r>
              <w:t xml:space="preserve">0.11c</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§3.6 — OI-12 MaxParts moved to Parts.Item.</w:t>
            </w:r>
            <w:r>
              <w:t xml:space="preserve"> </w:t>
            </w:r>
            <w:r>
              <w:t xml:space="preserve">FDS-03-019 rewritten. Data Model v1.9c.</w:t>
            </w:r>
          </w:p>
        </w:tc>
      </w:tr>
      <w:tr>
        <w:tc>
          <w:tcPr/>
          <w:p>
            <w:pPr>
              <w:pStyle w:val="Compact"/>
            </w:pPr>
            <w:r>
              <w:t xml:space="preserve">0.11b</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§6.10 — OI-07 WorkOrderType corrected to single Production seed.</w:t>
            </w:r>
            <w:r>
              <w:t xml:space="preserve"> </w:t>
            </w:r>
            <w:r>
              <w:t xml:space="preserve">FDS-06-022 renamed; FDS-06-027 deleted; FDS-06-025, FDS-06-028 updated. Data Model v1.9b.</w:t>
            </w:r>
          </w:p>
        </w:tc>
      </w:tr>
      <w:tr>
        <w:tc>
          <w:tcPr>
            <w:shd w:val="clear" w:color="auto" w:fill="F2F2F2"/>
          </w:tcPr>
          <w:tcPr/>
          <w:p>
            <w:pPr>
              <w:pStyle w:val="Compact"/>
            </w:pPr>
            <w:r>
              <w:t xml:space="preserve">0.11</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§3.4, §5.1, §5.2, §5.3, §5.4, §5.5, §6.2, §6.10, §16 (NEW) — Arc 2 model revisions (Tool/Cavity on Lot, ProductionEvent checkpoint shape, IdentifierSequence, cavity-parallel LOTs as peers).</w:t>
            </w:r>
            <w:r>
              <w:t xml:space="preserve"> </w:t>
            </w:r>
            <w:r>
              <w:t xml:space="preserve">FDS-03-017a rewritten; FDS-05-003 revised; FDS-05-030, -034, -035, -036, -037 NEW; FDS-06-003 revised; FDS-06-030 NEW; FDS-16-001..003 NEW. Data Model v1.9.</w:t>
            </w:r>
          </w:p>
        </w:tc>
      </w:tr>
      <w:tr>
        <w:tc>
          <w:tcPr/>
          <w:p>
            <w:pPr>
              <w:pStyle w:val="Compact"/>
            </w:pPr>
            <w:r>
              <w:t xml:space="preserve">0.10-rev</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§5.10 — OI-11 Casting → Trim via 1-line BOM (no new schema).</w:t>
            </w:r>
            <w:r>
              <w:t xml:space="preserve"> </w:t>
            </w:r>
            <w:r>
              <w:t xml:space="preserve">FDS-05-033..035 consolidated into FDS-05-033. Data Model v1.8-rev.</w:t>
            </w:r>
          </w:p>
        </w:tc>
      </w:tr>
      <w:tr>
        <w:tc>
          <w:tcPr>
            <w:shd w:val="clear" w:color="auto" w:fill="F2F2F2"/>
          </w:tcPr>
          <w:tcPr/>
          <w:p>
            <w:pPr>
              <w:pStyle w:val="Compact"/>
            </w:pPr>
            <w:r>
              <w:t xml:space="preserve">0.10</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§1.4, §3.1, §3.5, §3.6, §4.3, §5.1, §5.3, §5.10, §6.8, §6.10, §8.2, §12.5, §14 — Phase E of OI review refactor (OI-11..23).</w:t>
            </w:r>
            <w:r>
              <w:t xml:space="preserve"> </w:t>
            </w:r>
            <w:r>
              <w:t xml:space="preserve">FDS-01-013, FDS-03-018, FDS-03-019, FDS-03-020, FDS-05-031, FDS-05-032, FDS-05-033, FDS-06-023a, FDS-06-028, FDS-06-029, FDS-08-007a, FDS-12-009..011 NEW; FDS-03-001, FDS-04-007 extended. Data Model v1.8.</w:t>
            </w:r>
          </w:p>
        </w:tc>
      </w:tr>
      <w:tr>
        <w:tc>
          <w:tcPr/>
          <w:p>
            <w:pPr>
              <w:pStyle w:val="Compact"/>
            </w:pPr>
            <w:r>
              <w:t xml:space="preserve">0.9</w:t>
            </w:r>
          </w:p>
        </w:tc>
        <w:tc>
          <w:tcPr/>
          <w:p>
            <w:pPr>
              <w:pStyle w:val="Compact"/>
            </w:pPr>
            <w:r>
              <w:t xml:space="preserve">2026-04-21</w:t>
            </w:r>
          </w:p>
        </w:tc>
        <w:tc>
          <w:tcPr/>
          <w:p>
            <w:pPr>
              <w:pStyle w:val="Compact"/>
            </w:pPr>
            <w:r>
              <w:t xml:space="preserve">Blue Ridge Automation</w:t>
            </w:r>
          </w:p>
        </w:tc>
        <w:tc>
          <w:tcPr/>
          <w:p>
            <w:pPr>
              <w:pStyle w:val="Compact"/>
            </w:pPr>
            <w:r>
              <w:rPr>
                <w:b/>
                <w:bCs/>
              </w:rPr>
              <w:t xml:space="preserve">§2.5, §5.4, §5.5, §6.10, §9.4, §10.3 — Phase D of OI review refactor (OI-04, -05, -07, -08 addenda, -09 addenda, -03).</w:t>
            </w:r>
            <w:r>
              <w:t xml:space="preserve"> </w:t>
            </w:r>
            <w:r>
              <w:t xml:space="preserve">FDS-02-010..014, FDS-05-022..024 NEW; FDS-05-025..027 (merge rules); FDS-06-025..027; FDS-09-012..014 NEW; FDS-10-005 rewritten; FDS-10-009..012 NEW. Data Model v1.7.</w:t>
            </w:r>
          </w:p>
        </w:tc>
      </w:tr>
      <w:tr>
        <w:tc>
          <w:tcPr>
            <w:shd w:val="clear" w:color="auto" w:fill="F2F2F2"/>
          </w:tcPr>
          <w:tcPr/>
          <w:p>
            <w:pPr>
              <w:pStyle w:val="Compact"/>
            </w:pPr>
            <w:r>
              <w:t xml:space="preserve">0.8</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§1.6, §4 — OI-06 security rewrite (initials-based operator presence; AD elevation per-action; clock# + PIN removed).</w:t>
            </w:r>
            <w:r>
              <w:t xml:space="preserve"> </w:t>
            </w:r>
            <w:r>
              <w:t xml:space="preserve">FDS-01-010 updated; FDS-04-001..010 (entire section rewritten); FDS-04-009, FDS-04-010 NEW. Data Model v1.6.</w:t>
            </w:r>
          </w:p>
        </w:tc>
      </w:tr>
      <w:tr>
        <w:tc>
          <w:tcPr/>
          <w:p>
            <w:pPr>
              <w:pStyle w:val="Compact"/>
            </w:pPr>
            <w:r>
              <w:t xml:space="preserve">0.7</w:t>
            </w:r>
          </w:p>
        </w:tc>
        <w:tc>
          <w:tcPr/>
          <w:p>
            <w:pPr>
              <w:pStyle w:val="Compact"/>
            </w:pPr>
            <w:r>
              <w:t xml:space="preserve">2026-04-15</w:t>
            </w:r>
          </w:p>
        </w:tc>
        <w:tc>
          <w:tcPr/>
          <w:p>
            <w:pPr>
              <w:pStyle w:val="Compact"/>
            </w:pPr>
            <w:r>
              <w:t xml:space="preserve">Blue Ridge Automation</w:t>
            </w:r>
          </w:p>
        </w:tc>
        <w:tc>
          <w:tcPr/>
          <w:p>
            <w:pPr>
              <w:pStyle w:val="Compact"/>
            </w:pPr>
            <w:r>
              <w:rPr>
                <w:b/>
                <w:bCs/>
              </w:rPr>
              <w:t xml:space="preserve">§3.4, §6.2 — Production data collection capture (template→event gap closed).</w:t>
            </w:r>
            <w:r>
              <w:t xml:space="preserve"> </w:t>
            </w:r>
            <w:r>
              <w:t xml:space="preserve">FDS-03-012 rewritten; FDS-03-017a NEW; FDS-06-001, FDS-06-003 rewritten. Data Model v1.4.</w:t>
            </w:r>
          </w:p>
        </w:tc>
      </w:tr>
      <w:tr>
        <w:tc>
          <w:tcPr>
            <w:shd w:val="clear" w:color="auto" w:fill="F2F2F2"/>
          </w:tcPr>
          <w:tcPr/>
          <w:p>
            <w:pPr>
              <w:pStyle w:val="Compact"/>
            </w:pPr>
            <w:r>
              <w:t xml:space="preserve">0.6</w:t>
            </w:r>
          </w:p>
        </w:tc>
        <w:tc>
          <w:tcPr>
            <w:shd w:val="clear" w:color="auto" w:fill="F2F2F2"/>
          </w:tcPr>
          <w:tcPr/>
          <w:p>
            <w:pPr>
              <w:pStyle w:val="Compact"/>
            </w:pPr>
            <w:r>
              <w:t xml:space="preserve">2026-04-15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§11 — Phase 5/6 SQL completion + Ignition JDBC convention.</w:t>
            </w:r>
            <w:r>
              <w:t xml:space="preserve"> </w:t>
            </w:r>
            <w:r>
              <w:t xml:space="preserve">FDS-11-011 NEW (single-result-set / no-OUTPUT-params rule). Data Model v1.3.</w:t>
            </w:r>
          </w:p>
        </w:tc>
      </w:tr>
      <w:tr>
        <w:tc>
          <w:tcPr/>
          <w:p>
            <w:pPr>
              <w:pStyle w:val="Compact"/>
            </w:pPr>
            <w:r>
              <w:t xml:space="preserve">0.5</w:t>
            </w:r>
          </w:p>
        </w:tc>
        <w:tc>
          <w:tcPr/>
          <w:p>
            <w:pPr>
              <w:pStyle w:val="Compact"/>
            </w:pPr>
            <w:r>
              <w:t xml:space="preserve">2026-04-10</w:t>
            </w:r>
          </w:p>
        </w:tc>
        <w:tc>
          <w:tcPr/>
          <w:p>
            <w:pPr>
              <w:pStyle w:val="Compact"/>
            </w:pPr>
            <w:r>
              <w:t xml:space="preserve">Blue Ridge Automation</w:t>
            </w:r>
          </w:p>
        </w:tc>
        <w:tc>
          <w:tcPr/>
          <w:p>
            <w:pPr>
              <w:pStyle w:val="Compact"/>
            </w:pPr>
            <w:r>
              <w:rPr>
                <w:b/>
                <w:bCs/>
              </w:rPr>
              <w:t xml:space="preserve">§11 — Audit fourth log stream (FailureLog).</w:t>
            </w:r>
            <w:r>
              <w:t xml:space="preserve"> </w:t>
            </w:r>
            <w:r>
              <w:t xml:space="preserve">FDS-11-004 NEW; FDS-11-005..010 renumbered.</w:t>
            </w:r>
          </w:p>
        </w:tc>
      </w:tr>
      <w:tr>
        <w:tc>
          <w:tcPr>
            <w:shd w:val="clear" w:color="auto" w:fill="F2F2F2"/>
          </w:tcPr>
          <w:tcPr/>
          <w:p>
            <w:pPr>
              <w:pStyle w:val="Compact"/>
            </w:pPr>
            <w:r>
              <w:t xml:space="preserve">0.4</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§2.1–2.5, §5.3, §5.20, §6.19, §7.19 — Location model restructure (LocationType / LocationTypeDefinition / LocationAttributeDefinition).</w:t>
            </w:r>
            <w:r>
              <w:t xml:space="preserve"> </w:t>
            </w:r>
            <w:r>
              <w:t xml:space="preserve">FDS-05-008 NEW; FDS-05-004, FDS-05-020, FDS-06-019, FDS-07-019 updated. Word table styling added.</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rPr>
                <w:b/>
                <w:bCs/>
              </w:rPr>
              <w:t xml:space="preserve">§2.2, §2.3 — Naming convention to UpperCamelCase; Department merged into Area; Enterprise added to ISA-95 hierarchy.</w:t>
            </w:r>
            <w:r>
              <w:t xml:space="preserve"> </w:t>
            </w:r>
            <w:r>
              <w:t xml:space="preserve">FDS-02-001, FDS-02-003 updated.</w:t>
            </w:r>
          </w:p>
        </w:tc>
      </w:tr>
      <w:tr>
        <w:tc>
          <w:tcPr>
            <w:shd w:val="clear" w:color="auto" w:fill="F2F2F2"/>
          </w:tcPr>
          <w:tcPr/>
          <w:p>
            <w:pPr>
              <w:pStyle w:val="Compact"/>
            </w:pPr>
            <w:r>
              <w:t xml:space="preserve">0.2</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§1.4, §1.6, §2.5, §3.6, §4.2, §5.4, §5.5, §6.3, §6.5, §6.6, §6.10, §10.3 — OI/UJ design decisions integrated (OI-01, OI-08, OI-09 resolved).</w:t>
            </w:r>
            <w:r>
              <w:t xml:space="preserve"> </w:t>
            </w:r>
            <w:r>
              <w:t xml:space="preserve">FRS references added throughout OI register.</w:t>
            </w:r>
          </w:p>
        </w:tc>
      </w:tr>
      <w:tr>
        <w:tc>
          <w:tcPr/>
          <w:p>
            <w:pPr>
              <w:pStyle w:val="Compact"/>
            </w:pPr>
            <w:r>
              <w:t xml:space="preserve">0.1</w:t>
            </w:r>
          </w:p>
        </w:tc>
        <w:tc>
          <w:tcPr/>
          <w:p>
            <w:pPr>
              <w:pStyle w:val="Compact"/>
            </w:pPr>
            <w:r>
              <w:t xml:space="preserve">2026-04-06</w:t>
            </w:r>
          </w:p>
        </w:tc>
        <w:tc>
          <w:tcPr/>
          <w:p>
            <w:pPr>
              <w:pStyle w:val="Compact"/>
            </w:pPr>
            <w:r>
              <w:t xml:space="preserve">Blue Ridge Automation</w:t>
            </w:r>
          </w:p>
        </w:tc>
        <w:tc>
          <w:tcPr/>
          <w:p>
            <w:pPr>
              <w:pStyle w:val="Compact"/>
            </w:pPr>
            <w:r>
              <w:t xml:space="preserve">Initial draft — front matter, architecture, plant model, master data.</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2026-05-01T15:18:38Z</dcterms:created>
  <dcterms:modified xsi:type="dcterms:W3CDTF">2026-05-01T15:18:38Z</dcterms:modified>
</cp:coreProperties>
</file>

<file path=docProps/custom.xml><?xml version="1.0" encoding="utf-8"?>
<Properties xmlns="http://schemas.openxmlformats.org/officeDocument/2006/custom-properties" xmlns:vt="http://schemas.openxmlformats.org/officeDocument/2006/docPropsVTypes"/>
</file>