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1.4 — Customer Review Release</w:t>
      </w:r>
      <w:r>
        <w:t xml:space="preserve"> </w:t>
      </w:r>
      <w:r>
        <w:rPr>
          <w:b/>
          <w:bCs/>
        </w:rPr>
        <w:t xml:space="preserve">Date:</w:t>
      </w:r>
      <w:r>
        <w:t xml:space="preserve"> </w:t>
      </w:r>
      <w:r>
        <w:t xml:space="preserve">2026-06-10</w:t>
      </w:r>
    </w:p>
    <w:p>
      <w:r>
        <w:pict>
          <v:rect style="width:0;height:1.5pt" o:hralign="center" o:hrstd="t" o:hr="t"/>
        </w:pict>
      </w:r>
    </w:p>
    <w:bookmarkStart w:id="9" w:name="feedback-welcomed"/>
    <w:p>
      <w:pPr>
        <w:pStyle w:val="Heading2"/>
      </w:pPr>
      <w:r>
        <w:t xml:space="preserve">Feedback Welcomed</w:t>
      </w:r>
    </w:p>
    <w:p>
      <w:pPr>
        <w:pStyle w:val="FirstParagraph"/>
      </w:pPr>
      <w:r>
        <w:t xml:space="preserve">This is the</w:t>
      </w:r>
      <w:r>
        <w:t xml:space="preserve"> </w:t>
      </w:r>
      <w:r>
        <w:rPr>
          <w:b/>
          <w:bCs/>
        </w:rPr>
        <w:t xml:space="preserve">first release of this FDS for customer review.</w:t>
      </w:r>
      <w:r>
        <w:t xml:space="preserve"> </w:t>
      </w:r>
      <w:r>
        <w:t xml:space="preserve">Critical feedback at this stage produces a better end product.</w:t>
      </w:r>
    </w:p>
    <w:p>
      <w:pPr>
        <w:pStyle w:val="BodyText"/>
      </w:pPr>
      <w:r>
        <w:t xml:space="preserve">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pPr>
        <w:pStyle w:val="BodyText"/>
      </w:pPr>
      <w:r>
        <w:t xml:space="preserve">Areas where critical feedback is especially valuable:</w:t>
      </w:r>
    </w:p>
    <w:p>
      <w:pPr>
        <w:pStyle w:val="Compact"/>
        <w:numPr>
          <w:ilvl w:val="0"/>
          <w:numId w:val="1001"/>
        </w:numPr>
      </w:pPr>
      <w:r>
        <w:rPr>
          <w:b/>
          <w:bCs/>
        </w:rPr>
        <w:t xml:space="preserve">Plant-floor workflows</w:t>
      </w:r>
      <w:r>
        <w:t xml:space="preserve"> </w:t>
      </w:r>
      <w:r>
        <w:t xml:space="preserve">(§5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pPr>
        <w:pStyle w:val="Compact"/>
        <w:numPr>
          <w:ilvl w:val="0"/>
          <w:numId w:val="1001"/>
        </w:numPr>
      </w:pPr>
      <w:r>
        <w:rPr>
          <w:b/>
          <w:bCs/>
        </w:rPr>
        <w:t xml:space="preserve">Data captured at each event</w:t>
      </w:r>
      <w:r>
        <w:t xml:space="preserve"> </w:t>
      </w:r>
      <w:r>
        <w:t xml:space="preserve">— is anything we record extraneous? Is anything we omit going to be missed later?</w:t>
      </w:r>
    </w:p>
    <w:p>
      <w:pPr>
        <w:pStyle w:val="Compact"/>
        <w:numPr>
          <w:ilvl w:val="0"/>
          <w:numId w:val="1001"/>
        </w:numPr>
      </w:pPr>
      <w:r>
        <w:rPr>
          <w:b/>
          <w:bCs/>
        </w:rPr>
        <w:t xml:space="preserve">Honda traceability</w:t>
      </w:r>
      <w:r>
        <w:t xml:space="preserve"> </w:t>
      </w:r>
      <w:r>
        <w:t xml:space="preserve">(§5, §7, §12 Reporting) — does the genealogy capture what Honda asks for in audits? Does the Global Trace Tool surface the right entities?</w:t>
      </w:r>
    </w:p>
    <w:p>
      <w:pPr>
        <w:pStyle w:val="Compact"/>
        <w:numPr>
          <w:ilvl w:val="0"/>
          <w:numId w:val="1001"/>
        </w:numPr>
      </w:pPr>
      <w:r>
        <w:rPr>
          <w:b/>
          <w:bCs/>
        </w:rPr>
        <w:t xml:space="preserve">Integration touch points</w:t>
      </w:r>
      <w:r>
        <w:t xml:space="preserve"> </w:t>
      </w:r>
      <w:r>
        <w:t xml:space="preserve">(§10 PLC/OPC, §13 External Interfaces — AIM, Macola) — are the handshake contracts, retry policies, and error-recovery flows correct?</w:t>
      </w:r>
    </w:p>
    <w:p>
      <w:pPr>
        <w:pStyle w:val="Compact"/>
        <w:numPr>
          <w:ilvl w:val="0"/>
          <w:numId w:val="1001"/>
        </w:numPr>
      </w:pPr>
      <w:r>
        <w:rPr>
          <w:b/>
          <w:bCs/>
        </w:rPr>
        <w:t xml:space="preserve">Scope boundary</w:t>
      </w:r>
      <w:r>
        <w:t xml:space="preserve"> </w:t>
      </w:r>
      <w:r>
        <w:t xml:space="preserve">— is anything we have tagged FUTURE actually MVP? Is anything we have tagged MVP actually out of scope for this engagement?</w:t>
      </w:r>
    </w:p>
    <w:p>
      <w:pPr>
        <w:pStyle w:val="Compact"/>
        <w:numPr>
          <w:ilvl w:val="0"/>
          <w:numId w:val="1001"/>
        </w:numPr>
      </w:pPr>
      <w:r>
        <w:rPr>
          <w:b/>
          <w:bCs/>
        </w:rPr>
        <w:t xml:space="preserve">Outstanding items</w:t>
      </w:r>
      <w:r>
        <w:t xml:space="preserve"> </w:t>
      </w:r>
      <w:r>
        <w:t xml:space="preserve">— six items remain Open at the end of this document. Each requires explicit input before that section closes.</w:t>
      </w:r>
    </w:p>
    <w:p>
      <w:pPr>
        <w:pStyle w:val="FirstParagraph"/>
      </w:pPr>
      <w:r>
        <w:t xml:space="preserve">Comments may be returned as annotations on the Word document, an annotated PDF, or a separate written response — whichever is easiest for the reviewer. There is no wrong way to flag a concern.</w:t>
      </w:r>
    </w:p>
    <w:p>
      <w:r>
        <w:pict>
          <v:rect style="width:0;height:1.5pt" o:hralign="center" o:hrstd="t" o:hr="t"/>
        </w:pict>
      </w:r>
    </w:p>
    <w:bookmarkEnd w:id="9"/>
    <w:bookmarkStart w:id="10"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1.4</w:t>
            </w:r>
          </w:p>
        </w:tc>
        <w:tc>
          <w:tcPr/>
          <w:p>
            <w:pPr>
              <w:pStyle w:val="Compact"/>
            </w:pPr>
            <w:r>
              <w:t xml:space="preserve">2026-06-10</w:t>
            </w:r>
          </w:p>
        </w:tc>
        <w:tc>
          <w:tcPr/>
          <w:p>
            <w:pPr>
              <w:pStyle w:val="Compact"/>
            </w:pPr>
            <w:r>
              <w:t xml:space="preserve">Blue Ridge Automation</w:t>
            </w:r>
          </w:p>
        </w:tc>
        <w:tc>
          <w:tcPr/>
          <w:p>
            <w:pPr>
              <w:pStyle w:val="Compact"/>
            </w:pPr>
            <w:r>
              <w:rPr>
                <w:b/>
                <w:bCs/>
              </w:rPr>
              <w:t xml:space="preserve">Terminal mode model replaced (view-policy).</w:t>
            </w:r>
            <w:r>
              <w:t xml:space="preserve"> </w:t>
            </w:r>
            <w:r>
              <w:t xml:space="preserve">FDS-02-010 rewritten — dedicated-vs-shared behavior is a property of the operator view assigned via the Terminal’s</w:t>
            </w:r>
            <w:r>
              <w:t xml:space="preserve"> </w:t>
            </w:r>
            <w:r>
              <w:rPr>
                <w:rStyle w:val="VerbatimChar"/>
              </w:rPr>
              <w:t xml:space="preserve">DefaultScreen</w:t>
            </w:r>
            <w:r>
              <w:t xml:space="preserve"> </w:t>
            </w:r>
            <w:r>
              <w:t xml:space="preserve">attribute; the parent-tier derivation is retired (MPP’s machining/assembly lines + trim shops are tracked at line/area resolution with no equipment cells beneath their terminals, so the hierarchy cannot encode behavior; smoke-discovered 2026-06-10). Dedicated context = the Terminal’s parent Location at any tier; shared context picker = descendant</w:t>
            </w:r>
            <w:r>
              <w:t xml:space="preserve"> </w:t>
            </w:r>
            <w:r>
              <w:rPr>
                <w:b/>
                <w:bCs/>
              </w:rPr>
              <w:t xml:space="preserve">equipment</w:t>
            </w:r>
            <w:r>
              <w:t xml:space="preserve"> </w:t>
            </w:r>
            <w:r>
              <w:t xml:space="preserve">Cells (new</w:t>
            </w:r>
            <w:r>
              <w:t xml:space="preserve"> </w:t>
            </w:r>
            <w:r>
              <w:rPr>
                <w:rStyle w:val="VerbatimChar"/>
              </w:rPr>
              <w:t xml:space="preserve">Location.Terminal_ListContextCells</w:t>
            </w:r>
            <w:r>
              <w:t xml:space="preserve">, excluding Terminal/Printer kinds). FDS-02-008 (no mode attribute; ≥1 child Printer required,</w:t>
            </w:r>
            <w:r>
              <w:t xml:space="preserve"> </w:t>
            </w:r>
            <w:r>
              <w:rPr>
                <w:rStyle w:val="VerbatimChar"/>
              </w:rPr>
              <w:t xml:space="preserve">HasPrinter</w:t>
            </w:r>
            <w:r>
              <w:t xml:space="preserve"> </w:t>
            </w:r>
            <w:r>
              <w:t xml:space="preserve">registry flag), FDS-02-009/011 (context rules re-anchored to view flavor), FDS-04-003 (presence policy via</w:t>
            </w:r>
            <w:r>
              <w:t xml:space="preserve"> </w:t>
            </w:r>
            <w:r>
              <w:rPr>
                <w:rStyle w:val="VerbatimChar"/>
              </w:rPr>
              <w:t xml:space="preserve">session.custom.presence.policy</w:t>
            </w:r>
            <w:r>
              <w:t xml:space="preserve">) amended;</w:t>
            </w:r>
            <w:r>
              <w:t xml:space="preserve"> </w:t>
            </w:r>
            <w:r>
              <w:rPr>
                <w:b/>
                <w:bCs/>
              </w:rPr>
              <w:t xml:space="preserve">FDS-04-006 explicitly unchanged</w:t>
            </w:r>
            <w:r>
              <w:t xml:space="preserve"> </w:t>
            </w:r>
            <w:r>
              <w:t xml:space="preserve">— both flavors keep the 30-minute re-confirmation. Design record:</w:t>
            </w:r>
            <w:r>
              <w:t xml:space="preserve"> </w:t>
            </w:r>
            <w:r>
              <w:rPr>
                <w:rStyle w:val="VerbatimChar"/>
              </w:rPr>
              <w:t xml:space="preserve">docs/superpowers/specs/2026-06-10-terminal-mode-view-policy-design.md</w:t>
            </w:r>
            <w:r>
              <w:t xml:space="preserve">.</w:t>
            </w:r>
          </w:p>
        </w:tc>
      </w:tr>
      <w:tr>
        <w:tc>
          <w:tcPr>
            <w:shd w:val="clear" w:color="auto" w:fill="F2F2F2"/>
          </w:tcPr>
          <w:tcPr/>
          <w:p>
            <w:pPr>
              <w:pStyle w:val="Compact"/>
            </w:pPr>
            <w:r>
              <w:t xml:space="preserve">1.3a</w:t>
            </w:r>
          </w:p>
        </w:tc>
        <w:tc>
          <w:tcPr>
            <w:shd w:val="clear" w:color="auto" w:fill="F2F2F2"/>
          </w:tcPr>
          <w:tcPr/>
          <w:p>
            <w:pPr>
              <w:pStyle w:val="Compact"/>
            </w:pPr>
            <w:r>
              <w:t xml:space="preserve">2026-06-09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FDS-11-009 retention policy amended per OI-35 B1 sign-off (2026-06-08).</w:t>
            </w:r>
            <w:r>
              <w:t xml:space="preserve"> </w:t>
            </w:r>
            <w:r>
              <w:t xml:space="preserve">The flat</w:t>
            </w:r>
            <w:r>
              <w:t xml:space="preserve"> </w:t>
            </w:r>
            <w:r>
              <w:t xml:space="preserve">“all MES data 20 years”</w:t>
            </w:r>
            <w:r>
              <w:t xml:space="preserve"> </w:t>
            </w:r>
            <w:r>
              <w:t xml:space="preserve">rule is replaced with</w:t>
            </w:r>
            <w:r>
              <w:t xml:space="preserve"> </w:t>
            </w:r>
            <w:r>
              <w:rPr>
                <w:b/>
                <w:bCs/>
              </w:rPr>
              <w:t xml:space="preserve">differentiated per-table retention</w:t>
            </w:r>
            <w:r>
              <w:t xml:space="preserve"> </w:t>
            </w:r>
            <w:r>
              <w:t xml:space="preserve">— 20-yr Honda traceability (</w:t>
            </w:r>
            <w:r>
              <w:rPr>
                <w:rStyle w:val="VerbatimChar"/>
              </w:rPr>
              <w:t xml:space="preserve">Lots.*</w:t>
            </w:r>
            <w:r>
              <w:t xml:space="preserve"> </w:t>
            </w:r>
            <w:r>
              <w:t xml:space="preserve">events,</w:t>
            </w:r>
            <w:r>
              <w:t xml:space="preserve"> </w:t>
            </w:r>
            <w:r>
              <w:rPr>
                <w:rStyle w:val="VerbatimChar"/>
              </w:rPr>
              <w:t xml:space="preserve">ContainerSerial</w:t>
            </w:r>
            <w:r>
              <w:t xml:space="preserve">/</w:t>
            </w:r>
            <w:r>
              <w:rPr>
                <w:rStyle w:val="VerbatimChar"/>
              </w:rPr>
              <w:t xml:space="preserve">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rPr>
                <w:rStyle w:val="VerbatimChar"/>
              </w:rPr>
              <w:t xml:space="preserve">RejectEvent</w:t>
            </w:r>
            <w:r>
              <w:t xml:space="preserve">,</w:t>
            </w:r>
            <w:r>
              <w:t xml:space="preserve"> </w:t>
            </w:r>
            <w:r>
              <w:rPr>
                <w:rStyle w:val="VerbatimChar"/>
              </w:rPr>
              <w:t xml:space="preserve">Quality.QualitySample</w:t>
            </w:r>
            <w:r>
              <w:t xml:space="preserve">/</w:t>
            </w:r>
            <w:r>
              <w:rPr>
                <w:rStyle w:val="VerbatimChar"/>
              </w:rPr>
              <w:t xml:space="preserve">QualityResult</w:t>
            </w:r>
            <w:r>
              <w:t xml:space="preserve">) vs 7-yr general operational/audit (</w:t>
            </w:r>
            <w:r>
              <w:rPr>
                <w:rStyle w:val="VerbatimChar"/>
              </w:rPr>
              <w:t xml:space="preserve">Audit.OperationLog</w:t>
            </w:r>
            <w:r>
              <w:t xml:space="preserve">/</w:t>
            </w:r>
            <w:r>
              <w:rPr>
                <w:rStyle w:val="VerbatimChar"/>
              </w:rPr>
              <w:t xml:space="preserve">FailureLog</w:t>
            </w:r>
            <w:r>
              <w:t xml:space="preserve">/</w:t>
            </w:r>
            <w:r>
              <w:rPr>
                <w:rStyle w:val="VerbatimChar"/>
              </w:rPr>
              <w:t xml:space="preserve">InterfaceLog</w:t>
            </w:r>
            <w:r>
              <w:t xml:space="preserve">/</w:t>
            </w:r>
            <w:r>
              <w:rPr>
                <w:rStyle w:val="VerbatimChar"/>
              </w:rPr>
              <w:t xml:space="preserve">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rPr>
                <w:rStyle w:val="VerbatimChar"/>
              </w:rPr>
              <w:t xml:space="preserve">Value</w:t>
            </w:r>
            <w:r>
              <w:t xml:space="preserve">,</w:t>
            </w:r>
            <w:r>
              <w:t xml:space="preserve"> </w:t>
            </w:r>
            <w:r>
              <w:rPr>
                <w:rStyle w:val="VerbatimChar"/>
              </w:rPr>
              <w:t xml:space="preserve">Quality.QualityAttachment</w:t>
            </w:r>
            <w:r>
              <w:t xml:space="preserve">) — enforced via the OI-35 B2 monthly sliding-window partition process (</w:t>
            </w:r>
            <w:r>
              <w:rPr>
                <w:rStyle w:val="VerbatimChar"/>
              </w:rPr>
              <w:t xml:space="preserve">TRUNCATE</w:t>
            </w:r>
            <w:r>
              <w:t xml:space="preserve"> </w:t>
            </w:r>
            <w:r>
              <w:t xml:space="preserve">age-out; see Data Model §</w:t>
            </w:r>
            <w:r>
              <w:t xml:space="preserve"> </w:t>
            </w:r>
            <w:r>
              <w:t xml:space="preserve">“Scaling Decisions”</w:t>
            </w:r>
            <w:r>
              <w:t xml:space="preserve">). Final windows subject to MPP IT confirmation (B1). Post-acceptance amendment from the signed-off Phase 0 Track-B architecture review; no other §11 change.</w:t>
            </w:r>
            <w:r>
              <w:t xml:space="preserve"> </w:t>
            </w:r>
            <w:r>
              <w:rPr>
                <w:b/>
                <w:bCs/>
              </w:rPr>
              <w:t xml:space="preserve">Carried action:</w:t>
            </w:r>
            <w:r>
              <w:t xml:space="preserve"> </w:t>
            </w:r>
            <w:r>
              <w:t xml:space="preserve">remove the 50/50 even-split-default wording from §5/§6 sub-LOT-split prose at the next pass (UJ-03 changed per Phase 0 T008 — operator enters all split quantities).</w:t>
            </w:r>
          </w:p>
        </w:tc>
      </w:tr>
      <w:tr>
        <w:tc>
          <w:tcPr/>
          <w:p>
            <w:pPr>
              <w:pStyle w:val="Compact"/>
            </w:pPr>
            <w:r>
              <w:t xml:space="preserve">1.3</w:t>
            </w:r>
          </w:p>
        </w:tc>
        <w:tc>
          <w:tcPr/>
          <w:p>
            <w:pPr>
              <w:pStyle w:val="Compact"/>
            </w:pPr>
            <w:r>
              <w:t xml:space="preserve">2026-06-03</w:t>
            </w:r>
          </w:p>
        </w:tc>
        <w:tc>
          <w:tcPr/>
          <w:p>
            <w:pPr>
              <w:pStyle w:val="Compact"/>
            </w:pPr>
            <w:r>
              <w:t xml:space="preserve">Blue Ridge Automation</w:t>
            </w:r>
          </w:p>
        </w:tc>
        <w:tc>
          <w:tcPr/>
          <w:p>
            <w:pPr>
              <w:pStyle w:val="Compact"/>
            </w:pPr>
            <w:r>
              <w:rPr>
                <w:b/>
                <w:bCs/>
              </w:rPr>
              <w:t xml:space="preserve">Sub-LOT split relocated from Trim OUT to Machining OUT</w:t>
            </w:r>
            <w:r>
              <w:t xml:space="preserve"> </w:t>
            </w:r>
            <w:r>
              <w:t xml:space="preserve">(per MPP, confirmed 2026-06 — supersedes the prior Trim-OUT split design; not an open item, the question is settled with the customer). Trim is now a</w:t>
            </w:r>
            <w:r>
              <w:t xml:space="preserve"> </w:t>
            </w:r>
            <w:r>
              <w:rPr>
                <w:b/>
                <w:bCs/>
              </w:rPr>
              <w:t xml:space="preserve">1:1 whole-LOT move tracked at Area resolution</w:t>
            </w:r>
            <w:r>
              <w:t xml:space="preserve"> </w:t>
            </w:r>
            <w:r>
              <w:t xml:space="preserve">(check-in → process → check-out, no line/cell tracking, no split). The Trim → Machining rename still fires at Machining IN (FDS-05-033) on the whole LOT; the split into N machined sub-LOTs now fires at</w:t>
            </w:r>
            <w:r>
              <w:t xml:space="preserve"> </w:t>
            </w:r>
            <w:r>
              <w:rPr>
                <w:b/>
                <w:bCs/>
              </w:rPr>
              <w:t xml:space="preserve">Machining OUT</w:t>
            </w:r>
            <w:r>
              <w:t xml:space="preserve"> </w:t>
            </w:r>
            <w:r>
              <w:t xml:space="preserve">on lines that sublot — physical signature is a dedicated Machining OUT terminal. Edits: FDS-05-009 (retitled</w:t>
            </w:r>
            <w:r>
              <w:t xml:space="preserve"> </w:t>
            </w:r>
            <w:r>
              <w:t xml:space="preserve">“Machining OUT Sub-LOT Split Workflow”</w:t>
            </w:r>
            <w:r>
              <w:t xml:space="preserve">), FDS-06-006 (Trim OUT → whole-LOT move), FDS-06-004 (Trim tracked at Area), FDS-06-007 (Machining IN FIFO holds whole LOTs), FDS-06-008 (Machining OUT branches: split on sublotting lines, else auto-move to coupled Assembly), §5.4 intro, §6.3 / §6.4 narrative, and the §8 partial-quality-split reference (now points to FDS-05-022).</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so the Arc 2 Phase 1 build (</w:t>
            </w:r>
            <w:r>
              <w:rPr>
                <w:rStyle w:val="VerbatimChar"/>
              </w:rPr>
              <w:t xml:space="preserve">0014</w:t>
            </w:r>
            <w:r>
              <w:t xml:space="preserve">) is unaffected.</w:t>
            </w:r>
          </w:p>
        </w:tc>
      </w:tr>
      <w:tr>
        <w:tc>
          <w:tcPr>
            <w:shd w:val="clear" w:color="auto" w:fill="F2F2F2"/>
          </w:tcPr>
          <w:tcPr/>
          <w:p>
            <w:pPr>
              <w:pStyle w:val="Compact"/>
            </w:pPr>
            <w:r>
              <w:t xml:space="preserve">1.2</w:t>
            </w:r>
          </w:p>
        </w:tc>
        <w:tc>
          <w:tcPr>
            <w:shd w:val="clear" w:color="auto" w:fill="F2F2F2"/>
          </w:tcPr>
          <w:tcPr/>
          <w:p>
            <w:pPr>
              <w:pStyle w:val="Compact"/>
            </w:pPr>
            <w:r>
              <w:t xml:space="preserve">2026-05-18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Location-hierarchy immutability made explicit.</w:t>
            </w:r>
            <w:r>
              <w:t xml:space="preserve"> </w:t>
            </w:r>
            <w:r>
              <w:t xml:space="preserve">Added</w:t>
            </w:r>
            <w:r>
              <w:t xml:space="preserve"> </w:t>
            </w:r>
            <w:r>
              <w:rPr>
                <w:b/>
                <w:bCs/>
              </w:rPr>
              <w:t xml:space="preserve">FDS-02-002a —</w:t>
            </w:r>
            <w:r>
              <w:rPr>
                <w:b/>
                <w:bCs/>
              </w:rPr>
              <w:t xml:space="preserve"> </w:t>
            </w:r>
            <w:r>
              <w:rPr>
                <w:rStyle w:val="VerbatimChar"/>
                <w:b/>
                <w:bCs/>
              </w:rPr>
              <w:t xml:space="preserve">ParentLocationId</w:t>
            </w:r>
            <w:r>
              <w:rPr>
                <w:b/>
                <w:bCs/>
              </w:rPr>
              <w:t xml:space="preserve"> </w:t>
            </w:r>
            <w:r>
              <w:rPr>
                <w:b/>
                <w:bCs/>
              </w:rPr>
              <w:t xml:space="preserve">is Immutable</w:t>
            </w:r>
            <w:r>
              <w:t xml:space="preserve">: a</w:t>
            </w:r>
            <w:r>
              <w:t xml:space="preserve"> </w:t>
            </w:r>
            <w:r>
              <w:rPr>
                <w:rStyle w:val="VerbatimChar"/>
              </w:rPr>
              <w:t xml:space="preserve">Location</w:t>
            </w:r>
            <w:r>
              <w:t xml:space="preserve">’s parent SHALL NOT change after creation, because retroactive hierarchy changes would silently rewrite historical track-and-trace reports (LotMovement, ConsumptionEvent, RejectEvent, DowntimeEvent, HoldEvent, OperationLog) — which join event rows to the live Location row to derive tier path. Physical relocations are handled by Deprecate + Create New (industry-standard MES pattern; preserves event-anchored history verbatim). The rule was previously an implementation-only convention buried in</w:t>
            </w:r>
            <w:r>
              <w:t xml:space="preserve"> </w:t>
            </w:r>
            <w:r>
              <w:rPr>
                <w:rStyle w:val="VerbatimChar"/>
              </w:rPr>
              <w:t xml:space="preserve">Location.Location_Update</w:t>
            </w:r>
            <w:r>
              <w:t xml:space="preserve">; promoted to FDS so it is auditable and survives any future code rewrite.</w:t>
            </w:r>
          </w:p>
        </w:tc>
      </w:tr>
      <w:tr>
        <w:tc>
          <w:tcPr/>
          <w:p>
            <w:pPr>
              <w:pStyle w:val="Compact"/>
            </w:pPr>
            <w:r>
              <w:t xml:space="preserve">1.1</w:t>
            </w:r>
          </w:p>
        </w:tc>
        <w:tc>
          <w:tcPr/>
          <w:p>
            <w:pPr>
              <w:pStyle w:val="Compact"/>
            </w:pPr>
            <w:r>
              <w:t xml:space="preserve">2026-05-12</w:t>
            </w:r>
          </w:p>
        </w:tc>
        <w:tc>
          <w:tcPr/>
          <w:p>
            <w:pPr>
              <w:pStyle w:val="Compact"/>
            </w:pPr>
            <w:r>
              <w:t xml:space="preserve">Blue Ridge Automation</w:t>
            </w:r>
          </w:p>
        </w:tc>
        <w:tc>
          <w:tcPr/>
          <w:p>
            <w:pPr>
              <w:pStyle w:val="Compact"/>
            </w:pPr>
            <w:r>
              <w:rPr>
                <w:b/>
                <w:bCs/>
              </w:rPr>
              <w:t xml:space="preserve">Customer Acceptance signature page added.</w:t>
            </w:r>
            <w:r>
              <w:t xml:space="preserve"> </w:t>
            </w:r>
            <w:r>
              <w:t xml:space="preserve">Replaces the v1.0 stub Approval table with a formal Customer Acceptance section: numbered acceptance statement (design intent, scope boundary, open-items acknowledgement, Phase 0 workshop carve-out, change control, reference-document handling), separate Prepared-By (Blue Ridge) and Accepted-By (MPP) signature blocks, and a Conditions or Exceptions register. No design-content changes elsewhere in the document.</w:t>
            </w:r>
          </w:p>
        </w:tc>
      </w:tr>
      <w:tr>
        <w:tc>
          <w:tcPr>
            <w:shd w:val="clear" w:color="auto" w:fill="F2F2F2"/>
          </w:tcPr>
          <w:tcPr/>
          <w:p>
            <w:pPr>
              <w:pStyle w:val="Compact"/>
            </w:pPr>
            <w:r>
              <w:t xml:space="preserve">1.0</w:t>
            </w:r>
          </w:p>
        </w:tc>
        <w:tc>
          <w:tcPr>
            <w:shd w:val="clear" w:color="auto" w:fill="F2F2F2"/>
          </w:tcPr>
          <w:tcPr/>
          <w:p>
            <w:pPr>
              <w:pStyle w:val="Compact"/>
            </w:pPr>
            <w:r>
              <w:t xml:space="preserve">2026-05-04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First release for customer review.</w:t>
            </w:r>
            <w:r>
              <w:t xml:space="preserve"> </w:t>
            </w:r>
            <w:r>
              <w:t xml:space="preserve">Consolidates all pre-release working-session edits (v0.1 through v0.11p) into a single customer-facing release. Covers all 16 sections — System Architecture, Plant 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w:t>
            </w:r>
            <w:r>
              <w:t xml:space="preserve"> </w:t>
            </w:r>
            <w:r>
              <w:rPr>
                <w:b/>
                <w:bCs/>
              </w:rPr>
              <w:t xml:space="preserve">6 items still requiring resolution</w:t>
            </w:r>
            <w:r>
              <w:t xml:space="preserve"> </w:t>
            </w:r>
            <w:r>
              <w:t xml:space="preserve">(OI-32, OI-33, OI-34, OI-35, UJ-05, UJ-19) — these gate either Arc 2 SQL build or specific design sections and need MPP customer validation or Blue Ridge architecture review before commencement.</w:t>
            </w:r>
          </w:p>
        </w:tc>
      </w:tr>
    </w:tbl>
    <w:p>
      <w:pPr>
        <w:pStyle w:val="BlockText"/>
      </w:pPr>
      <w:r>
        <w:t xml:space="preserve">Granular pre-release history (v0.1 through v0.11p — every working-session edit captured) is preserved in</w:t>
      </w:r>
      <w:r>
        <w:t xml:space="preserve"> </w:t>
      </w:r>
      <w:r>
        <w:rPr>
          <w:rStyle w:val="VerbatimChar"/>
        </w:rPr>
        <w:t xml:space="preserve">MPP_MES_FDS_CHANGELOG.docx</w:t>
      </w:r>
      <w:r>
        <w:t xml:space="preserve"> </w:t>
      </w:r>
      <w:r>
        <w:t xml:space="preserve">as the design-evolution record. From v1.0 forward, revisions are tracked in this in-document table.</w:t>
      </w:r>
    </w:p>
    <w:p>
      <w:r>
        <w:pict>
          <v:rect style="width:0;height:1.5pt" o:hralign="center" o:hrstd="t" o:hr="t"/>
        </w:pict>
      </w:r>
    </w:p>
    <w:bookmarkEnd w:id="10"/>
    <w:bookmarkStart w:id="15" w:name="customer-acceptance"/>
    <w:p>
      <w:pPr>
        <w:pStyle w:val="Heading2"/>
      </w:pPr>
      <w:r>
        <w:t xml:space="preserve">Customer Acceptance</w:t>
      </w:r>
    </w:p>
    <w:p>
      <w:pPr>
        <w:pStyle w:val="FirstParagraph"/>
      </w:pPr>
      <w:r>
        <w:t xml:space="preserve">This page records formal acceptance of the MPP MES Functional Design Specification, Document</w:t>
      </w:r>
      <w:r>
        <w:t xml:space="preserve"> </w:t>
      </w:r>
      <w:r>
        <w:rPr>
          <w:b/>
          <w:bCs/>
        </w:rPr>
        <w:t xml:space="preserve">FDS-MPP-MES-001</w:t>
      </w:r>
      <w:r>
        <w:t xml:space="preserve">, Version</w:t>
      </w:r>
      <w:r>
        <w:t xml:space="preserve"> </w:t>
      </w:r>
      <w:r>
        <w:rPr>
          <w:b/>
          <w:bCs/>
        </w:rPr>
        <w:t xml:space="preserve">1.1</w:t>
      </w:r>
      <w:r>
        <w:t xml:space="preserve">, dated</w:t>
      </w:r>
      <w:r>
        <w:t xml:space="preserve"> </w:t>
      </w:r>
      <w:r>
        <w:rPr>
          <w:b/>
          <w:bCs/>
        </w:rPr>
        <w:t xml:space="preserve">2026-05-12</w:t>
      </w:r>
      <w:r>
        <w:t xml:space="preserve">, by the parties below.</w:t>
      </w:r>
    </w:p>
    <w:bookmarkStart w:id="11" w:name="acceptance-statement"/>
    <w:p>
      <w:pPr>
        <w:pStyle w:val="Heading3"/>
      </w:pPr>
      <w:r>
        <w:t xml:space="preserve">Acceptance Statement</w:t>
      </w:r>
    </w:p>
    <w:p>
      <w:pPr>
        <w:pStyle w:val="FirstParagraph"/>
      </w:pPr>
      <w:r>
        <w:t xml:space="preserve">By signing this page, the signatory acknowledges that they have reviewed this Functional Design Specification and agree to the following:</w:t>
      </w:r>
    </w:p>
    <w:p>
      <w:pPr>
        <w:pStyle w:val="Compact"/>
        <w:numPr>
          <w:ilvl w:val="0"/>
          <w:numId w:val="1002"/>
        </w:numPr>
      </w:pPr>
      <w:r>
        <w:rPr>
          <w:b/>
          <w:bCs/>
        </w:rPr>
        <w:t xml:space="preserve">Design intent.</w:t>
      </w:r>
      <w:r>
        <w:t xml:space="preserve"> </w:t>
      </w:r>
      <w:r>
        <w:t xml:space="preserve">The design described herein accurately reflects the requirements set out in the Flexware FRS v1.0 (3/15/2024) for the in-scope items defined in the MPP Scope Matrix, and constitutes Blue Ridge Automation’s authoritative design basis for the implementation phase.</w:t>
      </w:r>
    </w:p>
    <w:p>
      <w:pPr>
        <w:pStyle w:val="Compact"/>
        <w:numPr>
          <w:ilvl w:val="0"/>
          <w:numId w:val="1002"/>
        </w:numPr>
      </w:pPr>
      <w:r>
        <w:rPr>
          <w:b/>
          <w:bCs/>
        </w:rPr>
        <w:t xml:space="preserve">Scope boundary.</w:t>
      </w:r>
      <w:r>
        <w:t xml:space="preserve"> </w:t>
      </w:r>
      <w:r>
        <w:t xml:space="preserve">The MVP and MVP-EXPANDED items defined in §1.3 (Scope Matrix Cross-Reference) and elaborated in Sections 2 through 16 represent the complete delivery scope of this engagement, except where CONDITIONAL items have been separately approved in writing. Items tagged FUTURE are designed-for in the data model but are explicitly out of delivery scope for this phase.</w:t>
      </w:r>
    </w:p>
    <w:p>
      <w:pPr>
        <w:pStyle w:val="Compact"/>
        <w:numPr>
          <w:ilvl w:val="0"/>
          <w:numId w:val="1002"/>
        </w:numPr>
      </w:pPr>
      <w:r>
        <w:rPr>
          <w:b/>
          <w:bCs/>
        </w:rPr>
        <w:t xml:space="preserve">Open items.</w:t>
      </w:r>
      <w:r>
        <w:t xml:space="preserve"> </w:t>
      </w:r>
      <w:r>
        <w:t xml:space="preserve">Six items remain Open at the time of this acceptance —</w:t>
      </w:r>
      <w:r>
        <w:t xml:space="preserve"> </w:t>
      </w:r>
      <w:r>
        <w:rPr>
          <w:b/>
          <w:bCs/>
        </w:rPr>
        <w:t xml:space="preserve">OI-32</w:t>
      </w:r>
      <w:r>
        <w:t xml:space="preserve"> </w:t>
      </w:r>
      <w:r>
        <w:t xml:space="preserve">(Material Allocation operator screen),</w:t>
      </w:r>
      <w:r>
        <w:t xml:space="preserve"> </w:t>
      </w:r>
      <w:r>
        <w:rPr>
          <w:b/>
          <w:bCs/>
        </w:rPr>
        <w:t xml:space="preserve">OI-33</w:t>
      </w:r>
      <w:r>
        <w:t xml:space="preserve"> </w:t>
      </w:r>
      <w:r>
        <w:t xml:space="preserve">(AIM pool empty-pool hard-fail),</w:t>
      </w:r>
      <w:r>
        <w:t xml:space="preserve"> </w:t>
      </w:r>
      <w:r>
        <w:rPr>
          <w:b/>
          <w:bCs/>
        </w:rPr>
        <w:t xml:space="preserve">OI-34</w:t>
      </w:r>
      <w:r>
        <w:t xml:space="preserve"> </w:t>
      </w:r>
      <w:r>
        <w:t xml:space="preserve">(production schedule leverage),</w:t>
      </w:r>
      <w:r>
        <w:t xml:space="preserve"> </w:t>
      </w:r>
      <w:r>
        <w:rPr>
          <w:b/>
          <w:bCs/>
        </w:rPr>
        <w:t xml:space="preserve">OI-35</w:t>
      </w:r>
      <w:r>
        <w:t xml:space="preserve"> </w:t>
      </w:r>
      <w:r>
        <w:t xml:space="preserve">(long-horizon scaling, retention, and archiving),</w:t>
      </w:r>
      <w:r>
        <w:t xml:space="preserve"> </w:t>
      </w:r>
      <w:r>
        <w:rPr>
          <w:b/>
          <w:bCs/>
        </w:rPr>
        <w:t xml:space="preserve">UJ-05</w:t>
      </w:r>
      <w:r>
        <w:t xml:space="preserve"> </w:t>
      </w:r>
      <w:r>
        <w:t xml:space="preserve">(Sort Cage serial migration), and</w:t>
      </w:r>
      <w:r>
        <w:t xml:space="preserve"> </w:t>
      </w:r>
      <w:r>
        <w:rPr>
          <w:b/>
          <w:bCs/>
        </w:rPr>
        <w:t xml:space="preserve">UJ-19</w:t>
      </w:r>
      <w:r>
        <w:t xml:space="preserve"> </w:t>
      </w:r>
      <w:r>
        <w:t xml:space="preserve">(Productivity DB replacement report set). Signature on this page does</w:t>
      </w:r>
      <w:r>
        <w:t xml:space="preserve"> </w:t>
      </w:r>
      <w:r>
        <w:rPr>
          <w:b/>
          <w:bCs/>
        </w:rPr>
        <w:t xml:space="preserve">not</w:t>
      </w:r>
      <w:r>
        <w:t xml:space="preserve"> </w:t>
      </w:r>
      <w:r>
        <w:t xml:space="preserve">constitute resolution of these items. Each requires explicit resolution by its named owner before the affected section can be considered closed. Resolution of</w:t>
      </w:r>
      <w:r>
        <w:t xml:space="preserve"> </w:t>
      </w:r>
      <w:r>
        <w:rPr>
          <w:b/>
          <w:bCs/>
        </w:rPr>
        <w:t xml:space="preserve">OI-35</w:t>
      </w:r>
      <w:r>
        <w:t xml:space="preserve"> </w:t>
      </w:r>
      <w:r>
        <w:t xml:space="preserve">is a hard prerequisite to commencement of Arc 2 Phase 1 SQL build.</w:t>
      </w:r>
    </w:p>
    <w:p>
      <w:pPr>
        <w:pStyle w:val="Compact"/>
        <w:numPr>
          <w:ilvl w:val="0"/>
          <w:numId w:val="1002"/>
        </w:numPr>
      </w:pPr>
      <w:r>
        <w:rPr>
          <w:b/>
          <w:bCs/>
        </w:rPr>
        <w:t xml:space="preserve">Phase 0 Customer Validation Workshop.</w:t>
      </w:r>
      <w:r>
        <w:t xml:space="preserve"> </w:t>
      </w:r>
      <w:r>
        <w:t xml:space="preserve">A customer-validation workshop with MPP remains required before Arc 2 Phase 1 SQL build commences, covering the eight Track-A items listed in the project status record (FDS-06-030 BIT-flag enumeration, historical data migration, ShotCount semantics, 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 Honda AIM Hold/Update contract detail, label template scope, OI-32 framing, OI-33 customer validation). Acceptance of this FDS does not waive that workshop.</w:t>
      </w:r>
    </w:p>
    <w:p>
      <w:pPr>
        <w:pStyle w:val="Compact"/>
        <w:numPr>
          <w:ilvl w:val="0"/>
          <w:numId w:val="1002"/>
        </w:numPr>
      </w:pPr>
      <w:r>
        <w:rPr>
          <w:b/>
          <w:bCs/>
        </w:rPr>
        <w:t xml:space="preserve">Change control.</w:t>
      </w:r>
      <w:r>
        <w:t xml:space="preserve"> </w:t>
      </w:r>
      <w:r>
        <w:t xml:space="preserve">Any change to design, scope, schedule, or deliverable list following this acceptance requires a written change request signed by signatories of equivalent authority to those accepting this document. Verbal agreements, email threads, and meeting notes are not sufficient to alter the design baseline.</w:t>
      </w:r>
    </w:p>
    <w:p>
      <w:pPr>
        <w:pStyle w:val="Compact"/>
        <w:numPr>
          <w:ilvl w:val="0"/>
          <w:numId w:val="1002"/>
        </w:numPr>
      </w:pPr>
      <w:r>
        <w:rPr>
          <w:b/>
          <w:bCs/>
        </w:rPr>
        <w:t xml:space="preserve">Reference documents.</w:t>
      </w:r>
      <w:r>
        <w:t xml:space="preserve"> </w:t>
      </w:r>
      <w:r>
        <w:t xml:space="preserve">This FDS references the companion documents listed in the Scope Statement (Data Model, ERD, User Journeys, Phased Plans, Seeding Registry, SQL Best Practices). Changes to those companion documents that materially affect this FDS will be reflected in a subsequent revision of this document.</w:t>
      </w:r>
    </w:p>
    <w:bookmarkEnd w:id="11"/>
    <w:bookmarkStart w:id="12" w:name="prepared-by-blue-ridge-automation"/>
    <w:p>
      <w:pPr>
        <w:pStyle w:val="Heading3"/>
      </w:pPr>
      <w:r>
        <w:t xml:space="preserve">Prepared By — Blue Ridge Automation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Solutions Engineer (Document Author)</w:t>
            </w:r>
          </w:p>
        </w:tc>
        <w:tc>
          <w:tcPr>
            <w:shd w:val="clear" w:color="auto" w:fill="F2F2F2"/>
          </w:tcPr>
          <w:tcPr/>
          <w:p>
            <w:pPr>
              <w:pStyle w:val="Compact"/>
            </w:pPr>
            <w:r>
              <w:t xml:space="preserve">Jacques Potgieter</w:t>
            </w:r>
          </w:p>
        </w:tc>
        <w:tc>
          <w:tcPr>
            <w:shd w:val="clear" w:color="auto" w:fill="F2F2F2"/>
          </w:tcPr>
          <w:tcPr/>
          <w:p>
            <w:pPr>
              <w:pStyle w:val="Compact"/>
            </w:pPr>
          </w:p>
        </w:tc>
        <w:tc>
          <w:tcPr>
            <w:shd w:val="clear" w:color="auto" w:fill="F2F2F2"/>
          </w:tcPr>
          <w:tcPr/>
          <w:p>
            <w:pPr>
              <w:pStyle w:val="Compact"/>
            </w:pPr>
          </w:p>
        </w:tc>
      </w:tr>
    </w:tbl>
    <w:bookmarkEnd w:id="12"/>
    <w:bookmarkStart w:id="13" w:name="Xe2ff37afaf375e1699904a64ffb3fee1879915f"/>
    <w:p>
      <w:pPr>
        <w:pStyle w:val="Heading3"/>
      </w:pPr>
      <w:r>
        <w:t xml:space="preserve">Accepted By — Madison Precision Products, Inc.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Engineering</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Production Control</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Quality</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Information Technology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Operations / Plant Management</w:t>
            </w:r>
          </w:p>
        </w:tc>
        <w:tc>
          <w:tcPr/>
          <w:p>
            <w:pPr>
              <w:pStyle w:val="Compact"/>
            </w:pPr>
          </w:p>
        </w:tc>
        <w:tc>
          <w:tcPr/>
          <w:p>
            <w:pPr>
              <w:pStyle w:val="Compact"/>
            </w:pPr>
          </w:p>
        </w:tc>
        <w:tc>
          <w:tcPr/>
          <w:p>
            <w:pPr>
              <w:pStyle w:val="Compact"/>
            </w:pPr>
          </w:p>
        </w:tc>
      </w:tr>
    </w:tbl>
    <w:bookmarkEnd w:id="13"/>
    <w:bookmarkStart w:id="14" w:name="conditions-or-exceptions"/>
    <w:p>
      <w:pPr>
        <w:pStyle w:val="Heading3"/>
      </w:pPr>
      <w:r>
        <w:t xml:space="preserve">Conditions or Exceptions</w:t>
      </w:r>
    </w:p>
    <w:p>
      <w:pPr>
        <w:pStyle w:val="FirstParagraph"/>
      </w:pPr>
      <w:r>
        <w:t xml:space="preserve">Signatories may record exceptions to specific FDS requirements, sections, or scope items in the space below. Exceptions noted here become an addendum to this FDS and carry the same authority as the document body. Attach additional pages if the space below is insufficient.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Section / Requirement ID</w:t>
            </w:r>
          </w:p>
        </w:tc>
        <w:tc>
          <w:tcPr>
            <w:shd w:val="clear" w:color="auto" w:fill="1F4E79"/>
          </w:tcPr>
          <w:tcPr/>
          <w:p>
            <w:pPr>
              <w:pStyle w:val="Compact"/>
            </w:pPr>
            <w:r>
              <w:rPr>
                <w:b/>
                <w:color w:val="FFFFFF"/>
              </w:rPr>
              <w:t xml:space="preserve">Exception or Condition</w:t>
            </w:r>
          </w:p>
        </w:tc>
        <w:tc>
          <w:tcPr>
            <w:shd w:val="clear" w:color="auto" w:fill="1F4E79"/>
          </w:tcPr>
          <w:tcPr/>
          <w:p>
            <w:pPr>
              <w:pStyle w:val="Compact"/>
            </w:pPr>
            <w:r>
              <w:rPr>
                <w:b/>
                <w:color w:val="FFFFFF"/>
              </w:rPr>
              <w:t xml:space="preserve">Signatory Initials</w:t>
            </w:r>
          </w:p>
        </w:tc>
      </w:tr>
      <w:tr>
        <w:tc>
          <w:tcPr/>
          <w:p>
            <w:pPr>
              <w:pStyle w:val="Compact"/>
            </w:pPr>
            <w:r>
              <w:t xml:space="preserve">1</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2</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4</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6</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bl>
    <w:p>
      <w:r>
        <w:pict>
          <v:rect style="width:0;height:1.5pt" o:hralign="center" o:hrstd="t" o:hr="t"/>
        </w:pict>
      </w:r>
    </w:p>
    <w:bookmarkEnd w:id="14"/>
    <w:bookmarkEnd w:id="15"/>
    <w:bookmarkStart w:id="16"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6"/>
    <w:bookmarkStart w:id="17"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7"/>
    <w:bookmarkStart w:id="22" w:name="glossary"/>
    <w:p>
      <w:pPr>
        <w:pStyle w:val="Heading2"/>
      </w:pPr>
      <w:r>
        <w:t xml:space="preserve">Glossary</w:t>
      </w:r>
    </w:p>
    <w:bookmarkStart w:id="18"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8"/>
    <w:bookmarkStart w:id="19"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9"/>
    <w:bookmarkStart w:id="20"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20"/>
    <w:bookmarkStart w:id="21"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21"/>
    <w:bookmarkEnd w:id="22"/>
    <w:bookmarkStart w:id="44" w:name="system-architecture-overview-mvp"/>
    <w:p>
      <w:pPr>
        <w:pStyle w:val="Heading2"/>
      </w:pPr>
      <w:r>
        <w:t xml:space="preserve">1. System Architecture Overview —</w:t>
      </w:r>
      <w:r>
        <w:t xml:space="preserve"> </w:t>
      </w:r>
      <w:r>
        <w:rPr>
          <w:rStyle w:val="VerbatimChar"/>
        </w:rPr>
        <w:t xml:space="preserve">MVP</w:t>
      </w:r>
    </w:p>
    <w:bookmarkStart w:id="23"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23"/>
    <w:bookmarkStart w:id="28"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Operator terminals          │</w:t>
      </w:r>
      <w:r>
        <w:br/>
      </w:r>
      <w:r>
        <w:rPr>
          <w:rStyle w:val="VerbatimChar"/>
        </w:rPr>
        <w:t xml:space="preserve">│    │Terms│ │Terms│ │Terms│ │Terms │  (view-policy, FDS-02-010;   │</w:t>
      </w:r>
      <w:r>
        <w:br/>
      </w:r>
      <w:r>
        <w:rPr>
          <w:rStyle w:val="VerbatimChar"/>
        </w:rPr>
        <w:t xml:space="preserve">│    └──┬──┘ └──┬──┘ └──┬─┘ └──┬───┘   DC shared; rest dedicated)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24"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24"/>
    <w:bookmarkStart w:id="25"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5"/>
    <w:bookmarkStart w:id="26"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6"/>
    <w:bookmarkStart w:id="27"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7"/>
    <w:bookmarkEnd w:id="28"/>
    <w:bookmarkStart w:id="29"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9"/>
    <w:bookmarkStart w:id="34"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30"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30"/>
    <w:bookmarkStart w:id="31"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31"/>
    <w:bookmarkStart w:id="32"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32"/>
    <w:bookmarkStart w:id="33"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3"/>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3"/>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3"/>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3"/>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33"/>
    <w:bookmarkEnd w:id="34"/>
    <w:bookmarkStart w:id="37" w:name="opc-connection-architecture"/>
    <w:p>
      <w:pPr>
        <w:pStyle w:val="Heading3"/>
      </w:pPr>
      <w:r>
        <w:t xml:space="preserve">1.5 OPC Connection Architecture</w:t>
      </w:r>
    </w:p>
    <w:bookmarkStart w:id="35"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5"/>
    <w:bookmarkStart w:id="36"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6"/>
    <w:bookmarkEnd w:id="37"/>
    <w:bookmarkStart w:id="42" w:name="security-architecture"/>
    <w:p>
      <w:pPr>
        <w:pStyle w:val="Heading3"/>
      </w:pPr>
      <w:r>
        <w:t xml:space="preserve">1.6 Security Architecture</w:t>
      </w:r>
    </w:p>
    <w:bookmarkStart w:id="38"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8"/>
    <w:bookmarkStart w:id="39"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9"/>
    <w:bookmarkStart w:id="40"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40"/>
    <w:bookmarkStart w:id="41"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4"/>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4"/>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4"/>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4"/>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4"/>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41"/>
    <w:bookmarkEnd w:id="42"/>
    <w:bookmarkStart w:id="43"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43"/>
    <w:bookmarkEnd w:id="44"/>
    <w:bookmarkStart w:id="65" w:name="plant-model-location-hierarchy-mvp"/>
    <w:p>
      <w:pPr>
        <w:pStyle w:val="Heading2"/>
      </w:pPr>
      <w:r>
        <w:t xml:space="preserve">2. Plant Model &amp; Location Hierarchy —</w:t>
      </w:r>
      <w:r>
        <w:t xml:space="preserve"> </w:t>
      </w:r>
      <w:r>
        <w:rPr>
          <w:rStyle w:val="VerbatimChar"/>
        </w:rPr>
        <w:t xml:space="preserve">MVP</w:t>
      </w:r>
    </w:p>
    <w:bookmarkStart w:id="45"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5"/>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5"/>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5"/>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5"/>
    <w:bookmarkStart w:id="50" w:name="location-type-hierarchy"/>
    <w:p>
      <w:pPr>
        <w:pStyle w:val="Heading3"/>
      </w:pPr>
      <w:r>
        <w:t xml:space="preserve">2.2 Location Type Hierarchy</w:t>
      </w:r>
    </w:p>
    <w:bookmarkStart w:id="46"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6"/>
    <w:bookmarkStart w:id="47"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7"/>
    <w:bookmarkStart w:id="48" w:name="X4d583d9a29e6135d3eff134b20540e329d4494f"/>
    <w:p>
      <w:pPr>
        <w:pStyle w:val="Heading4"/>
      </w:pPr>
      <w:r>
        <w:t xml:space="preserve">FDS-02-002a —</w:t>
      </w:r>
      <w:r>
        <w:t xml:space="preserve"> </w:t>
      </w:r>
      <w:r>
        <w:rPr>
          <w:rStyle w:val="VerbatimChar"/>
        </w:rPr>
        <w:t xml:space="preserve">ParentLocationId</w:t>
      </w:r>
      <w:r>
        <w:t xml:space="preserve"> </w:t>
      </w:r>
      <w:r>
        <w:t xml:space="preserve">is Immutable —</w:t>
      </w:r>
      <w:r>
        <w:t xml:space="preserve"> </w:t>
      </w:r>
      <w:r>
        <w:rPr>
          <w:rStyle w:val="VerbatimChar"/>
        </w:rPr>
        <w:t xml:space="preserve">MVP</w:t>
      </w:r>
    </w:p>
    <w:p>
      <w:pPr>
        <w:pStyle w:val="FirstParagraph"/>
      </w:pPr>
      <w:r>
        <w:t xml:space="preserve">A</w:t>
      </w:r>
      <w:r>
        <w:t xml:space="preserve"> </w:t>
      </w:r>
      <w:r>
        <w:rPr>
          <w:rStyle w:val="VerbatimChar"/>
        </w:rPr>
        <w:t xml:space="preserve">Location</w:t>
      </w:r>
      <w:r>
        <w:t xml:space="preserve">’s</w:t>
      </w:r>
      <w:r>
        <w:t xml:space="preserve"> </w:t>
      </w:r>
      <w:r>
        <w:rPr>
          <w:rStyle w:val="VerbatimChar"/>
        </w:rPr>
        <w:t xml:space="preserve">ParentLocationId</w:t>
      </w:r>
      <w:r>
        <w:t xml:space="preserve"> </w:t>
      </w:r>
      <w:r>
        <w:t xml:space="preserve">SHALL NOT be editable after the row is created. The same rule extends to</w:t>
      </w:r>
      <w:r>
        <w:t xml:space="preserve"> </w:t>
      </w:r>
      <w:r>
        <w:rPr>
          <w:rStyle w:val="VerbatimChar"/>
        </w:rPr>
        <w:t xml:space="preserve">LocationTypeDefinitionId</w:t>
      </w:r>
      <w:r>
        <w:t xml:space="preserve"> </w:t>
      </w:r>
      <w:r>
        <w:t xml:space="preserve">— once set, both fields are fixed for the life of the row. Only</w:t>
      </w:r>
      <w:r>
        <w:t xml:space="preserve"> </w:t>
      </w:r>
      <w:r>
        <w:rPr>
          <w:rStyle w:val="VerbatimChar"/>
        </w:rPr>
        <w:t xml:space="preserve">Name</w:t>
      </w:r>
      <w:r>
        <w:t xml:space="preserve">,</w:t>
      </w:r>
      <w:r>
        <w:t xml:space="preserve"> </w:t>
      </w:r>
      <w:r>
        <w:rPr>
          <w:rStyle w:val="VerbatimChar"/>
        </w:rPr>
        <w:t xml:space="preserve">Code</w:t>
      </w:r>
      <w:r>
        <w:t xml:space="preserve">,</w:t>
      </w:r>
      <w:r>
        <w:t xml:space="preserve"> </w:t>
      </w:r>
      <w:r>
        <w:rPr>
          <w:rStyle w:val="VerbatimChar"/>
        </w:rPr>
        <w:t xml:space="preserve">Description</w:t>
      </w:r>
      <w:r>
        <w:t xml:space="preserve">,</w:t>
      </w:r>
      <w:r>
        <w:t xml:space="preserve"> </w:t>
      </w:r>
      <w:r>
        <w:rPr>
          <w:rStyle w:val="VerbatimChar"/>
        </w:rPr>
        <w:t xml:space="preserve">SortOrder</w:t>
      </w:r>
      <w:r>
        <w:t xml:space="preserve">, and attribute values (</w:t>
      </w:r>
      <w:r>
        <w:rPr>
          <w:rStyle w:val="VerbatimChar"/>
        </w:rPr>
        <w:t xml:space="preserve">LocationAttribute</w:t>
      </w:r>
      <w:r>
        <w:t xml:space="preserve"> </w:t>
      </w:r>
      <w:r>
        <w:t xml:space="preserve">rows) are mutable.</w:t>
      </w:r>
    </w:p>
    <w:p>
      <w:pPr>
        <w:pStyle w:val="BodyText"/>
      </w:pPr>
      <w:r>
        <w:rPr>
          <w:b/>
          <w:bCs/>
        </w:rPr>
        <w:t xml:space="preserve">Why this matters — track-and-trace integrity.</w:t>
      </w:r>
      <w:r>
        <w:t xml:space="preserve"> </w:t>
      </w:r>
      <w:r>
        <w:t xml:space="preserve">Every shop-floor event table records the</w:t>
      </w:r>
      <w:r>
        <w:t xml:space="preserve"> </w:t>
      </w:r>
      <w:r>
        <w:rPr>
          <w:rStyle w:val="VerbatimChar"/>
        </w:rPr>
        <w:t xml:space="preserve">LocationId</w:t>
      </w:r>
      <w:r>
        <w:t xml:space="preserve"> </w:t>
      </w:r>
      <w:r>
        <w:t xml:space="preserve">active at event time:</w:t>
      </w:r>
      <w:r>
        <w:t xml:space="preserve"> </w:t>
      </w:r>
      <w:r>
        <w:rPr>
          <w:rStyle w:val="VerbatimChar"/>
        </w:rPr>
        <w:t xml:space="preserve">Lots.LotMovement.FromLocationId</w:t>
      </w:r>
      <w:r>
        <w:t xml:space="preserve"> </w:t>
      </w:r>
      <w:r>
        <w:t xml:space="preserve">/</w:t>
      </w:r>
      <w:r>
        <w:t xml:space="preserve"> </w:t>
      </w:r>
      <w:r>
        <w:rPr>
          <w:rStyle w:val="VerbatimChar"/>
        </w:rPr>
        <w:t xml:space="preserve">ToLocationId</w:t>
      </w:r>
      <w:r>
        <w:t xml:space="preserve">,</w:t>
      </w:r>
      <w:r>
        <w:t xml:space="preserve"> </w:t>
      </w:r>
      <w:r>
        <w:rPr>
          <w:rStyle w:val="VerbatimChar"/>
        </w:rPr>
        <w:t xml:space="preserve">Workorder.ConsumptionEvent.LocationId</w:t>
      </w:r>
      <w:r>
        <w:t xml:space="preserve">,</w:t>
      </w:r>
      <w:r>
        <w:t xml:space="preserve"> </w:t>
      </w:r>
      <w:r>
        <w:rPr>
          <w:rStyle w:val="VerbatimChar"/>
        </w:rPr>
        <w:t xml:space="preserve">Quality.RejectEvent.LocationId</w:t>
      </w:r>
      <w:r>
        <w:t xml:space="preserve">,</w:t>
      </w:r>
      <w:r>
        <w:t xml:space="preserve"> </w:t>
      </w:r>
      <w:r>
        <w:rPr>
          <w:rStyle w:val="VerbatimChar"/>
        </w:rPr>
        <w:t xml:space="preserve">Oee.DowntimeEvent.LocationId</w:t>
      </w:r>
      <w:r>
        <w:t xml:space="preserve">,</w:t>
      </w:r>
      <w:r>
        <w:t xml:space="preserve"> </w:t>
      </w:r>
      <w:r>
        <w:rPr>
          <w:rStyle w:val="VerbatimChar"/>
        </w:rPr>
        <w:t xml:space="preserve">Quality.HoldEvent.LocationId</w:t>
      </w:r>
      <w:r>
        <w:t xml:space="preserve">,</w:t>
      </w:r>
      <w:r>
        <w:t xml:space="preserve"> </w:t>
      </w:r>
      <w:r>
        <w:rPr>
          <w:rStyle w:val="VerbatimChar"/>
        </w:rPr>
        <w:t xml:space="preserve">Audit.OperationLog.LocationId</w:t>
      </w:r>
      <w:r>
        <w:t xml:space="preserve">, plus</w:t>
      </w:r>
      <w:r>
        <w:t xml:space="preserve"> </w:t>
      </w:r>
      <w:r>
        <w:rPr>
          <w:rStyle w:val="VerbatimChar"/>
        </w:rPr>
        <w:t xml:space="preserve">Lots.Lot.CurrentLocationId</w:t>
      </w:r>
      <w:r>
        <w:t xml:space="preserve"> </w:t>
      </w:r>
      <w:r>
        <w:t xml:space="preserve">and</w:t>
      </w:r>
      <w:r>
        <w:t xml:space="preserve"> </w:t>
      </w:r>
      <w:r>
        <w:rPr>
          <w:rStyle w:val="VerbatimChar"/>
        </w:rPr>
        <w:t xml:space="preserve">Tools.ToolAssignment.CellLocationId</w:t>
      </w:r>
      <w:r>
        <w:t xml:space="preserve">. Every Honda-relevant report — genealogy, area-scoped defect and downtime aggregation, LOT-history export — joins those FK columns to the</w:t>
      </w:r>
      <w:r>
        <w:t xml:space="preserve"> </w:t>
      </w:r>
      <w:r>
        <w:rPr>
          <w:b/>
          <w:bCs/>
        </w:rPr>
        <w:t xml:space="preserve">current</w:t>
      </w:r>
      <w:r>
        <w:t xml:space="preserve"> </w:t>
      </w:r>
      <w:r>
        <w:rPr>
          <w:rStyle w:val="VerbatimChar"/>
        </w:rPr>
        <w:t xml:space="preserve">Location</w:t>
      </w:r>
      <w:r>
        <w:t xml:space="preserve"> </w:t>
      </w:r>
      <w:r>
        <w:t xml:space="preserve">row to derive tier path (Cell → Work Center → Area). A retroactive</w:t>
      </w:r>
      <w:r>
        <w:t xml:space="preserve"> </w:t>
      </w:r>
      <w:r>
        <w:rPr>
          <w:rStyle w:val="VerbatimChar"/>
        </w:rPr>
        <w:t xml:space="preserve">ParentLocationId</w:t>
      </w:r>
      <w:r>
        <w:t xml:space="preserve"> </w:t>
      </w:r>
      <w:r>
        <w:t xml:space="preserve">change would silently rewrite every historical aggregation that walks the hierarchy, with no flag in the report, no audit trail visible to the auditor, and no opportunity for the system to know the answer was wrong. That failure mode is incompatible with Honda’s traceability requirements.</w:t>
      </w:r>
    </w:p>
    <w:p>
      <w:pPr>
        <w:pStyle w:val="BodyText"/>
      </w:pPr>
      <w:r>
        <w:rPr>
          <w:b/>
          <w:bCs/>
        </w:rPr>
        <w:t xml:space="preserve">Handling physical relocations.</w:t>
      </w:r>
      <w:r>
        <w:t xml:space="preserve"> </w:t>
      </w:r>
      <w:r>
        <w:t xml:space="preserve">When a piece of equipment genuinely changes parent (e.g., a CNC moves from one Area to another), the operation SHALL be performed as</w:t>
      </w:r>
      <w:r>
        <w:t xml:space="preserve"> </w:t>
      </w:r>
      <w:r>
        <w:rPr>
          <w:b/>
          <w:bCs/>
        </w:rPr>
        <w:t xml:space="preserve">Deprecate the existing</w:t>
      </w:r>
      <w:r>
        <w:rPr>
          <w:b/>
          <w:bCs/>
        </w:rPr>
        <w:t xml:space="preserve"> </w:t>
      </w:r>
      <w:r>
        <w:rPr>
          <w:rStyle w:val="VerbatimChar"/>
          <w:b/>
          <w:bCs/>
        </w:rPr>
        <w:t xml:space="preserve">Location</w:t>
      </w:r>
      <w:r>
        <w:rPr>
          <w:b/>
          <w:bCs/>
        </w:rPr>
        <w:t xml:space="preserve"> </w:t>
      </w:r>
      <w:r>
        <w:rPr>
          <w:b/>
          <w:bCs/>
        </w:rPr>
        <w:t xml:space="preserve">row + Create a new row under the new parent</w:t>
      </w:r>
      <w:r>
        <w:t xml:space="preserve">:</w:t>
      </w:r>
    </w:p>
    <w:p>
      <w:pPr>
        <w:pStyle w:val="Compact"/>
        <w:numPr>
          <w:ilvl w:val="0"/>
          <w:numId w:val="1006"/>
        </w:numPr>
      </w:pPr>
      <w:r>
        <w:t xml:space="preserve">The deprecated row retains its</w:t>
      </w:r>
      <w:r>
        <w:t xml:space="preserve"> </w:t>
      </w:r>
      <w:r>
        <w:rPr>
          <w:rStyle w:val="VerbatimChar"/>
        </w:rPr>
        <w:t xml:space="preserve">Id</w:t>
      </w:r>
      <w:r>
        <w:t xml:space="preserve"> </w:t>
      </w:r>
      <w:r>
        <w:t xml:space="preserve">and its original</w:t>
      </w:r>
      <w:r>
        <w:t xml:space="preserve"> </w:t>
      </w:r>
      <w:r>
        <w:rPr>
          <w:rStyle w:val="VerbatimChar"/>
        </w:rPr>
        <w:t xml:space="preserve">ParentLocationId</w:t>
      </w:r>
      <w:r>
        <w:t xml:space="preserve">. All historical events bound to that</w:t>
      </w:r>
      <w:r>
        <w:t xml:space="preserve"> </w:t>
      </w:r>
      <w:r>
        <w:rPr>
          <w:rStyle w:val="VerbatimChar"/>
        </w:rPr>
        <w:t xml:space="preserve">Id</w:t>
      </w:r>
      <w:r>
        <w:t xml:space="preserve"> </w:t>
      </w:r>
      <w:r>
        <w:t xml:space="preserve">continue to resolve through the correct as-of-event hierarchy.</w:t>
      </w:r>
    </w:p>
    <w:p>
      <w:pPr>
        <w:pStyle w:val="Compact"/>
        <w:numPr>
          <w:ilvl w:val="0"/>
          <w:numId w:val="1006"/>
        </w:numPr>
      </w:pPr>
      <w:r>
        <w:t xml:space="preserve">The new row gets a new</w:t>
      </w:r>
      <w:r>
        <w:t xml:space="preserve"> </w:t>
      </w:r>
      <w:r>
        <w:rPr>
          <w:rStyle w:val="VerbatimChar"/>
        </w:rPr>
        <w:t xml:space="preserve">Id</w:t>
      </w:r>
      <w:r>
        <w:t xml:space="preserve">. All forward production is recorded against that</w:t>
      </w:r>
      <w:r>
        <w:t xml:space="preserve"> </w:t>
      </w:r>
      <w:r>
        <w:rPr>
          <w:rStyle w:val="VerbatimChar"/>
        </w:rPr>
        <w:t xml:space="preserve">Id</w:t>
      </w:r>
      <w:r>
        <w:t xml:space="preserve">.</w:t>
      </w:r>
    </w:p>
    <w:p>
      <w:pPr>
        <w:pStyle w:val="Compact"/>
        <w:numPr>
          <w:ilvl w:val="0"/>
          <w:numId w:val="1006"/>
        </w:numPr>
      </w:pPr>
      <w:r>
        <w:t xml:space="preserve">The Configuration Tool’s Plant Hierarchy view SHALL filter deprecated rows out of the active tree by default, with an</w:t>
      </w:r>
      <w:r>
        <w:t xml:space="preserve"> </w:t>
      </w:r>
      <w:r>
        <w:t xml:space="preserve">“Include deprecated”</w:t>
      </w:r>
      <w:r>
        <w:t xml:space="preserve"> </w:t>
      </w:r>
      <w:r>
        <w:t xml:space="preserve">toggle for admin diagnostics. The deprecated row is never re-activated.</w:t>
      </w:r>
    </w:p>
    <w:p>
      <w:pPr>
        <w:pStyle w:val="FirstParagraph"/>
      </w:pPr>
      <w:r>
        <w:t xml:space="preserve">This pattern is the industry standard for MES location hierarchies and matches the approach used by Honda’s tier-1 MES for the same reason.</w:t>
      </w:r>
    </w:p>
    <w:p>
      <w:pPr>
        <w:pStyle w:val="BodyText"/>
      </w:pPr>
      <w:r>
        <w:rPr>
          <w:b/>
          <w:bCs/>
        </w:rPr>
        <w:t xml:space="preserve">Cost of NOT making this rule.</w:t>
      </w:r>
      <w:r>
        <w:t xml:space="preserve"> </w:t>
      </w:r>
      <w:r>
        <w:t xml:space="preserve">The alternative (allowing reparent) requires either (a) snapshotting the location-path-as-of-event on every event-table row across 14+ event tables, or (b) full slowly-changing-dimension versioning on the</w:t>
      </w:r>
      <w:r>
        <w:t xml:space="preserve"> </w:t>
      </w:r>
      <w:r>
        <w:rPr>
          <w:rStyle w:val="VerbatimChar"/>
        </w:rPr>
        <w:t xml:space="preserve">Location</w:t>
      </w:r>
      <w:r>
        <w:t xml:space="preserve"> </w:t>
      </w:r>
      <w:r>
        <w:t xml:space="preserve">table with temporal joins on every read path. Both are large, ongoing-discipline changes for a rare operation. The Deprecate + Create New pattern achieves the same goal with no additional schema cost.</w:t>
      </w:r>
    </w:p>
    <w:p>
      <w:pPr>
        <w:pStyle w:val="BodyText"/>
      </w:pPr>
      <w:r>
        <w:rPr>
          <w:b/>
          <w:bCs/>
        </w:rPr>
        <w:t xml:space="preserve">Implementation.</w:t>
      </w:r>
      <w:r>
        <w:t xml:space="preserve"> </w:t>
      </w:r>
      <w:r>
        <w:rPr>
          <w:rStyle w:val="VerbatimChar"/>
        </w:rPr>
        <w:t xml:space="preserve">Location.Location_Update</w:t>
      </w:r>
      <w:r>
        <w:t xml:space="preserve"> </w:t>
      </w:r>
      <w:r>
        <w:t xml:space="preserve">excludes</w:t>
      </w:r>
      <w:r>
        <w:t xml:space="preserve"> </w:t>
      </w:r>
      <w:r>
        <w:rPr>
          <w:rStyle w:val="VerbatimChar"/>
        </w:rPr>
        <w:t xml:space="preserve">ParentLocationId</w:t>
      </w:r>
      <w:r>
        <w:t xml:space="preserve"> </w:t>
      </w:r>
      <w:r>
        <w:t xml:space="preserve">and</w:t>
      </w:r>
      <w:r>
        <w:t xml:space="preserve"> </w:t>
      </w:r>
      <w:r>
        <w:rPr>
          <w:rStyle w:val="VerbatimChar"/>
        </w:rPr>
        <w:t xml:space="preserve">LocationTypeDefinitionId</w:t>
      </w:r>
      <w:r>
        <w:t xml:space="preserve"> </w:t>
      </w:r>
      <w:r>
        <w:t xml:space="preserve">from its parameter list.</w:t>
      </w:r>
      <w:r>
        <w:t xml:space="preserve"> </w:t>
      </w:r>
      <w:r>
        <w:rPr>
          <w:rStyle w:val="VerbatimChar"/>
        </w:rPr>
        <w:t xml:space="preserve">Location.Location_MoveUp</w:t>
      </w:r>
      <w:r>
        <w:t xml:space="preserve"> </w:t>
      </w:r>
      <w:r>
        <w:t xml:space="preserve">/</w:t>
      </w:r>
      <w:r>
        <w:t xml:space="preserve"> </w:t>
      </w:r>
      <w:r>
        <w:rPr>
          <w:rStyle w:val="VerbatimChar"/>
        </w:rPr>
        <w:t xml:space="preserve">Location.Location_MoveDown</w:t>
      </w:r>
      <w:r>
        <w:t xml:space="preserve"> </w:t>
      </w:r>
      <w:r>
        <w:t xml:space="preserve">swap</w:t>
      </w:r>
      <w:r>
        <w:t xml:space="preserve"> </w:t>
      </w:r>
      <w:r>
        <w:rPr>
          <w:rStyle w:val="VerbatimChar"/>
        </w:rPr>
        <w:t xml:space="preserve">SortOrder</w:t>
      </w:r>
      <w:r>
        <w:t xml:space="preserve"> </w:t>
      </w:r>
      <w:r>
        <w:t xml:space="preserve">with the nearest active sibling under the</w:t>
      </w:r>
      <w:r>
        <w:t xml:space="preserve"> </w:t>
      </w:r>
      <w:r>
        <w:rPr>
          <w:b/>
          <w:bCs/>
        </w:rPr>
        <w:t xml:space="preserve">same</w:t>
      </w:r>
      <w:r>
        <w:rPr>
          <w:b/>
          <w:bCs/>
        </w:rPr>
        <w:t xml:space="preserve"> </w:t>
      </w:r>
      <w:r>
        <w:rPr>
          <w:rStyle w:val="VerbatimChar"/>
          <w:b/>
          <w:bCs/>
        </w:rPr>
        <w:t xml:space="preserve">ParentLocationId</w:t>
      </w:r>
      <w:r>
        <w:t xml:space="preserve"> </w:t>
      </w:r>
      <w:r>
        <w:t xml:space="preserve">— they never traverse parents. No</w:t>
      </w:r>
      <w:r>
        <w:t xml:space="preserve"> </w:t>
      </w:r>
      <w:r>
        <w:t xml:space="preserve">“Move to Different Parent”</w:t>
      </w:r>
      <w:r>
        <w:t xml:space="preserve"> </w:t>
      </w:r>
      <w:r>
        <w:t xml:space="preserve">/</w:t>
      </w:r>
      <w:r>
        <w:t xml:space="preserve"> </w:t>
      </w:r>
      <w:r>
        <w:t xml:space="preserve">“Reparent”</w:t>
      </w:r>
      <w:r>
        <w:t xml:space="preserve"> </w:t>
      </w:r>
      <w:r>
        <w:t xml:space="preserve">proc SHALL be added.</w:t>
      </w:r>
    </w:p>
    <w:bookmarkEnd w:id="48"/>
    <w:bookmarkStart w:id="49"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9"/>
    <w:bookmarkEnd w:id="50"/>
    <w:bookmarkStart w:id="54" w:name="X992209ce0f4f05fcef114340f60f45bdbde0b2f"/>
    <w:p>
      <w:pPr>
        <w:pStyle w:val="Heading3"/>
      </w:pPr>
      <w:r>
        <w:t xml:space="preserve">2.3 Polymorphic Kinds and Configurable Attributes</w:t>
      </w:r>
    </w:p>
    <w:bookmarkStart w:id="51"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51"/>
    <w:bookmarkStart w:id="52"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52"/>
    <w:bookmarkStart w:id="53"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53"/>
    <w:bookmarkEnd w:id="54"/>
    <w:bookmarkStart w:id="56" w:name="seed-data-cells"/>
    <w:p>
      <w:pPr>
        <w:pStyle w:val="Heading3"/>
      </w:pPr>
      <w:r>
        <w:t xml:space="preserve">2.4 Seed Data — Cells</w:t>
      </w:r>
    </w:p>
    <w:bookmarkStart w:id="55"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55"/>
    <w:bookmarkEnd w:id="56"/>
    <w:bookmarkStart w:id="64"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 </w:t>
      </w:r>
      <w:r>
        <w:t xml:space="preserve">— determined by the operator view each terminal is assigned via its</w:t>
      </w:r>
      <w:r>
        <w:t xml:space="preserve"> </w:t>
      </w:r>
      <w:r>
        <w:rPr>
          <w:rStyle w:val="VerbatimChar"/>
        </w:rPr>
        <w:t xml:space="preserve">DefaultScreen</w:t>
      </w:r>
      <w:r>
        <w:t xml:space="preserve"> </w:t>
      </w:r>
      <w:r>
        <w:t xml:space="preserve">attribute, not by its position in the hierarchy (FDS-02-010).</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and a Terminal</w:t>
      </w:r>
      <w:r>
        <w:t xml:space="preserve"> </w:t>
      </w:r>
      <w:r>
        <w:rPr>
          <w:rStyle w:val="VerbatimChar"/>
        </w:rPr>
        <w:t xml:space="preserve">Location</w:t>
      </w:r>
      <w:r>
        <w:t xml:space="preserve"> </w:t>
      </w:r>
      <w:r>
        <w:t xml:space="preserve">MAY be parented at any tier — Cell, WorkCenter, or Area. Dedicated-flavor views carry a fixed location context: the Terminal’s parent Location, at whatever tier it sits (a press Cell, a machining/assembly Line tracked at line resolution, or an Area such as a Trim Shop tracked at area resolution). Shared-flavor views open with a select-location step that lets the operator pick the context — by</w:t>
      </w:r>
      <w:r>
        <w:t xml:space="preserve"> </w:t>
      </w:r>
      <w:r>
        <w:rPr>
          <w:b/>
          <w:bCs/>
        </w:rPr>
        <w:t xml:space="preserve">scan or dropdown</w:t>
      </w:r>
      <w:r>
        <w:t xml:space="preserve"> </w:t>
      </w:r>
      <w:r>
        <w:t xml:space="preserve">— constrained to descendant</w:t>
      </w:r>
      <w:r>
        <w:t xml:space="preserve"> </w:t>
      </w:r>
      <w:r>
        <w:rPr>
          <w:i/>
          <w:iCs/>
        </w:rPr>
        <w:t xml:space="preserve">equipment</w:t>
      </w:r>
      <w:r>
        <w:t xml:space="preserve"> </w:t>
      </w:r>
      <w:r>
        <w:t xml:space="preserve">Cells of the parent Location (excluding the</w:t>
      </w:r>
      <w:r>
        <w:t xml:space="preserve"> </w:t>
      </w:r>
      <w:r>
        <w:rPr>
          <w:rStyle w:val="VerbatimChar"/>
        </w:rPr>
        <w:t xml:space="preserve">Terminal</w:t>
      </w:r>
      <w:r>
        <w:t xml:space="preserve"> </w:t>
      </w:r>
      <w:r>
        <w:t xml:space="preserve">/</w:t>
      </w:r>
      <w:r>
        <w:t xml:space="preserve"> </w:t>
      </w:r>
      <w:r>
        <w:rPr>
          <w:rStyle w:val="VerbatimChar"/>
        </w:rPr>
        <w:t xml:space="preserve">Printer</w:t>
      </w:r>
      <w:r>
        <w:t xml:space="preserve"> </w:t>
      </w:r>
      <w:r>
        <w:t xml:space="preserve">infrastructure kinds).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7"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behavior (dedicated vs shared) follows the operator view assigned via the Terminal’s</w:t>
      </w:r>
      <w:r>
        <w:t xml:space="preserve"> </w:t>
      </w:r>
      <w:r>
        <w:rPr>
          <w:rStyle w:val="VerbatimChar"/>
        </w:rPr>
        <w:t xml:space="preserve">DefaultScreen</w:t>
      </w:r>
      <w:r>
        <w:t xml:space="preserve"> </w:t>
      </w:r>
      <w:r>
        <w:t xml:space="preserve">attribute per FDS-02-010 — it is neither derived from the parent tier nor stored as a mode attribute. Every Terminal SHALL carry at least one active child</w:t>
      </w:r>
      <w:r>
        <w:t xml:space="preserve"> </w:t>
      </w:r>
      <w:r>
        <w:rPr>
          <w:rStyle w:val="VerbatimChar"/>
        </w:rPr>
        <w:t xml:space="preserve">Printer</w:t>
      </w:r>
      <w:r>
        <w:t xml:space="preserve"> </w:t>
      </w:r>
      <w:r>
        <w:t xml:space="preserve">Location (multiple supported); the terminal registry surfaces a</w:t>
      </w:r>
      <w:r>
        <w:t xml:space="preserve"> </w:t>
      </w:r>
      <w:r>
        <w:rPr>
          <w:rStyle w:val="VerbatimChar"/>
        </w:rPr>
        <w:t xml:space="preserve">HasPrinter</w:t>
      </w:r>
      <w:r>
        <w:t xml:space="preserve"> </w:t>
      </w:r>
      <w:r>
        <w:t xml:space="preserve">validation flag.</w:t>
      </w:r>
    </w:p>
    <w:bookmarkEnd w:id="57"/>
    <w:bookmarkStart w:id="58"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7"/>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7"/>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(an equipment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 — or, for terminals running a dedicated-flavor view whose parent is a Line or Area, that parent Location itself)</w:t>
      </w:r>
    </w:p>
    <w:p>
      <w:pPr>
        <w:pStyle w:val="FirstParagraph"/>
      </w:pPr>
      <w:r>
        <w:t xml:space="preserve">On terminals running a</w:t>
      </w:r>
      <w:r>
        <w:t xml:space="preserve"> </w:t>
      </w:r>
      <w:r>
        <w:rPr>
          <w:b/>
          <w:bCs/>
        </w:rPr>
        <w:t xml:space="preserve">dedicated-flavor</w:t>
      </w:r>
      <w:r>
        <w:t xml:space="preserve"> </w:t>
      </w:r>
      <w:r>
        <w:t xml:space="preserve">view (FDS-02-010) the location context SHALL be the Terminal Location’s parent — fixed, with no selector exposed in the UI. The parent MAY be any tier: a Cell (e.g., a die-cast machine), a WorkCenter/Line (machining + assembly lines tracked at line resolution per MPP’s traceability requirement), or an Area (e.g., a Trim Shop tracked at area resolution).</w:t>
      </w:r>
    </w:p>
    <w:p>
      <w:pPr>
        <w:pStyle w:val="BodyText"/>
      </w:pPr>
      <w:r>
        <w:t xml:space="preserve">On terminals running a</w:t>
      </w:r>
      <w:r>
        <w:t xml:space="preserve"> </w:t>
      </w:r>
      <w:r>
        <w:rPr>
          <w:b/>
          <w:bCs/>
        </w:rPr>
        <w:t xml:space="preserve">shared-flavor</w:t>
      </w:r>
      <w:r>
        <w:t xml:space="preserve"> </w:t>
      </w:r>
      <w:r>
        <w:t xml:space="preserve">view the location context SHALL be selected by the operator at session start using either of two equivalent mechanisms:</w:t>
      </w:r>
    </w:p>
    <w:p>
      <w:pPr>
        <w:pStyle w:val="Compact"/>
        <w:numPr>
          <w:ilvl w:val="0"/>
          <w:numId w:val="1008"/>
        </w:numPr>
      </w:pPr>
      <w:r>
        <w:rPr>
          <w:b/>
          <w:bCs/>
        </w:rPr>
        <w:t xml:space="preserve">Scan</w:t>
      </w:r>
      <w:r>
        <w:t xml:space="preserve"> </w:t>
      </w:r>
      <w:r>
        <w:t xml:space="preserve">— the operator scans the destination Cell’s barcode or QR code, or</w:t>
      </w:r>
    </w:p>
    <w:p>
      <w:pPr>
        <w:pStyle w:val="Compact"/>
        <w:numPr>
          <w:ilvl w:val="0"/>
          <w:numId w:val="1008"/>
        </w:numPr>
      </w:pPr>
      <w:r>
        <w:rPr>
          <w:b/>
          <w:bCs/>
        </w:rPr>
        <w:t xml:space="preserve">Dropdown</w:t>
      </w:r>
      <w:r>
        <w:t xml:space="preserve"> </w:t>
      </w:r>
      <w:r>
        <w:t xml:space="preserve">— the operator picks from a dropdown of eligible Cells (the descendant</w:t>
      </w:r>
      <w:r>
        <w:t xml:space="preserve"> </w:t>
      </w:r>
      <w:r>
        <w:rPr>
          <w:b/>
          <w:bCs/>
        </w:rPr>
        <w:t xml:space="preserve">equipment</w:t>
      </w:r>
      <w:r>
        <w:t xml:space="preserve"> </w:t>
      </w:r>
      <w:r>
        <w:t xml:space="preserve">Cells of the terminal’s parent Location — Cell-tier Locations excluding the</w:t>
      </w:r>
      <w:r>
        <w:t xml:space="preserve"> </w:t>
      </w:r>
      <w:r>
        <w:rPr>
          <w:rStyle w:val="VerbatimChar"/>
        </w:rPr>
        <w:t xml:space="preserve">Terminal</w:t>
      </w:r>
      <w:r>
        <w:t xml:space="preserve"> </w:t>
      </w:r>
      <w:r>
        <w:t xml:space="preserve">and</w:t>
      </w:r>
      <w:r>
        <w:t xml:space="preserve"> </w:t>
      </w:r>
      <w:r>
        <w:rPr>
          <w:rStyle w:val="VerbatimChar"/>
        </w:rPr>
        <w:t xml:space="preserve">Printer</w:t>
      </w:r>
      <w:r>
        <w:t xml:space="preserve"> </w:t>
      </w:r>
      <w:r>
        <w:t xml:space="preserve">infrastructure kinds; proc</w:t>
      </w:r>
      <w:r>
        <w:t xml:space="preserve"> </w:t>
      </w:r>
      <w:r>
        <w:rPr>
          <w:rStyle w:val="VerbatimChar"/>
        </w:rPr>
        <w:t xml:space="preserve">Location.Terminal_ListContextCells</w:t>
      </w:r>
      <w:r>
        <w:t xml:space="preserve">).</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8"/>
    <w:bookmarkStart w:id="59" w:name="X08402105fa897fae521e95a03675b3b5e796d71"/>
    <w:p>
      <w:pPr>
        <w:pStyle w:val="Heading4"/>
      </w:pPr>
      <w:r>
        <w:t xml:space="preserve">FDS-02-010 — Terminal Behavior Determined by Assigned View —</w:t>
      </w:r>
      <w:r>
        <w:t xml:space="preserve"> </w:t>
      </w:r>
      <w:r>
        <w:rPr>
          <w:rStyle w:val="VerbatimChar"/>
        </w:rPr>
        <w:t xml:space="preserve">MVP</w:t>
      </w:r>
    </w:p>
    <w:p>
      <w:pPr>
        <w:pStyle w:val="FirstParagraph"/>
      </w:pPr>
      <w:r>
        <w:t xml:space="preserve">A Terminal’s dedicated-vs-shared behavior is a property of the</w:t>
      </w:r>
      <w:r>
        <w:t xml:space="preserve"> </w:t>
      </w:r>
      <w:r>
        <w:rPr>
          <w:b/>
          <w:bCs/>
        </w:rPr>
        <w:t xml:space="preserve">operator view it is assigned</w:t>
      </w:r>
      <w:r>
        <w:t xml:space="preserve"> </w:t>
      </w:r>
      <w:r>
        <w:t xml:space="preserve">via its</w:t>
      </w:r>
      <w:r>
        <w:t xml:space="preserve"> </w:t>
      </w:r>
      <w:r>
        <w:rPr>
          <w:rStyle w:val="VerbatimChar"/>
        </w:rPr>
        <w:t xml:space="preserve">DefaultScreen</w:t>
      </w:r>
      <w:r>
        <w:t xml:space="preserve"> </w:t>
      </w:r>
      <w:r>
        <w:t xml:space="preserve">attribute. There is no</w:t>
      </w:r>
      <w:r>
        <w:t xml:space="preserve"> </w:t>
      </w:r>
      <w:r>
        <w:rPr>
          <w:rStyle w:val="VerbatimChar"/>
        </w:rPr>
        <w:t xml:space="preserve">TerminalMode</w:t>
      </w:r>
      <w:r>
        <w:t xml:space="preserve"> </w:t>
      </w:r>
      <w:r>
        <w:t xml:space="preserve">— neither derived from the hierarchy nor stored as an attribute. Operator views are authored in one of two flavors: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p>
        </w:tc>
        <w:tc>
          <w:tcPr>
            <w:shd w:val="clear" w:color="auto" w:fill="1F4E79"/>
          </w:tcPr>
          <w:tcPr/>
          <w:p>
            <w:pPr>
              <w:pStyle w:val="Compact"/>
            </w:pPr>
            <w:r>
              <w:rPr>
                <w:b/>
                <w:bCs/>
              </w:rPr>
              <w:t xml:space="preserve">Shared-flavor view</w:t>
            </w:r>
          </w:p>
        </w:tc>
        <w:tc>
          <w:tcPr>
            <w:shd w:val="clear" w:color="auto" w:fill="1F4E79"/>
          </w:tcPr>
          <w:tcPr/>
          <w:p>
            <w:pPr>
              <w:pStyle w:val="Compact"/>
            </w:pPr>
            <w:r>
              <w:rPr>
                <w:b/>
                <w:bCs/>
              </w:rPr>
              <w:t xml:space="preserve">Dedicated-flavor view</w:t>
            </w:r>
          </w:p>
        </w:tc>
      </w:tr>
      <w:tr>
        <w:tc>
          <w:tcPr/>
          <w:p>
            <w:pPr>
              <w:pStyle w:val="Compact"/>
            </w:pPr>
            <w:r>
              <w:t xml:space="preserve">Opening step</w:t>
            </w:r>
          </w:p>
        </w:tc>
        <w:tc>
          <w:tcPr/>
          <w:p>
            <w:pPr>
              <w:pStyle w:val="Compact"/>
            </w:pPr>
            <w:r>
              <w:t xml:space="preserve">Select-location menu (or persistent location dropdown)</w:t>
            </w:r>
          </w:p>
        </w:tc>
        <w:tc>
          <w:tcPr/>
          <w:p>
            <w:pPr>
              <w:pStyle w:val="Compact"/>
            </w:pPr>
            <w:r>
              <w:t xml:space="preserve">None</w:t>
            </w:r>
          </w:p>
        </w:tc>
      </w:tr>
      <w:tr>
        <w:tc>
          <w:tcPr>
            <w:shd w:val="clear" w:color="auto" w:fill="F2F2F2"/>
          </w:tcPr>
          <w:tcPr/>
          <w:p>
            <w:pPr>
              <w:pStyle w:val="Compact"/>
            </w:pPr>
            <w:r>
              <w:t xml:space="preserve">Location context</w:t>
            </w:r>
          </w:p>
        </w:tc>
        <w:tc>
          <w:tcPr>
            <w:shd w:val="clear" w:color="auto" w:fill="F2F2F2"/>
          </w:tcPr>
          <w:tcPr/>
          <w:p>
            <w:pPr>
              <w:pStyle w:val="Compact"/>
            </w:pPr>
            <w:r>
              <w:t xml:space="preserve">Operator-selected from the terminal-parent’s descendant equipment Cells (FDS-02-009)</w:t>
            </w:r>
          </w:p>
        </w:tc>
        <w:tc>
          <w:tcPr>
            <w:shd w:val="clear" w:color="auto" w:fill="F2F2F2"/>
          </w:tcPr>
          <w:tcPr/>
          <w:p>
            <w:pPr>
              <w:pStyle w:val="Compact"/>
            </w:pPr>
            <w:r>
              <w:t xml:space="preserve">Bound automatically to the Terminal’s parent Location (any tier)</w:t>
            </w:r>
          </w:p>
        </w:tc>
      </w:tr>
      <w:tr>
        <w:tc>
          <w:tcPr/>
          <w:p>
            <w:pPr>
              <w:pStyle w:val="Compact"/>
            </w:pPr>
            <w:r>
              <w:t xml:space="preserve">Context change</w:t>
            </w:r>
          </w:p>
        </w:tc>
        <w:tc>
          <w:tcPr/>
          <w:p>
            <w:pPr>
              <w:pStyle w:val="Compact"/>
            </w:pPr>
            <w:r>
              <w:t xml:space="preserve">Re-select via the same selector</w:t>
            </w:r>
          </w:p>
        </w:tc>
        <w:tc>
          <w:tcPr/>
          <w:p>
            <w:pPr>
              <w:pStyle w:val="Compact"/>
            </w:pPr>
            <w:r>
              <w:t xml:space="preserve">Not changeable in the UI</w:t>
            </w:r>
          </w:p>
        </w:tc>
      </w:tr>
      <w:tr>
        <w:tc>
          <w:tcPr>
            <w:shd w:val="clear" w:color="auto" w:fill="F2F2F2"/>
          </w:tcPr>
          <w:tcPr/>
          <w:p>
            <w:pPr>
              <w:pStyle w:val="Compact"/>
            </w:pPr>
            <w:r>
              <w:t xml:space="preserve">Presence policy</w:t>
            </w:r>
          </w:p>
        </w:tc>
        <w:tc>
          <w:tcPr>
            <w:shd w:val="clear" w:color="auto" w:fill="F2F2F2"/>
          </w:tcPr>
          <w:tcPr/>
          <w:p>
            <w:pPr>
              <w:pStyle w:val="Compact"/>
            </w:pPr>
            <w:r>
              <w:rPr>
                <w:rStyle w:val="VerbatimChar"/>
              </w:rPr>
              <w:t xml:space="preserve">strict</w:t>
            </w:r>
            <w:r>
              <w:t xml:space="preserve"> </w:t>
            </w:r>
            <w:r>
              <w:t xml:space="preserve">— idle ⇒ initials re-entry; context change ⇒ re-prompt (FDS-04-003)</w:t>
            </w:r>
          </w:p>
        </w:tc>
        <w:tc>
          <w:tcPr>
            <w:shd w:val="clear" w:color="auto" w:fill="F2F2F2"/>
          </w:tcPr>
          <w:tcPr/>
          <w:p>
            <w:pPr>
              <w:pStyle w:val="Compact"/>
            </w:pPr>
            <w:r>
              <w:rPr>
                <w:rStyle w:val="VerbatimChar"/>
              </w:rPr>
              <w:t xml:space="preserve">confirm</w:t>
            </w:r>
            <w:r>
              <w:t xml:space="preserve"> </w:t>
            </w:r>
            <w:r>
              <w:t xml:space="preserve">— idle ⇒</w:t>
            </w:r>
            <w:r>
              <w:t xml:space="preserve"> </w:t>
            </w:r>
            <w:r>
              <w:t xml:space="preserve">“Operate as [XY]? [Yes]”</w:t>
            </w:r>
            <w:r>
              <w:t xml:space="preserve"> </w:t>
            </w:r>
            <w:r>
              <w:t xml:space="preserve">continue (FDS-04-006); initials persist through the shift</w:t>
            </w:r>
          </w:p>
        </w:tc>
      </w:tr>
    </w:tbl>
    <w:p>
      <w:pPr>
        <w:pStyle w:val="BodyText"/>
      </w:pPr>
      <w:r>
        <w:t xml:space="preserve">The view sets</w:t>
      </w:r>
      <w:r>
        <w:t xml:space="preserve"> </w:t>
      </w:r>
      <w:r>
        <w:rPr>
          <w:rStyle w:val="VerbatimChar"/>
        </w:rPr>
        <w:t xml:space="preserve">session.custom.presence.policy</w:t>
      </w:r>
      <w:r>
        <w:t xml:space="preserve"> </w:t>
      </w:r>
      <w:r>
        <w:t xml:space="preserve">on load; a single always-present idle watcher branches on it (FDS-04-006 applies to BOTH flavors).</w:t>
      </w:r>
      <w:r>
        <w:t xml:space="preserve"> </w:t>
      </w:r>
      <w:r>
        <w:rPr>
          <w:b/>
          <w:bCs/>
        </w:rPr>
        <w:t xml:space="preserve">Examples:</w:t>
      </w:r>
      <w:r>
        <w:t xml:space="preserve"> </w:t>
      </w:r>
      <w:r>
        <w:t xml:space="preserve">the Die Cast cabin terminals (</w:t>
      </w:r>
      <w:r>
        <w:rPr>
          <w:rStyle w:val="VerbatimChar"/>
        </w:rPr>
        <w:t xml:space="preserve">DC1-T1</w:t>
      </w:r>
      <w:r>
        <w:t xml:space="preserve">..</w:t>
      </w:r>
      <w:r>
        <w:rPr>
          <w:rStyle w:val="VerbatimChar"/>
        </w:rPr>
        <w:t xml:space="preserve">DC4-T1</w:t>
      </w:r>
      <w:r>
        <w:t xml:space="preserve">) run a shared-flavor view and the operator picks the press; the machining/assembly line terminals (</w:t>
      </w:r>
      <w:r>
        <w:rPr>
          <w:rStyle w:val="VerbatimChar"/>
        </w:rPr>
        <w:t xml:space="preserve">MA1-*</w:t>
      </w:r>
      <w:r>
        <w:t xml:space="preserve">,</w:t>
      </w:r>
      <w:r>
        <w:t xml:space="preserve"> </w:t>
      </w:r>
      <w:r>
        <w:rPr>
          <w:rStyle w:val="VerbatimChar"/>
        </w:rPr>
        <w:t xml:space="preserve">MA2-*</w:t>
      </w:r>
      <w:r>
        <w:t xml:space="preserve">) and Trim Shop terminals run dedicated-flavor views whose context is the line / trim shop itself.</w:t>
      </w:r>
    </w:p>
    <w:p>
      <w:pPr>
        <w:pStyle w:val="BodyText"/>
      </w:pPr>
      <w:r>
        <w:t xml:space="preserve">The Gateway terminal resolver returns the terminal identity, parent (</w:t>
      </w:r>
      <w:r>
        <w:t xml:space="preserve">“zone”</w:t>
      </w:r>
      <w:r>
        <w:t xml:space="preserve">), and</w:t>
      </w:r>
      <w:r>
        <w:t xml:space="preserve"> </w:t>
      </w:r>
      <w:r>
        <w:rPr>
          <w:rStyle w:val="VerbatimChar"/>
        </w:rPr>
        <w:t xml:space="preserve">DefaultScreen</w:t>
      </w:r>
      <w:r>
        <w:t xml:space="preserve">; it carries no mode. Configuration Tool Location admin screens let Engineering attach a Terminal under any Cell, WorkCenter, or Area and assign its</w:t>
      </w:r>
      <w:r>
        <w:t xml:space="preserve"> </w:t>
      </w:r>
      <w:r>
        <w:rPr>
          <w:rStyle w:val="VerbatimChar"/>
        </w:rPr>
        <w:t xml:space="preserve">DefaultScreen</w:t>
      </w:r>
      <w:r>
        <w:t xml:space="preserve"> </w:t>
      </w:r>
      <w:r>
        <w:t xml:space="preserve">from the MPP-supplied per-workstation list (Phase 0 Track A item 4) — the behavior follows the assigned view.</w:t>
      </w:r>
    </w:p>
    <w:p>
      <w:pPr>
        <w:pStyle w:val="BodyText"/>
      </w:pPr>
      <w:r>
        <w:rPr>
          <w:b/>
          <w:bCs/>
        </w:rPr>
        <w:t xml:space="preserve">Design history:</w:t>
      </w:r>
      <w:r>
        <w:t xml:space="preserve"> </w:t>
      </w:r>
      <w:r>
        <w:t xml:space="preserve">v1.0–v1.3a derived the mode from the Terminal’s parent tier (</w:t>
      </w:r>
      <w:r>
        <w:t xml:space="preserve">“the mode IS the assignment”</w:t>
      </w:r>
      <w:r>
        <w:t xml:space="preserve">). That rule was retired 2026-06-10: MPP’s machining/assembly lines and trim shops are tracked at line/area resolution with NO equipment cells beneath them, and terminals carry mandatory child Printer locations — the tree cannot reliably encode behavior. See</w:t>
      </w:r>
      <w:r>
        <w:t xml:space="preserve"> </w:t>
      </w:r>
      <w:r>
        <w:rPr>
          <w:rStyle w:val="VerbatimChar"/>
        </w:rPr>
        <w:t xml:space="preserve">docs/superpowers/specs/2026-06-10-terminal-mode-view-policy-design.md</w:t>
      </w:r>
      <w:r>
        <w:t xml:space="preserve">.</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9"/>
    <w:bookmarkStart w:id="60" w:name="fds-02-011-cell-context-change-rules"/>
    <w:p>
      <w:pPr>
        <w:pStyle w:val="Heading4"/>
      </w:pPr>
      <w:r>
        <w:t xml:space="preserve">FDS-02-011 — Cell Context Change Rules</w:t>
      </w:r>
    </w:p>
    <w:p>
      <w:pPr>
        <w:pStyle w:val="Compact"/>
        <w:numPr>
          <w:ilvl w:val="0"/>
          <w:numId w:val="1009"/>
        </w:numPr>
      </w:pPr>
      <w:r>
        <w:t xml:space="preserve">On terminals running a</w:t>
      </w:r>
      <w:r>
        <w:t xml:space="preserve"> </w:t>
      </w:r>
      <w:r>
        <w:rPr>
          <w:b/>
          <w:bCs/>
        </w:rPr>
        <w:t xml:space="preserve">dedicated-flavor</w:t>
      </w:r>
      <w:r>
        <w:t xml:space="preserve"> </w:t>
      </w:r>
      <w:r>
        <w:t xml:space="preserve">view the active location context SHALL NOT be changeable via the UI. The terminal’s parent Location IS the context for the session; no scan, dropdown, or search is offered.</w:t>
      </w:r>
    </w:p>
    <w:p>
      <w:pPr>
        <w:pStyle w:val="Compact"/>
        <w:numPr>
          <w:ilvl w:val="0"/>
          <w:numId w:val="1009"/>
        </w:numPr>
      </w:pPr>
      <w:r>
        <w:t xml:space="preserve">On terminals running a</w:t>
      </w:r>
      <w:r>
        <w:t xml:space="preserve"> </w:t>
      </w:r>
      <w:r>
        <w:rPr>
          <w:b/>
          <w:bCs/>
        </w:rPr>
        <w:t xml:space="preserve">shared-flavor</w:t>
      </w:r>
      <w:r>
        <w:t xml:space="preserve"> </w:t>
      </w:r>
      <w:r>
        <w:t xml:space="preserve">view the active location context SHALL be changeable only via the FDS-02-009 selectors (scan or dropdown), constrained to descendant equipment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60"/>
    <w:bookmarkStart w:id="61"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10"/>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10"/>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61"/>
    <w:bookmarkStart w:id="62"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62"/>
    <w:bookmarkStart w:id="63"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63"/>
    <w:bookmarkEnd w:id="64"/>
    <w:bookmarkEnd w:id="65"/>
    <w:bookmarkStart w:id="94" w:name="master-data-management-mvp"/>
    <w:p>
      <w:pPr>
        <w:pStyle w:val="Heading2"/>
      </w:pPr>
      <w:r>
        <w:t xml:space="preserve">3. Master Data Management —</w:t>
      </w:r>
      <w:r>
        <w:t xml:space="preserve"> </w:t>
      </w:r>
      <w:r>
        <w:rPr>
          <w:rStyle w:val="VerbatimChar"/>
        </w:rPr>
        <w:t xml:space="preserve">MVP</w:t>
      </w:r>
    </w:p>
    <w:bookmarkStart w:id="69" w:name="item-master"/>
    <w:p>
      <w:pPr>
        <w:pStyle w:val="Heading3"/>
      </w:pPr>
      <w:r>
        <w:t xml:space="preserve">3.1 Item Master</w:t>
      </w:r>
    </w:p>
    <w:bookmarkStart w:id="66"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6"/>
    <w:bookmarkStart w:id="67"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7"/>
    <w:bookmarkStart w:id="68"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8"/>
    <w:bookmarkEnd w:id="69"/>
    <w:bookmarkStart w:id="73" w:name="bills-of-material"/>
    <w:p>
      <w:pPr>
        <w:pStyle w:val="Heading3"/>
      </w:pPr>
      <w:r>
        <w:t xml:space="preserve">3.2 Bills of Material</w:t>
      </w:r>
    </w:p>
    <w:bookmarkStart w:id="70"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70"/>
    <w:bookmarkStart w:id="71"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71"/>
    <w:bookmarkStart w:id="72"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72"/>
    <w:bookmarkEnd w:id="73"/>
    <w:bookmarkStart w:id="79" w:name="route-templates"/>
    <w:p>
      <w:pPr>
        <w:pStyle w:val="Heading3"/>
      </w:pPr>
      <w:r>
        <w:t xml:space="preserve">3.3 Route Templates</w:t>
      </w:r>
    </w:p>
    <w:bookmarkStart w:id="74"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74"/>
    <w:bookmarkStart w:id="75"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75"/>
    <w:bookmarkStart w:id="76"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6"/>
    <w:bookmarkStart w:id="77"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7"/>
    <w:bookmarkStart w:id="78"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8"/>
    <w:bookmarkEnd w:id="79"/>
    <w:bookmarkStart w:id="83" w:name="operation-templates"/>
    <w:p>
      <w:pPr>
        <w:pStyle w:val="Heading3"/>
      </w:pPr>
      <w:r>
        <w:t xml:space="preserve">3.4 Operation Templates</w:t>
      </w:r>
    </w:p>
    <w:bookmarkStart w:id="80"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80"/>
    <w:bookmarkStart w:id="81"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81"/>
    <w:bookmarkStart w:id="82"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11"/>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11"/>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12"/>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12"/>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12"/>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12"/>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11"/>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11"/>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82"/>
    <w:bookmarkEnd w:id="83"/>
    <w:bookmarkStart w:id="87" w:name="part-to-location-eligibility"/>
    <w:p>
      <w:pPr>
        <w:pStyle w:val="Heading3"/>
      </w:pPr>
      <w:r>
        <w:t xml:space="preserve">3.5 Part-to-Location Eligibility</w:t>
      </w:r>
    </w:p>
    <w:bookmarkStart w:id="84"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3"/>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3"/>
        </w:numPr>
      </w:pPr>
      <w:r>
        <w:t xml:space="preserve">If none, check at the Cell’s parent WorkCenter (if a WorkCenter tier exists between Cell and Area).</w:t>
      </w:r>
    </w:p>
    <w:p>
      <w:pPr>
        <w:pStyle w:val="Compact"/>
        <w:numPr>
          <w:ilvl w:val="0"/>
          <w:numId w:val="1013"/>
        </w:numPr>
      </w:pPr>
      <w:r>
        <w:t xml:space="preserve">If none, check at the parent Area.</w:t>
      </w:r>
    </w:p>
    <w:p>
      <w:pPr>
        <w:pStyle w:val="Compact"/>
        <w:numPr>
          <w:ilvl w:val="0"/>
          <w:numId w:val="1013"/>
        </w:numPr>
      </w:pPr>
      <w:r>
        <w:t xml:space="preserve">If none, check at the Site.</w:t>
      </w:r>
    </w:p>
    <w:p>
      <w:pPr>
        <w:pStyle w:val="Compact"/>
        <w:numPr>
          <w:ilvl w:val="0"/>
          <w:numId w:val="1013"/>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84"/>
    <w:bookmarkStart w:id="85"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85"/>
    <w:bookmarkStart w:id="86"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6"/>
    <w:bookmarkEnd w:id="87"/>
    <w:bookmarkStart w:id="93" w:name="container-configuration"/>
    <w:p>
      <w:pPr>
        <w:pStyle w:val="Heading3"/>
      </w:pPr>
      <w:r>
        <w:t xml:space="preserve">3.6 Container Configuration</w:t>
      </w:r>
    </w:p>
    <w:bookmarkStart w:id="88"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8"/>
    <w:bookmarkStart w:id="89"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4"/>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4"/>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9"/>
    <w:bookmarkStart w:id="90"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5"/>
        </w:numPr>
      </w:pPr>
      <w:r>
        <w:t xml:space="preserve">Sum existing pieces of this Item across all non-Closed LOTs currently at the destination Location.</w:t>
      </w:r>
    </w:p>
    <w:p>
      <w:pPr>
        <w:pStyle w:val="Compact"/>
        <w:numPr>
          <w:ilvl w:val="0"/>
          <w:numId w:val="1015"/>
        </w:numPr>
      </w:pPr>
      <w:r>
        <w:t xml:space="preserve">Add the incoming LOT’s piece count.</w:t>
      </w:r>
    </w:p>
    <w:p>
      <w:pPr>
        <w:pStyle w:val="Compact"/>
        <w:numPr>
          <w:ilvl w:val="0"/>
          <w:numId w:val="1015"/>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90"/>
    <w:bookmarkStart w:id="91"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91"/>
    <w:bookmarkStart w:id="92"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92"/>
    <w:bookmarkEnd w:id="93"/>
    <w:bookmarkEnd w:id="94"/>
    <w:bookmarkStart w:id="108"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9" w:name="identity-model"/>
    <w:p>
      <w:pPr>
        <w:pStyle w:val="Heading3"/>
      </w:pPr>
      <w:r>
        <w:t xml:space="preserve">4.1 Identity Model</w:t>
      </w:r>
    </w:p>
    <w:bookmarkStart w:id="95"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95"/>
    <w:bookmarkStart w:id="96"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6"/>
        </w:numPr>
      </w:pPr>
      <w:r>
        <w:t xml:space="preserve">another operator enters different initials, or</w:t>
      </w:r>
    </w:p>
    <w:p>
      <w:pPr>
        <w:pStyle w:val="Compact"/>
        <w:numPr>
          <w:ilvl w:val="0"/>
          <w:numId w:val="1016"/>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6"/>
    <w:bookmarkStart w:id="97" w:name="X12e36bced65c6592899ed458d99560503ae65bb"/>
    <w:p>
      <w:pPr>
        <w:pStyle w:val="Heading4"/>
      </w:pPr>
      <w:r>
        <w:t xml:space="preserve">FDS-04-003 — Presence Policy: Dedicated vs Shared Views —</w:t>
      </w:r>
      <w:r>
        <w:t xml:space="preserve"> </w:t>
      </w:r>
      <w:r>
        <w:rPr>
          <w:rStyle w:val="VerbatimChar"/>
        </w:rPr>
        <w:t xml:space="preserve">MVP</w:t>
      </w:r>
    </w:p>
    <w:p>
      <w:pPr>
        <w:pStyle w:val="FirstParagraph"/>
      </w:pPr>
      <w:r>
        <w:t xml:space="preserve">Presence behavior follows the</w:t>
      </w:r>
      <w:r>
        <w:t xml:space="preserve"> </w:t>
      </w:r>
      <w:r>
        <w:rPr>
          <w:b/>
          <w:bCs/>
        </w:rPr>
        <w:t xml:space="preserve">view flavor</w:t>
      </w:r>
      <w:r>
        <w:t xml:space="preserve"> </w:t>
      </w:r>
      <w:r>
        <w:t xml:space="preserve">assigned to the terminal (FDS-02-010), surfaced at runtime as</w:t>
      </w:r>
      <w:r>
        <w:t xml:space="preserve"> </w:t>
      </w:r>
      <w:r>
        <w:rPr>
          <w:rStyle w:val="VerbatimChar"/>
        </w:rPr>
        <w:t xml:space="preserve">session.custom.presence.policy</w:t>
      </w:r>
      <w:r>
        <w:t xml:space="preserve">:</w:t>
      </w:r>
    </w:p>
    <w:p>
      <w:pPr>
        <w:pStyle w:val="Compact"/>
        <w:numPr>
          <w:ilvl w:val="0"/>
          <w:numId w:val="1017"/>
        </w:numPr>
      </w:pPr>
      <w:r>
        <w:rPr>
          <w:b/>
          <w:bCs/>
        </w:rPr>
        <w:t xml:space="preserve">Dedicated-flavor views</w:t>
      </w:r>
      <w:r>
        <w:t xml:space="preserve"> </w:t>
      </w:r>
      <w:r>
        <w:t xml:space="preserve">(</w:t>
      </w:r>
      <w:r>
        <w:rPr>
          <w:rStyle w:val="VerbatimChar"/>
        </w:rPr>
        <w:t xml:space="preserve">policy = confirm</w:t>
      </w:r>
      <w:r>
        <w:t xml:space="preserve">): the location context is fixed, so presence context persists across idle gaps subject only to the 30-minute re-confirmation prompt (FDS-04-006). Initials do not clear unless explicitly changed.</w:t>
      </w:r>
    </w:p>
    <w:p>
      <w:pPr>
        <w:pStyle w:val="Compact"/>
        <w:numPr>
          <w:ilvl w:val="0"/>
          <w:numId w:val="1017"/>
        </w:numPr>
      </w:pPr>
      <w:r>
        <w:rPr>
          <w:b/>
          <w:bCs/>
        </w:rPr>
        <w:t xml:space="preserve">Shared-flavor views</w:t>
      </w:r>
      <w:r>
        <w:t xml:space="preserve"> </w:t>
      </w:r>
      <w:r>
        <w:t xml:space="preserve">(</w:t>
      </w:r>
      <w:r>
        <w:rPr>
          <w:rStyle w:val="VerbatimChar"/>
        </w:rPr>
        <w:t xml:space="preserve">policy = strict</w:t>
      </w:r>
      <w:r>
        <w:t xml:space="preserve">; e.g., a Die Cast cabin where one terminal serves multiple presses): the presence context SHALL be requested on first action after any idle period longer than the presence-timeout, and SHALL also be re-prompted when the operator changes location context — by scan or dropdown — per FDS-02-009.</w:t>
      </w:r>
    </w:p>
    <w:bookmarkEnd w:id="97"/>
    <w:bookmarkStart w:id="98"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8"/>
    <w:bookmarkEnd w:id="99"/>
    <w:bookmarkStart w:id="102" w:name="event-attribution-on-mutations"/>
    <w:p>
      <w:pPr>
        <w:pStyle w:val="Heading3"/>
      </w:pPr>
      <w:r>
        <w:t xml:space="preserve">4.2 Event Attribution on Mutations</w:t>
      </w:r>
    </w:p>
    <w:bookmarkStart w:id="100"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100"/>
    <w:bookmarkStart w:id="101"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8"/>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8"/>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101"/>
    <w:bookmarkEnd w:id="102"/>
    <w:bookmarkStart w:id="107" w:name="elevation-model"/>
    <w:p>
      <w:pPr>
        <w:pStyle w:val="Heading3"/>
      </w:pPr>
      <w:r>
        <w:t xml:space="preserve">4.3 Elevation Model</w:t>
      </w:r>
    </w:p>
    <w:bookmarkStart w:id="103"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9"/>
        </w:numPr>
      </w:pPr>
      <w:r>
        <w:t xml:space="preserve">Place a LOT on hold</w:t>
      </w:r>
    </w:p>
    <w:p>
      <w:pPr>
        <w:pStyle w:val="Compact"/>
        <w:numPr>
          <w:ilvl w:val="0"/>
          <w:numId w:val="1019"/>
        </w:numPr>
      </w:pPr>
      <w:r>
        <w:t xml:space="preserve">Release a LOT from hold</w:t>
      </w:r>
    </w:p>
    <w:p>
      <w:pPr>
        <w:pStyle w:val="Compact"/>
        <w:numPr>
          <w:ilvl w:val="0"/>
          <w:numId w:val="1019"/>
        </w:numPr>
      </w:pPr>
      <w:r>
        <w:t xml:space="preserve">Override a vision or interlock failure</w:t>
      </w:r>
    </w:p>
    <w:p>
      <w:pPr>
        <w:pStyle w:val="Compact"/>
        <w:numPr>
          <w:ilvl w:val="0"/>
          <w:numId w:val="1019"/>
        </w:numPr>
      </w:pPr>
      <w:r>
        <w:t xml:space="preserve">Scrap a LOT or container</w:t>
      </w:r>
    </w:p>
    <w:p>
      <w:pPr>
        <w:pStyle w:val="Compact"/>
        <w:numPr>
          <w:ilvl w:val="0"/>
          <w:numId w:val="1019"/>
        </w:numPr>
      </w:pPr>
      <w:r>
        <w:t xml:space="preserve">Void or reprint a shipping label</w:t>
      </w:r>
    </w:p>
    <w:p>
      <w:pPr>
        <w:pStyle w:val="Compact"/>
        <w:numPr>
          <w:ilvl w:val="0"/>
          <w:numId w:val="1019"/>
        </w:numPr>
      </w:pPr>
      <w:r>
        <w:t xml:space="preserve">Merge or split LOTs outside of the normal sort workflow</w:t>
      </w:r>
    </w:p>
    <w:p>
      <w:pPr>
        <w:pStyle w:val="Compact"/>
        <w:numPr>
          <w:ilvl w:val="0"/>
          <w:numId w:val="1019"/>
        </w:numPr>
      </w:pPr>
      <w:r>
        <w:t xml:space="preserve">Issue or close a maintenance work order against a tool</w:t>
      </w:r>
    </w:p>
    <w:p>
      <w:pPr>
        <w:pStyle w:val="Compact"/>
        <w:numPr>
          <w:ilvl w:val="0"/>
          <w:numId w:val="1019"/>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9"/>
        </w:numPr>
      </w:pPr>
      <w:r>
        <w:t xml:space="preserve">Adjust inventory via the admin remove-item action</w:t>
      </w:r>
    </w:p>
    <w:p>
      <w:pPr>
        <w:pStyle w:val="Compact"/>
        <w:numPr>
          <w:ilvl w:val="0"/>
          <w:numId w:val="1019"/>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103"/>
    <w:bookmarkStart w:id="104"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104"/>
    <w:bookmarkStart w:id="105" w:name="fds-04-009-screen-level-security"/>
    <w:p>
      <w:pPr>
        <w:pStyle w:val="Heading4"/>
      </w:pPr>
      <w:r>
        <w:t xml:space="preserve">FDS-04-009 — Screen-Level Security</w:t>
      </w:r>
    </w:p>
    <w:p>
      <w:pPr>
        <w:pStyle w:val="Compact"/>
        <w:numPr>
          <w:ilvl w:val="0"/>
          <w:numId w:val="1020"/>
        </w:numPr>
      </w:pPr>
      <w:r>
        <w:t xml:space="preserve">Shop-floor terminal screens SHALL be accessible without interactive authentication; operator presence is sufficient.</w:t>
      </w:r>
    </w:p>
    <w:p>
      <w:pPr>
        <w:pStyle w:val="Compact"/>
        <w:numPr>
          <w:ilvl w:val="0"/>
          <w:numId w:val="1020"/>
        </w:numPr>
      </w:pPr>
      <w:r>
        <w:t xml:space="preserve">Shop-floor screens SHALL NOT expose Configuration Tool or master-data functions.</w:t>
      </w:r>
    </w:p>
    <w:p>
      <w:pPr>
        <w:pStyle w:val="Compact"/>
        <w:numPr>
          <w:ilvl w:val="0"/>
          <w:numId w:val="1020"/>
        </w:numPr>
      </w:pPr>
      <w:r>
        <w:t xml:space="preserve">Configuration Tool, Supervisor dashboards, and Engineering screens SHALL require AD-backed authentication on page entry.</w:t>
      </w:r>
    </w:p>
    <w:p>
      <w:pPr>
        <w:pStyle w:val="Compact"/>
        <w:numPr>
          <w:ilvl w:val="0"/>
          <w:numId w:val="1020"/>
        </w:numPr>
      </w:pPr>
      <w:r>
        <w:t xml:space="preserve">Elevated action controls (buttons, menu items) SHALL be visible on shop-floor screens but SHALL trigger the FDS-04-007 prompt on activation. Unauthorised users cancel out.</w:t>
      </w:r>
    </w:p>
    <w:bookmarkEnd w:id="105"/>
    <w:bookmarkStart w:id="106"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6"/>
    <w:bookmarkEnd w:id="107"/>
    <w:bookmarkEnd w:id="108"/>
    <w:bookmarkStart w:id="156" w:name="lot-lifecycle-genealogy-mvp"/>
    <w:p>
      <w:pPr>
        <w:pStyle w:val="Heading2"/>
      </w:pPr>
      <w:r>
        <w:t xml:space="preserve">5. LOT Lifecycle &amp; Genealogy —</w:t>
      </w:r>
      <w:r>
        <w:t xml:space="preserve"> </w:t>
      </w:r>
      <w:r>
        <w:rPr>
          <w:rStyle w:val="VerbatimChar"/>
        </w:rPr>
        <w:t xml:space="preserve">MVP</w:t>
      </w:r>
    </w:p>
    <w:bookmarkStart w:id="115" w:name="lot-identity"/>
    <w:p>
      <w:pPr>
        <w:pStyle w:val="Heading3"/>
      </w:pPr>
      <w:r>
        <w:t xml:space="preserve">5.1 LOT Identity</w:t>
      </w:r>
    </w:p>
    <w:bookmarkStart w:id="10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9"/>
    <w:bookmarkStart w:id="11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10"/>
    <w:bookmarkStart w:id="11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11"/>
    <w:bookmarkStart w:id="112"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21"/>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21"/>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21"/>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12"/>
    <w:bookmarkStart w:id="113"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13"/>
    <w:bookmarkStart w:id="114"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22"/>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2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14"/>
    <w:bookmarkEnd w:id="115"/>
    <w:bookmarkStart w:id="119" w:name="lot-creation-workflows"/>
    <w:p>
      <w:pPr>
        <w:pStyle w:val="Heading3"/>
      </w:pPr>
      <w:r>
        <w:t xml:space="preserve">5.2 LOT Creation Workflows</w:t>
      </w:r>
    </w:p>
    <w:bookmarkStart w:id="116"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3"/>
        </w:numPr>
      </w:pPr>
      <w:r>
        <w:t xml:space="preserve">Fill a basket with parts from the active cavity of the die cast machine.</w:t>
      </w:r>
    </w:p>
    <w:p>
      <w:pPr>
        <w:pStyle w:val="Compact"/>
        <w:numPr>
          <w:ilvl w:val="0"/>
          <w:numId w:val="1023"/>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3"/>
        </w:numPr>
      </w:pPr>
      <w:r>
        <w:t xml:space="preserve">Scan the LTT barcode at the MES terminal — this scan creates the LOT record; the physical label already exists.</w:t>
      </w:r>
    </w:p>
    <w:p>
      <w:pPr>
        <w:pStyle w:val="Compact"/>
        <w:numPr>
          <w:ilvl w:val="0"/>
          <w:numId w:val="1023"/>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3"/>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3"/>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3"/>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3"/>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3"/>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3"/>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6"/>
    <w:bookmarkStart w:id="117"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4"/>
        </w:numPr>
      </w:pPr>
      <w:r>
        <w:t xml:space="preserve">Scan or manually enter the vendor reference (PO number, packing slip, etc.)</w:t>
      </w:r>
    </w:p>
    <w:p>
      <w:pPr>
        <w:pStyle w:val="Compact"/>
        <w:numPr>
          <w:ilvl w:val="0"/>
          <w:numId w:val="1024"/>
        </w:numPr>
      </w:pPr>
      <w:r>
        <w:t xml:space="preserve">Enter: part number, vendor lot number, piece count</w:t>
      </w:r>
    </w:p>
    <w:p>
      <w:pPr>
        <w:pStyle w:val="Compact"/>
        <w:numPr>
          <w:ilvl w:val="0"/>
          <w:numId w:val="1024"/>
        </w:numPr>
      </w:pPr>
      <w:r>
        <w:t xml:space="preserve">The MES SHALL create the LOT with origin type Received, status Good, location = Receiving Dock</w:t>
      </w:r>
    </w:p>
    <w:p>
      <w:pPr>
        <w:pStyle w:val="Compact"/>
        <w:numPr>
          <w:ilvl w:val="0"/>
          <w:numId w:val="1024"/>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4"/>
        </w:numPr>
      </w:pPr>
      <w:r>
        <w:t xml:space="preserve">The operator SHALL affix the printed label to the basket/container</w:t>
      </w:r>
    </w:p>
    <w:p>
      <w:pPr>
        <w:pStyle w:val="Compact"/>
        <w:numPr>
          <w:ilvl w:val="0"/>
          <w:numId w:val="1024"/>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7"/>
    <w:bookmarkStart w:id="118"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8"/>
    <w:bookmarkEnd w:id="119"/>
    <w:bookmarkStart w:id="126" w:name="lot-movement"/>
    <w:p>
      <w:pPr>
        <w:pStyle w:val="Heading3"/>
      </w:pPr>
      <w:r>
        <w:t xml:space="preserve">5.3 LOT Movement</w:t>
      </w:r>
    </w:p>
    <w:bookmarkStart w:id="120"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20"/>
    <w:bookmarkStart w:id="121"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5"/>
        </w:numPr>
      </w:pPr>
      <w:r>
        <w:rPr>
          <w:b/>
          <w:bCs/>
        </w:rPr>
        <w:t xml:space="preserve">Set destination</w:t>
      </w:r>
      <w:r>
        <w:t xml:space="preserve"> </w:t>
      </w:r>
      <w:r>
        <w:t xml:space="preserve">— On a dedicated terminal the destination defaults to the terminal’s parent Location (a Cell, Line, or Area per FDS-02-009) and is read-only. On a shared terminal the operator selects the destination Cell by scan or dropdown (constrained to descendant equipment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(a Cell-tier Location — or, on line/area-resolution terminals, the line/area itself per FDS-02-009 — with an appropriate definition).</w:t>
      </w:r>
    </w:p>
    <w:p>
      <w:pPr>
        <w:pStyle w:val="Compact"/>
        <w:numPr>
          <w:ilvl w:val="0"/>
          <w:numId w:val="102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21"/>
    <w:bookmarkStart w:id="122"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22"/>
    <w:bookmarkStart w:id="123"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23"/>
    <w:bookmarkStart w:id="124"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24"/>
    <w:bookmarkStart w:id="125"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6"/>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6"/>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6"/>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6"/>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25"/>
    <w:bookmarkEnd w:id="126"/>
    <w:bookmarkStart w:id="132"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7"/>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7"/>
        </w:numPr>
      </w:pPr>
      <w:r>
        <w:rPr>
          <w:b/>
          <w:bCs/>
        </w:rPr>
        <w:t xml:space="preserve">Machining sub-LOT split IS a sublot pattern, and it happens at Machining OUT.</w:t>
      </w:r>
      <w:r>
        <w:t xml:space="preserve"> </w:t>
      </w:r>
      <w:r>
        <w:t xml:space="preserve">A cast/trim LOT moves whole (1:1) from Trim to its Machining line and is renamed to the machined Item at Machining IN (FDS-05-033); the split into N machined sub-LOTs then happens at</w:t>
      </w:r>
      <w:r>
        <w:t xml:space="preserve"> </w:t>
      </w:r>
      <w:r>
        <w:rPr>
          <w:b/>
          <w:bCs/>
        </w:rPr>
        <w:t xml:space="preserve">Machining OUT</w:t>
      </w:r>
      <w:r>
        <w:t xml:space="preserve"> </w:t>
      </w:r>
      <w:r>
        <w:t xml:space="preserve">on lines that sublot. The workflow below (FDS-05-022, -024, -009..011) is authoritative — parent FK, split genealogy, sublot labels. Trim OUT does</w:t>
      </w:r>
      <w:r>
        <w:t xml:space="preserve"> </w:t>
      </w:r>
      <w:r>
        <w:rPr>
          <w:b/>
          <w:bCs/>
        </w:rPr>
        <w:t xml:space="preserve">not</w:t>
      </w:r>
      <w:r>
        <w:t xml:space="preserve"> </w:t>
      </w:r>
      <w:r>
        <w:t xml:space="preserve">split (FDS-06-006).</w:t>
      </w:r>
    </w:p>
    <w:p>
      <w:pPr>
        <w:pStyle w:val="Compact"/>
        <w:numPr>
          <w:ilvl w:val="0"/>
          <w:numId w:val="1027"/>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7"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7"/>
    <w:bookmarkStart w:id="128"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8"/>
    <w:bookmarkStart w:id="129" w:name="X966710907e49d2cc26c5181fcdb6e974eae84fc"/>
    <w:p>
      <w:pPr>
        <w:pStyle w:val="Heading4"/>
      </w:pPr>
      <w:r>
        <w:t xml:space="preserve">FDS-05-009 — Machining OUT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machined LOT across downstream destinations SHALL happen at</w:t>
      </w:r>
      <w:r>
        <w:t xml:space="preserve"> </w:t>
      </w:r>
      <w:r>
        <w:rPr>
          <w:b/>
          <w:bCs/>
        </w:rPr>
        <w:t xml:space="preserve">Machining OUT</w:t>
      </w:r>
      <w:r>
        <w:t xml:space="preserve"> </w:t>
      </w:r>
      <w:r>
        <w:t xml:space="preserve">(per MPP — confirmed 2026-06; supersedes the prior Trim-OUT design). Only lines that sublot perform this split; their physical signature is a dedicated</w:t>
      </w:r>
      <w:r>
        <w:t xml:space="preserve"> </w:t>
      </w:r>
      <w:r>
        <w:rPr>
          <w:b/>
          <w:bCs/>
        </w:rPr>
        <w:t xml:space="preserve">Machining OUT terminal</w:t>
      </w:r>
      <w:r>
        <w:t xml:space="preserve"> </w:t>
      </w:r>
      <w:r>
        <w:t xml:space="preserve">(lines without one feed the coupled Assembly Cell whole, per FDS-06-008). By Machining OUT the</w:t>
      </w:r>
      <w:r>
        <w:t xml:space="preserve"> </w:t>
      </w:r>
      <w:r>
        <w:rPr>
          <w:b/>
          <w:bCs/>
        </w:rPr>
        <w:t xml:space="preserve">Trim → Machining rename has already fired</w:t>
      </w:r>
      <w:r>
        <w:t xml:space="preserve"> </w:t>
      </w:r>
      <w:r>
        <w:t xml:space="preserve">at Machining IN (FDS-05-033), so the parent being split is the</w:t>
      </w:r>
      <w:r>
        <w:t xml:space="preserve"> </w:t>
      </w:r>
      <w:r>
        <w:rPr>
          <w:b/>
          <w:bCs/>
        </w:rPr>
        <w:t xml:space="preserve">machined</w:t>
      </w:r>
      <w:r>
        <w:t xml:space="preserve"> </w:t>
      </w:r>
      <w:r>
        <w:t xml:space="preserve">LOT and the children are machined sub-LOTs (machining-origin —</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NULL per FDS-05-022). The mechanics:</w:t>
      </w:r>
    </w:p>
    <w:p>
      <w:pPr>
        <w:pStyle w:val="Compact"/>
        <w:numPr>
          <w:ilvl w:val="0"/>
          <w:numId w:val="1028"/>
        </w:numPr>
      </w:pPr>
      <w:r>
        <w:t xml:space="preserve">When the operator completes the Machining operation on a parent (machined) LOT and triggers Machining OUT (FDS-06-008), the system SHALL present a sub-LOT split confirmation dialog.</w:t>
      </w:r>
    </w:p>
    <w:p>
      <w:pPr>
        <w:pStyle w:val="Compact"/>
        <w:numPr>
          <w:ilvl w:val="0"/>
          <w:numId w:val="1028"/>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8"/>
        </w:numPr>
      </w:pPr>
      <w:r>
        <w:t xml:space="preserve">For each sub-LOT, the operator SHALL select the destination (scan or dropdown per FDS-02-009). Routing MAY drive the destination set where the line’s Operation Template defines it.</w:t>
      </w:r>
    </w:p>
    <w:p>
      <w:pPr>
        <w:pStyle w:val="Compact"/>
        <w:numPr>
          <w:ilvl w:val="0"/>
          <w:numId w:val="1028"/>
        </w:numPr>
      </w:pPr>
      <w:r>
        <w:t xml:space="preserve">On confirmation, create N child LOT records per FDS-05-022 (sublot pattern). Each sub-LOT inherits the parent’s</w:t>
      </w:r>
      <w:r>
        <w:t xml:space="preserve"> </w:t>
      </w:r>
      <w:r>
        <w:rPr>
          <w:b/>
          <w:bCs/>
        </w:rPr>
        <w:t xml:space="preserve">machined</w:t>
      </w:r>
      <w:r>
        <w:t xml:space="preserve"> </w:t>
      </w:r>
      <w:r>
        <w:rPr>
          <w:rStyle w:val="VerbatimChar"/>
        </w:rPr>
        <w:t xml:space="preserve">ItemId</w:t>
      </w:r>
      <w:r>
        <w:t xml:space="preserve"> </w:t>
      </w:r>
      <w:r>
        <w:t xml:space="preserve">(the Trim → Machining rename already happened at Machining IN per FDS-05-033). Each child requires a fresh LTT barcode scan.</w:t>
      </w:r>
    </w:p>
    <w:p>
      <w:pPr>
        <w:pStyle w:val="Compact"/>
        <w:numPr>
          <w:ilvl w:val="0"/>
          <w:numId w:val="1028"/>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8"/>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8"/>
        </w:numPr>
      </w:pPr>
      <w:r>
        <w:t xml:space="preserve">Write a</w:t>
      </w:r>
      <w:r>
        <w:t xml:space="preserve"> </w:t>
      </w:r>
      <w:r>
        <w:rPr>
          <w:rStyle w:val="VerbatimChar"/>
        </w:rPr>
        <w:t xml:space="preserve">LotMovement</w:t>
      </w:r>
      <w:r>
        <w:t xml:space="preserve"> </w:t>
      </w:r>
      <w:r>
        <w:t xml:space="preserve">for each sub-LOT moving from the Machining Cell to its destination.</w:t>
      </w:r>
    </w:p>
    <w:p>
      <w:pPr>
        <w:pStyle w:val="Compact"/>
        <w:numPr>
          <w:ilvl w:val="0"/>
          <w:numId w:val="1028"/>
        </w:numPr>
      </w:pPr>
      <w:r>
        <w:t xml:space="preserve">Print LTT labels for each child sublot — labels follow the FDS-05-024 parent-reference rule (MPP’s</w:t>
      </w:r>
      <w:r>
        <w:t xml:space="preserve"> </w:t>
      </w:r>
      <w:r>
        <w:rPr>
          <w:rStyle w:val="VerbatimChar"/>
        </w:rPr>
        <w:t xml:space="preserve">SL</w:t>
      </w:r>
      <w:r>
        <w:t xml:space="preserve">-id sublot numbering convention — exact pre/post format confirmed at lot-number-generation build time).</w:t>
      </w:r>
    </w:p>
    <w:p>
      <w:pPr>
        <w:pStyle w:val="Compact"/>
        <w:numPr>
          <w:ilvl w:val="0"/>
          <w:numId w:val="1028"/>
        </w:numPr>
      </w:pPr>
      <w:r>
        <w:t xml:space="preserve">Log all operations to</w:t>
      </w:r>
      <w:r>
        <w:t xml:space="preserve"> </w:t>
      </w:r>
      <w:r>
        <w:rPr>
          <w:rStyle w:val="VerbatimChar"/>
        </w:rPr>
        <w:t xml:space="preserve">Audit.OperationLog</w:t>
      </w:r>
      <w:r>
        <w:t xml:space="preserve">.</w:t>
      </w:r>
    </w:p>
    <w:p>
      <w:pPr>
        <w:pStyle w:val="FirstParagraph"/>
      </w:pPr>
      <w:r>
        <w:t xml:space="preserve">A line that does</w:t>
      </w:r>
      <w:r>
        <w:t xml:space="preserve"> </w:t>
      </w:r>
      <w:r>
        <w:rPr>
          <w:b/>
          <w:bCs/>
        </w:rPr>
        <w:t xml:space="preserve">not</w:t>
      </w:r>
      <w:r>
        <w:t xml:space="preserve"> </w:t>
      </w:r>
      <w:r>
        <w:t xml:space="preserve">sublot skips this workflow entirely — the whole machined LOT auto-moves to the coupled Assembly Cell (FDS-06-008). The operator MAY also cancel a split on a sublotting line and move the whole LOT to a single destination. (FRS 2.1.4, 2.2.5, 3.9.12)</w:t>
      </w:r>
    </w:p>
    <w:bookmarkEnd w:id="129"/>
    <w:bookmarkStart w:id="130"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30"/>
    <w:bookmarkStart w:id="131"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31"/>
    <w:bookmarkEnd w:id="132"/>
    <w:bookmarkStart w:id="140"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9"/>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9"/>
        </w:numPr>
      </w:pPr>
      <w:r>
        <w:t xml:space="preserve">Same</w:t>
      </w:r>
      <w:r>
        <w:t xml:space="preserve"> </w:t>
      </w:r>
      <w:r>
        <w:rPr>
          <w:b/>
          <w:bCs/>
        </w:rPr>
        <w:t xml:space="preserve">part number</w:t>
      </w:r>
      <w:r>
        <w:t xml:space="preserve"> </w:t>
      </w:r>
      <w:r>
        <w:t xml:space="preserve">SHALL be required.</w:t>
      </w:r>
    </w:p>
    <w:p>
      <w:pPr>
        <w:pStyle w:val="Compact"/>
        <w:numPr>
          <w:ilvl w:val="0"/>
          <w:numId w:val="1029"/>
        </w:numPr>
      </w:pPr>
      <w:r>
        <w:t xml:space="preserve">Same</w:t>
      </w:r>
      <w:r>
        <w:t xml:space="preserve"> </w:t>
      </w:r>
      <w:r>
        <w:rPr>
          <w:b/>
          <w:bCs/>
        </w:rPr>
        <w:t xml:space="preserve">die</w:t>
      </w:r>
      <w:r>
        <w:t xml:space="preserve"> </w:t>
      </w:r>
      <w:r>
        <w:t xml:space="preserve">→ merge proceeds.</w:t>
      </w:r>
    </w:p>
    <w:p>
      <w:pPr>
        <w:pStyle w:val="Compact"/>
        <w:numPr>
          <w:ilvl w:val="0"/>
          <w:numId w:val="1029"/>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9"/>
        </w:numPr>
      </w:pPr>
      <w:r>
        <w:rPr>
          <w:b/>
          <w:bCs/>
        </w:rPr>
        <w:t xml:space="preserve">Machining</w:t>
      </w:r>
      <w:r>
        <w:t xml:space="preserve"> </w:t>
      </w:r>
      <w:r>
        <w:t xml:space="preserve">is FIFO-by-cavity — not a merge operation.</w:t>
      </w:r>
    </w:p>
    <w:p>
      <w:pPr>
        <w:pStyle w:val="Compact"/>
        <w:numPr>
          <w:ilvl w:val="0"/>
          <w:numId w:val="1029"/>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9"/>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33"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33"/>
    <w:bookmarkStart w:id="134"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34"/>
    <w:bookmarkStart w:id="135"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35"/>
    <w:bookmarkStart w:id="136"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30"/>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30"/>
        </w:numPr>
      </w:pPr>
      <w:r>
        <w:t xml:space="preserve">If all source LOTs share the same die, the compatibility check is bypassed; proceed to FDS-05-028 (Quality Status Gating).</w:t>
      </w:r>
    </w:p>
    <w:p>
      <w:pPr>
        <w:pStyle w:val="Compact"/>
        <w:numPr>
          <w:ilvl w:val="0"/>
          <w:numId w:val="1030"/>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30"/>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30"/>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6"/>
    <w:bookmarkStart w:id="137"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7"/>
    <w:bookmarkStart w:id="138"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8"/>
    <w:bookmarkStart w:id="139"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9"/>
    <w:bookmarkEnd w:id="140"/>
    <w:bookmarkStart w:id="144" w:name="lot-status-transitions"/>
    <w:p>
      <w:pPr>
        <w:pStyle w:val="Heading3"/>
      </w:pPr>
      <w:r>
        <w:t xml:space="preserve">5.6 LOT Status Transitions</w:t>
      </w:r>
    </w:p>
    <w:bookmarkStart w:id="141"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41"/>
    <w:bookmarkStart w:id="142"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42"/>
    <w:bookmarkStart w:id="143"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43"/>
    <w:bookmarkEnd w:id="144"/>
    <w:bookmarkStart w:id="148" w:name="genealogy"/>
    <w:p>
      <w:pPr>
        <w:pStyle w:val="Heading3"/>
      </w:pPr>
      <w:r>
        <w:t xml:space="preserve">5.7 Genealogy</w:t>
      </w:r>
    </w:p>
    <w:bookmarkStart w:id="145"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5"/>
    <w:bookmarkStart w:id="146"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6"/>
    <w:bookmarkStart w:id="147"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7"/>
    <w:bookmarkEnd w:id="148"/>
    <w:bookmarkStart w:id="151" w:name="lot-label-management"/>
    <w:p>
      <w:pPr>
        <w:pStyle w:val="Heading3"/>
      </w:pPr>
      <w:r>
        <w:t xml:space="preserve">5.8 LOT Label Management</w:t>
      </w:r>
    </w:p>
    <w:bookmarkStart w:id="149"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9"/>
    <w:bookmarkStart w:id="150"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31"/>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31"/>
        </w:numPr>
      </w:pPr>
      <w:r>
        <w:rPr>
          <w:b/>
          <w:bCs/>
        </w:rPr>
        <w:t xml:space="preserve">Off-site receiving</w:t>
      </w:r>
      <w:r>
        <w:t xml:space="preserve">: same as above</w:t>
      </w:r>
    </w:p>
    <w:p>
      <w:pPr>
        <w:pStyle w:val="Compact"/>
        <w:numPr>
          <w:ilvl w:val="0"/>
          <w:numId w:val="1031"/>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50"/>
    <w:bookmarkEnd w:id="151"/>
    <w:bookmarkStart w:id="153" w:name="lot-attribute-auditing"/>
    <w:p>
      <w:pPr>
        <w:pStyle w:val="Heading3"/>
      </w:pPr>
      <w:r>
        <w:t xml:space="preserve">5.9 LOT Attribute Auditing</w:t>
      </w:r>
    </w:p>
    <w:bookmarkStart w:id="152"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52"/>
    <w:bookmarkEnd w:id="153"/>
    <w:bookmarkStart w:id="155"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54"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32"/>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32"/>
        </w:numPr>
      </w:pPr>
      <w:r>
        <w:t xml:space="preserve">For each such item, check whether its BOM’s single line references the scanned LOT’s Item. The matching machined item is the destination part.</w:t>
      </w:r>
    </w:p>
    <w:p>
      <w:pPr>
        <w:pStyle w:val="Compact"/>
        <w:numPr>
          <w:ilvl w:val="0"/>
          <w:numId w:val="1032"/>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32"/>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32"/>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54"/>
    <w:bookmarkEnd w:id="155"/>
    <w:bookmarkEnd w:id="156"/>
    <w:bookmarkStart w:id="197" w:name="production-execution-mvp-expanded"/>
    <w:p>
      <w:pPr>
        <w:pStyle w:val="Heading2"/>
      </w:pPr>
      <w:r>
        <w:t xml:space="preserve">6. Production Execution —</w:t>
      </w:r>
      <w:r>
        <w:t xml:space="preserve"> </w:t>
      </w:r>
      <w:r>
        <w:rPr>
          <w:rStyle w:val="VerbatimChar"/>
        </w:rPr>
        <w:t xml:space="preserve">MVP-EXPANDED</w:t>
      </w:r>
    </w:p>
    <w:bookmarkStart w:id="157"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7"/>
    <w:bookmarkStart w:id="161" w:name="die-cast-workflow"/>
    <w:p>
      <w:pPr>
        <w:pStyle w:val="Heading3"/>
      </w:pPr>
      <w:r>
        <w:t xml:space="preserve">6.2 Die Cast Workflow</w:t>
      </w:r>
    </w:p>
    <w:bookmarkStart w:id="158"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8"/>
    <w:bookmarkStart w:id="159"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9"/>
    <w:bookmarkStart w:id="160"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3"/>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3"/>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3"/>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3"/>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60"/>
    <w:bookmarkEnd w:id="161"/>
    <w:bookmarkStart w:id="165"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Trim OUT is a</w:t>
      </w:r>
      <w:r>
        <w:t xml:space="preserve"> </w:t>
      </w:r>
      <w:r>
        <w:rPr>
          <w:b/>
          <w:bCs/>
        </w:rPr>
        <w:t xml:space="preserve">1:1 whole-LOT move</w:t>
      </w:r>
      <w:r>
        <w:t xml:space="preserve"> </w:t>
      </w:r>
      <w:r>
        <w:t xml:space="preserve">to the LOT’s destination Machining line — no split happens at Trim (sub-LOT splitting moved to Machining OUT per FDS-05-009). Trim itself is tracked at</w:t>
      </w:r>
      <w:r>
        <w:t xml:space="preserve"> </w:t>
      </w:r>
      <w:r>
        <w:rPr>
          <w:b/>
          <w:bCs/>
        </w:rPr>
        <w:t xml:space="preserve">Area</w:t>
      </w:r>
      <w:r>
        <w:t xml:space="preserve"> </w:t>
      </w:r>
      <w:r>
        <w:t xml:space="preserve">resolution: a LOT is checked into the Trim Shop, processed, and checked out, with no line- or cell-level tracking in between.</w:t>
      </w:r>
    </w:p>
    <w:bookmarkStart w:id="162"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w:t>
      </w:r>
      <w:r>
        <w:t xml:space="preserve"> </w:t>
      </w:r>
      <w:r>
        <w:rPr>
          <w:b/>
          <w:bCs/>
        </w:rPr>
        <w:t xml:space="preserve">Trim Shop Area</w:t>
      </w:r>
      <w:r>
        <w:t xml:space="preserve"> </w:t>
      </w:r>
      <w:r>
        <w:t xml:space="preserve">— Trim is tracked at Area resolution (check-in → process → check-out), not at line or cell level. (FRS 2.2.3)</w:t>
      </w:r>
    </w:p>
    <w:bookmarkEnd w:id="162"/>
    <w:bookmarkStart w:id="163"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4"/>
        </w:numPr>
      </w:pPr>
      <w:r>
        <w:t xml:space="preserve">Operator reads the basket weight from the scale (manual entry or OmniServer integration)</w:t>
      </w:r>
    </w:p>
    <w:p>
      <w:pPr>
        <w:pStyle w:val="Compact"/>
        <w:numPr>
          <w:ilvl w:val="0"/>
          <w:numId w:val="1034"/>
        </w:numPr>
      </w:pPr>
      <w:r>
        <w:t xml:space="preserve">The system SHALL calculate a theoretical piece count:</w:t>
      </w:r>
      <w:r>
        <w:t xml:space="preserve"> </w:t>
      </w:r>
      <w:r>
        <w:rPr>
          <w:rStyle w:val="VerbatimChar"/>
        </w:rPr>
        <w:t xml:space="preserve">Weight / Item.UnitWeight</w:t>
      </w:r>
    </w:p>
    <w:p>
      <w:pPr>
        <w:pStyle w:val="Compact"/>
        <w:numPr>
          <w:ilvl w:val="0"/>
          <w:numId w:val="1034"/>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4"/>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4"/>
        </w:numPr>
      </w:pPr>
      <w:r>
        <w:t xml:space="preserve">Any count adjustment SHALL be recorded in</w:t>
      </w:r>
      <w:r>
        <w:t xml:space="preserve"> </w:t>
      </w:r>
      <w:r>
        <w:rPr>
          <w:rStyle w:val="VerbatimChar"/>
        </w:rPr>
        <w:t xml:space="preserve">LotAttributeChange</w:t>
      </w:r>
    </w:p>
    <w:bookmarkEnd w:id="163"/>
    <w:bookmarkStart w:id="164" w:name="Xa55da93afeb2394056c1643453ce29d1cb46659"/>
    <w:p>
      <w:pPr>
        <w:pStyle w:val="Heading4"/>
      </w:pPr>
      <w:r>
        <w:t xml:space="preserve">FDS-06-006 — Trim OUT (ProductionEvent + Whole-LOT Move to Machining)</w:t>
      </w:r>
    </w:p>
    <w:p>
      <w:pPr>
        <w:pStyle w:val="FirstParagraph"/>
      </w:pPr>
      <w:r>
        <w:t xml:space="preserve">When Trim work completes, the operator SHALL trigger Trim OUT for the LOT. Trim OUT does</w:t>
      </w:r>
      <w:r>
        <w:t xml:space="preserve"> </w:t>
      </w:r>
      <w:r>
        <w:rPr>
          <w:b/>
          <w:bCs/>
        </w:rPr>
        <w:t xml:space="preserve">not</w:t>
      </w:r>
      <w:r>
        <w:t xml:space="preserve"> </w:t>
      </w:r>
      <w:r>
        <w:t xml:space="preserve">split — sub-LOT splitting moved to Machining OUT (FDS-05-009). The system SHALL, in one transaction:</w:t>
      </w:r>
    </w:p>
    <w:p>
      <w:pPr>
        <w:pStyle w:val="Compact"/>
        <w:numPr>
          <w:ilvl w:val="0"/>
          <w:numId w:val="1035"/>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5"/>
        </w:numPr>
      </w:pPr>
      <w:r>
        <w:t xml:space="preserve">Move the</w:t>
      </w:r>
      <w:r>
        <w:t xml:space="preserve"> </w:t>
      </w:r>
      <w:r>
        <w:rPr>
          <w:b/>
          <w:bCs/>
        </w:rPr>
        <w:t xml:space="preserve">whole LOT</w:t>
      </w:r>
      <w:r>
        <w:t xml:space="preserve"> </w:t>
      </w:r>
      <w:r>
        <w:t xml:space="preserve">(1:1) to its destination Machining line, selected by the operator (scan or dropdown per FDS-02-009) or by routing where the Operation Template defines it. The LOT retains its cast/trim</w:t>
      </w:r>
      <w:r>
        <w:t xml:space="preserve"> </w:t>
      </w:r>
      <w:r>
        <w:rPr>
          <w:rStyle w:val="VerbatimChar"/>
        </w:rPr>
        <w:t xml:space="preserve">ItemId</w:t>
      </w:r>
      <w:r>
        <w:t xml:space="preserve"> </w:t>
      </w:r>
      <w:r>
        <w:t xml:space="preserve">until the rename at Machining IN (FDS-05-033).</w:t>
      </w:r>
    </w:p>
    <w:p>
      <w:pPr>
        <w:pStyle w:val="Compact"/>
        <w:numPr>
          <w:ilvl w:val="0"/>
          <w:numId w:val="1035"/>
        </w:numPr>
      </w:pPr>
      <w:r>
        <w:t xml:space="preserve">Write a</w:t>
      </w:r>
      <w:r>
        <w:t xml:space="preserve"> </w:t>
      </w:r>
      <w:r>
        <w:rPr>
          <w:rStyle w:val="VerbatimChar"/>
        </w:rPr>
        <w:t xml:space="preserve">LotMovement</w:t>
      </w:r>
      <w:r>
        <w:t xml:space="preserve"> </w:t>
      </w:r>
      <w:r>
        <w:t xml:space="preserve">from the Trim Shop Area to the destination Machining line, depositing the LOT into that line’s FIFO queue (visible at FDS-06-007). The LOT remains open — there is no Trim-side close, because nothing is split off.</w:t>
      </w:r>
    </w:p>
    <w:p>
      <w:pPr>
        <w:pStyle w:val="FirstParagraph"/>
      </w:pPr>
      <w:r>
        <w:t xml:space="preserve">A LOT therefore leaves Trim as a single intact LOT; any division into sub-LOTs happens later, at Machining OUT, and only on lines that sublot (FDS-05-009).</w:t>
      </w:r>
    </w:p>
    <w:bookmarkEnd w:id="164"/>
    <w:bookmarkEnd w:id="165"/>
    <w:bookmarkStart w:id="169" w:name="machining-workflow"/>
    <w:p>
      <w:pPr>
        <w:pStyle w:val="Heading3"/>
      </w:pPr>
      <w:r>
        <w:t xml:space="preserve">6.4 Machining Workflow</w:t>
      </w:r>
    </w:p>
    <w:p>
      <w:pPr>
        <w:pStyle w:val="FirstParagraph"/>
      </w:pPr>
      <w:r>
        <w:t xml:space="preserve">Machining receives</w:t>
      </w:r>
      <w:r>
        <w:t xml:space="preserve"> </w:t>
      </w:r>
      <w:r>
        <w:rPr>
          <w:b/>
          <w:bCs/>
        </w:rPr>
        <w:t xml:space="preserve">whole</w:t>
      </w:r>
      <w:r>
        <w:t xml:space="preserve"> </w:t>
      </w:r>
      <w:r>
        <w:t xml:space="preserve">cast/trim LOTs from Trim OUT (FDS-06-006), renames each to its machined Item at Machining IN (FDS-05-033), and processes it. At Machining OUT a line either</w:t>
      </w:r>
      <w:r>
        <w:t xml:space="preserve"> </w:t>
      </w:r>
      <w:r>
        <w:rPr>
          <w:b/>
          <w:bCs/>
        </w:rPr>
        <w:t xml:space="preserve">splits</w:t>
      </w:r>
      <w:r>
        <w:t xml:space="preserve"> </w:t>
      </w:r>
      <w:r>
        <w:t xml:space="preserve">the machined LOT into sub-LOTs (FDS-05-009 — lines with a dedicated Machining OUT terminal) or, on non-sublotting lines, feeds the machined output</w:t>
      </w:r>
      <w:r>
        <w:t xml:space="preserve"> </w:t>
      </w:r>
      <w:r>
        <w:rPr>
          <w:b/>
          <w:bCs/>
        </w:rPr>
        <w:t xml:space="preserve">whole</w:t>
      </w:r>
      <w:r>
        <w:t xml:space="preserve"> </w:t>
      </w:r>
      <w:r>
        <w:t xml:space="preserve">to the coupled Assembly Cell automatically. On the auto-coupled path operators do not scan or move LOTs out of Machining (FDS-06-008).</w:t>
      </w:r>
    </w:p>
    <w:bookmarkStart w:id="166"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LOTs that have been moved to it</w:t>
      </w:r>
      <w:r>
        <w:t xml:space="preserve"> </w:t>
      </w:r>
      <w:r>
        <w:rPr>
          <w:b/>
          <w:bCs/>
        </w:rPr>
        <w:t xml:space="preserve">whole</w:t>
      </w:r>
      <w:r>
        <w:t xml:space="preserve"> </w:t>
      </w:r>
      <w:r>
        <w:t xml:space="preserve">(1:1)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LOT (or the system advances to it automatically when the prior LOT completes), the MES SHALL:</w:t>
      </w:r>
    </w:p>
    <w:p>
      <w:pPr>
        <w:pStyle w:val="Compact"/>
        <w:numPr>
          <w:ilvl w:val="0"/>
          <w:numId w:val="1036"/>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LOT and producing a new machined LOT under the destination Item (the machined-side</w:t>
      </w:r>
      <w:r>
        <w:t xml:space="preserve"> </w:t>
      </w:r>
      <w:r>
        <w:rPr>
          <w:rStyle w:val="VerbatimChar"/>
        </w:rPr>
        <w:t xml:space="preserve">Parts.Item</w:t>
      </w:r>
      <w:r>
        <w:t xml:space="preserve"> </w:t>
      </w:r>
      <w:r>
        <w:t xml:space="preserve">whose 1-line BOM matches the picked LOT’s</w:t>
      </w:r>
      <w:r>
        <w:t xml:space="preserve"> </w:t>
      </w:r>
      <w:r>
        <w:rPr>
          <w:rStyle w:val="VerbatimChar"/>
        </w:rPr>
        <w:t xml:space="preserve">ItemId</w:t>
      </w:r>
      <w:r>
        <w:t xml:space="preserve">). The operator scans a fresh LTT for the new machined LOT.</w:t>
      </w:r>
    </w:p>
    <w:p>
      <w:pPr>
        <w:pStyle w:val="Compact"/>
        <w:numPr>
          <w:ilvl w:val="0"/>
          <w:numId w:val="1036"/>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6"/>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LOT to the new machined LOT.</w:t>
      </w:r>
    </w:p>
    <w:p>
      <w:pPr>
        <w:pStyle w:val="Compact"/>
        <w:numPr>
          <w:ilvl w:val="0"/>
          <w:numId w:val="1036"/>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LOT was already placed in this Cell’s queue at Trim OUT, and the rename + machined-LOT creation are the receive event.</w:t>
      </w:r>
    </w:p>
    <w:bookmarkEnd w:id="166"/>
    <w:bookmarkStart w:id="167" w:name="X5ab207207d77ae2baedde0c7287481ec26c960d"/>
    <w:p>
      <w:pPr>
        <w:pStyle w:val="Heading4"/>
      </w:pPr>
      <w:r>
        <w:t xml:space="preserve">FDS-06-008 — Machining OUT (Sub-LOT Split on Sublotting Lines, else Auto-Move to Coupled Assembly Cell)</w:t>
      </w:r>
    </w:p>
    <w:p>
      <w:pPr>
        <w:pStyle w:val="FirstParagraph"/>
      </w:pPr>
      <w:r>
        <w:t xml:space="preserve">A line’s Machining OUT behavior depends on whether it sublots — the physical signature is a dedicated</w:t>
      </w:r>
      <w:r>
        <w:t xml:space="preserve"> </w:t>
      </w:r>
      <w:r>
        <w:rPr>
          <w:b/>
          <w:bCs/>
        </w:rPr>
        <w:t xml:space="preserve">Machining OUT terminal</w:t>
      </w:r>
      <w:r>
        <w:t xml:space="preserve">:</w:t>
      </w:r>
    </w:p>
    <w:p>
      <w:pPr>
        <w:pStyle w:val="Compact"/>
        <w:numPr>
          <w:ilvl w:val="0"/>
          <w:numId w:val="1037"/>
        </w:numPr>
      </w:pPr>
      <w:r>
        <w:rPr>
          <w:b/>
          <w:bCs/>
        </w:rPr>
        <w:t xml:space="preserve">Sublotting lines (Machining OUT terminal present):</w:t>
      </w:r>
      <w:r>
        <w:t xml:space="preserve"> </w:t>
      </w:r>
      <w:r>
        <w:t xml:space="preserve">Machining OUT is</w:t>
      </w:r>
      <w:r>
        <w:t xml:space="preserve"> </w:t>
      </w:r>
      <w:r>
        <w:rPr>
          <w:b/>
          <w:bCs/>
        </w:rPr>
        <w:t xml:space="preserve">operator-initiated</w:t>
      </w:r>
      <w:r>
        <w:t xml:space="preserve">. The operator triggers it and the sub-LOT split workflow (FDS-05-009) runs — the machined LOT is split into N machined sub-LOTs, each routed to its destination. This is the only point in the Machining → Assembly flow where sub-LOTs are created.</w:t>
      </w:r>
    </w:p>
    <w:p>
      <w:pPr>
        <w:pStyle w:val="Compact"/>
        <w:numPr>
          <w:ilvl w:val="0"/>
          <w:numId w:val="1037"/>
        </w:numPr>
      </w:pPr>
      <w:r>
        <w:rPr>
          <w:b/>
          <w:bCs/>
        </w:rPr>
        <w:t xml:space="preserve">Non-sublotting lines (auto-coupled):</w:t>
      </w:r>
      <w:r>
        <w:t xml:space="preserve"> </w:t>
      </w:r>
      <w:r>
        <w:t xml:space="preserve">Machining OUT is</w:t>
      </w:r>
      <w:r>
        <w:t xml:space="preserve"> </w:t>
      </w:r>
      <w:r>
        <w:rPr>
          <w:b/>
          <w:bCs/>
        </w:rPr>
        <w:t xml:space="preserve">event-driven, not operator-initiated</w:t>
      </w:r>
      <w:r>
        <w:t xml:space="preserve">. When the machine signals completion (via PLC integration per §10), the whole machined LOT auto-moves to the coupled Assembly Cell.</w:t>
      </w:r>
    </w:p>
    <w:p>
      <w:pPr>
        <w:pStyle w:val="FirstParagraph"/>
      </w:pPr>
      <w:r>
        <w:t xml:space="preserve">On the</w:t>
      </w:r>
      <w:r>
        <w:t xml:space="preserve"> </w:t>
      </w:r>
      <w:r>
        <w:rPr>
          <w:b/>
          <w:bCs/>
        </w:rPr>
        <w:t xml:space="preserve">auto-coupled</w:t>
      </w:r>
      <w:r>
        <w:t xml:space="preserve"> </w:t>
      </w:r>
      <w:r>
        <w:t xml:space="preserve">path, when the machine signals completion of the Machining operation on a LOT, the MES SHALL:</w:t>
      </w:r>
    </w:p>
    <w:p>
      <w:pPr>
        <w:pStyle w:val="Compact"/>
        <w:numPr>
          <w:ilvl w:val="0"/>
          <w:numId w:val="1038"/>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8"/>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8"/>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t xml:space="preserve">(On the</w:t>
      </w:r>
      <w:r>
        <w:t xml:space="preserve"> </w:t>
      </w:r>
      <w:r>
        <w:rPr>
          <w:b/>
          <w:bCs/>
        </w:rPr>
        <w:t xml:space="preserve">sublotting</w:t>
      </w:r>
      <w:r>
        <w:t xml:space="preserve"> </w:t>
      </w:r>
      <w:r>
        <w:t xml:space="preserve">path, the</w:t>
      </w:r>
      <w:r>
        <w:t xml:space="preserve"> </w:t>
      </w:r>
      <w:r>
        <w:rPr>
          <w:rStyle w:val="VerbatimChar"/>
        </w:rPr>
        <w:t xml:space="preserve">ProductionEvent</w:t>
      </w:r>
      <w:r>
        <w:t xml:space="preserve">, the</w:t>
      </w:r>
      <w:r>
        <w:t xml:space="preserve"> </w:t>
      </w:r>
      <w:r>
        <w:rPr>
          <w:rStyle w:val="VerbatimChar"/>
        </w:rPr>
        <w:t xml:space="preserve">LotGenealogy</w:t>
      </w:r>
      <w:r>
        <w:t xml:space="preserve"> </w:t>
      </w:r>
      <w:r>
        <w:rPr>
          <w:rStyle w:val="VerbatimChar"/>
        </w:rPr>
        <w:t xml:space="preserve">Split</w:t>
      </w:r>
      <w:r>
        <w:t xml:space="preserve"> </w:t>
      </w:r>
      <w:r>
        <w:t xml:space="preserve">edges, the per-sub-LOT</w:t>
      </w:r>
      <w:r>
        <w:t xml:space="preserve"> </w:t>
      </w:r>
      <w:r>
        <w:rPr>
          <w:rStyle w:val="VerbatimChar"/>
        </w:rPr>
        <w:t xml:space="preserve">LotMovement</w:t>
      </w:r>
      <w:r>
        <w:t xml:space="preserve">s, and the</w:t>
      </w:r>
      <w:r>
        <w:t xml:space="preserve"> </w:t>
      </w:r>
      <w:r>
        <w:rPr>
          <w:rStyle w:val="VerbatimChar"/>
        </w:rPr>
        <w:t xml:space="preserve">CurrentLocationId</w:t>
      </w:r>
      <w:r>
        <w:t xml:space="preserve"> </w:t>
      </w:r>
      <w:r>
        <w:t xml:space="preserve">updates are written by the FDS-05-009 workflow.)</w:t>
      </w:r>
    </w:p>
    <w:p>
      <w:pPr>
        <w:pStyle w:val="BodyText"/>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 and the entry point for the sublotting split). A sublotting line is therefore an uncoupled line (</w:t>
      </w:r>
      <w:r>
        <w:rPr>
          <w:rStyle w:val="VerbatimChar"/>
        </w:rPr>
        <w:t xml:space="preserve">CoupledDownstreamCellLocationId</w:t>
      </w:r>
      <w:r>
        <w:t xml:space="preserve"> </w:t>
      </w:r>
      <w:r>
        <w:t xml:space="preserve">NULL) whose Machining OUT terminal drives the FDS-05-009 split.</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7"/>
    <w:bookmarkStart w:id="168"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8"/>
    <w:bookmarkEnd w:id="169"/>
    <w:bookmarkStart w:id="173" w:name="assembly-workflow-serialized-lines"/>
    <w:p>
      <w:pPr>
        <w:pStyle w:val="Heading3"/>
      </w:pPr>
      <w:r>
        <w:t xml:space="preserve">6.5 Assembly Workflow — Serialized Lines</w:t>
      </w:r>
    </w:p>
    <w:bookmarkStart w:id="170"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9"/>
        </w:numPr>
      </w:pPr>
      <w:r>
        <w:t xml:space="preserve">The PLC signals</w:t>
      </w:r>
      <w:r>
        <w:t xml:space="preserve"> </w:t>
      </w:r>
      <w:r>
        <w:rPr>
          <w:rStyle w:val="VerbatimChar"/>
        </w:rPr>
        <w:t xml:space="preserve">DataReady=1</w:t>
      </w:r>
    </w:p>
    <w:p>
      <w:pPr>
        <w:pStyle w:val="Compact"/>
        <w:numPr>
          <w:ilvl w:val="0"/>
          <w:numId w:val="1039"/>
        </w:numPr>
      </w:pPr>
      <w:r>
        <w:t xml:space="preserve">The MES reads the serial number from</w:t>
      </w:r>
      <w:r>
        <w:t xml:space="preserve"> </w:t>
      </w:r>
      <w:r>
        <w:rPr>
          <w:rStyle w:val="VerbatimChar"/>
        </w:rPr>
        <w:t xml:space="preserve">PartSN</w:t>
      </w:r>
    </w:p>
    <w:p>
      <w:pPr>
        <w:pStyle w:val="Compact"/>
        <w:numPr>
          <w:ilvl w:val="0"/>
          <w:numId w:val="1039"/>
        </w:numPr>
      </w:pPr>
      <w:r>
        <w:t xml:space="preserve">The MES validates: serial number is not a duplicate, format is correct, source LOT is not on HOLD</w:t>
      </w:r>
    </w:p>
    <w:p>
      <w:pPr>
        <w:pStyle w:val="Compact"/>
        <w:numPr>
          <w:ilvl w:val="0"/>
          <w:numId w:val="1039"/>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9"/>
        </w:numPr>
      </w:pPr>
      <w:r>
        <w:t xml:space="preserve">On success, the MES SHALL:</w:t>
      </w:r>
    </w:p>
    <w:p>
      <w:pPr>
        <w:pStyle w:val="Compact"/>
        <w:numPr>
          <w:ilvl w:val="1"/>
          <w:numId w:val="1040"/>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40"/>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40"/>
        </w:numPr>
      </w:pPr>
      <w:r>
        <w:t xml:space="preserve">Decrement the source LOT(s) piece count(s) per the BOM</w:t>
      </w:r>
    </w:p>
    <w:p>
      <w:pPr>
        <w:pStyle w:val="Compact"/>
        <w:numPr>
          <w:ilvl w:val="1"/>
          <w:numId w:val="1040"/>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40"/>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70"/>
    <w:bookmarkStart w:id="171"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41"/>
        </w:numPr>
      </w:pPr>
      <w:r>
        <w:t xml:space="preserve">The system SHALL accept the scanned LOT despite the BOM mismatch.</w:t>
      </w:r>
    </w:p>
    <w:p>
      <w:pPr>
        <w:pStyle w:val="Compact"/>
        <w:numPr>
          <w:ilvl w:val="0"/>
          <w:numId w:val="1041"/>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41"/>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71"/>
    <w:bookmarkStart w:id="172"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42"/>
        </w:numPr>
      </w:pPr>
      <w:r>
        <w:t xml:space="preserve">Still record the production event</w:t>
      </w:r>
    </w:p>
    <w:p>
      <w:pPr>
        <w:pStyle w:val="Compact"/>
        <w:numPr>
          <w:ilvl w:val="0"/>
          <w:numId w:val="1042"/>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42"/>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42"/>
        </w:numPr>
      </w:pPr>
      <w:r>
        <w:t xml:space="preserve">NOT block production — this is a valid operating mode, not an error condition</w:t>
      </w:r>
    </w:p>
    <w:bookmarkEnd w:id="172"/>
    <w:bookmarkEnd w:id="173"/>
    <w:bookmarkStart w:id="176" w:name="assembly-workflow-non-serialized-lines"/>
    <w:p>
      <w:pPr>
        <w:pStyle w:val="Heading3"/>
      </w:pPr>
      <w:r>
        <w:t xml:space="preserve">6.6 Assembly Workflow — Non-Serialized Lines</w:t>
      </w:r>
    </w:p>
    <w:bookmarkStart w:id="174"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43"/>
        </w:numPr>
      </w:pPr>
      <w:r>
        <w:t xml:space="preserve">Identify source LOT(s) by scanning LTT barcodes (consumption sources for the BOM).</w:t>
      </w:r>
    </w:p>
    <w:p>
      <w:pPr>
        <w:pStyle w:val="Compact"/>
        <w:numPr>
          <w:ilvl w:val="0"/>
          <w:numId w:val="1043"/>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43"/>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43"/>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74"/>
    <w:bookmarkStart w:id="175"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4"/>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4"/>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4"/>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75"/>
    <w:bookmarkEnd w:id="176"/>
    <w:bookmarkStart w:id="179" w:name="production-events"/>
    <w:p>
      <w:pPr>
        <w:pStyle w:val="Heading3"/>
      </w:pPr>
      <w:r>
        <w:t xml:space="preserve">6.7 Production Events</w:t>
      </w:r>
    </w:p>
    <w:bookmarkStart w:id="177"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7"/>
    <w:bookmarkStart w:id="178"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8"/>
    <w:bookmarkEnd w:id="179"/>
    <w:bookmarkStart w:id="184" w:name="reject-events-and-scrap-handling"/>
    <w:p>
      <w:pPr>
        <w:pStyle w:val="Heading3"/>
      </w:pPr>
      <w:r>
        <w:t xml:space="preserve">6.8 Reject Events and Scrap Handling</w:t>
      </w:r>
    </w:p>
    <w:bookmarkStart w:id="180"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80"/>
    <w:bookmarkStart w:id="181"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81"/>
    <w:bookmarkStart w:id="182"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5"/>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5"/>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6"/>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6"/>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82"/>
    <w:bookmarkStart w:id="183"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7"/>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7"/>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83"/>
    <w:bookmarkEnd w:id="184"/>
    <w:bookmarkStart w:id="187" w:name="consumption-events"/>
    <w:p>
      <w:pPr>
        <w:pStyle w:val="Heading3"/>
      </w:pPr>
      <w:r>
        <w:t xml:space="preserve">6.9 Consumption Events</w:t>
      </w:r>
    </w:p>
    <w:bookmarkStart w:id="185"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85"/>
    <w:bookmarkStart w:id="186"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6"/>
    <w:bookmarkEnd w:id="187"/>
    <w:bookmarkStart w:id="196"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8"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8"/>
    <w:bookmarkStart w:id="189"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8"/>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8"/>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8"/>
        </w:numPr>
      </w:pPr>
      <w:r>
        <w:rPr>
          <w:rStyle w:val="VerbatimChar"/>
        </w:rPr>
        <w:t xml:space="preserve">RouteTemplateId</w:t>
      </w:r>
      <w:r>
        <w:t xml:space="preserve"> </w:t>
      </w:r>
      <w:r>
        <w:t xml:space="preserve">— FK to the route template version active at creation</w:t>
      </w:r>
    </w:p>
    <w:p>
      <w:pPr>
        <w:pStyle w:val="Compact"/>
        <w:numPr>
          <w:ilvl w:val="0"/>
          <w:numId w:val="1048"/>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8"/>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9"/>
    <w:bookmarkStart w:id="190"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90"/>
    <w:bookmarkStart w:id="191"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91"/>
    <w:bookmarkStart w:id="192"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9"/>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9"/>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92"/>
    <w:bookmarkStart w:id="193"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50"/>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50"/>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terminals running a dedicated-flavor view (FDS-02-010) — shared-flavor views always require operator interaction at close moments by design.</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93"/>
    <w:bookmarkStart w:id="194"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94"/>
    <w:bookmarkStart w:id="195"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5"/>
    <w:bookmarkEnd w:id="196"/>
    <w:bookmarkEnd w:id="197"/>
    <w:bookmarkStart w:id="229" w:name="container-management-shipping-mvp"/>
    <w:p>
      <w:pPr>
        <w:pStyle w:val="Heading2"/>
      </w:pPr>
      <w:r>
        <w:t xml:space="preserve">7. Container Management &amp; Shipping —</w:t>
      </w:r>
      <w:r>
        <w:t xml:space="preserve"> </w:t>
      </w:r>
      <w:r>
        <w:rPr>
          <w:rStyle w:val="VerbatimChar"/>
        </w:rPr>
        <w:t xml:space="preserve">MVP</w:t>
      </w:r>
    </w:p>
    <w:bookmarkStart w:id="198"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8"/>
    <w:bookmarkStart w:id="204" w:name="container-lifecycle"/>
    <w:p>
      <w:pPr>
        <w:pStyle w:val="Heading3"/>
      </w:pPr>
      <w:r>
        <w:t xml:space="preserve">7.2 Container Lifecycle</w:t>
      </w:r>
    </w:p>
    <w:bookmarkStart w:id="199"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9"/>
    <w:bookmarkStart w:id="200"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200"/>
    <w:bookmarkStart w:id="201"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51"/>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51"/>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51"/>
        </w:numPr>
      </w:pPr>
      <w:r>
        <w:t xml:space="preserve">Increment the current tray’s</w:t>
      </w:r>
      <w:r>
        <w:t xml:space="preserve"> </w:t>
      </w:r>
      <w:r>
        <w:rPr>
          <w:rStyle w:val="VerbatimChar"/>
        </w:rPr>
        <w:t xml:space="preserve">PieceCount</w:t>
      </w:r>
    </w:p>
    <w:p>
      <w:pPr>
        <w:pStyle w:val="Compact"/>
        <w:numPr>
          <w:ilvl w:val="0"/>
          <w:numId w:val="1051"/>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51"/>
        </w:numPr>
      </w:pPr>
      <w:r>
        <w:t xml:space="preserve">When all trays are full (per</w:t>
      </w:r>
      <w:r>
        <w:t xml:space="preserve"> </w:t>
      </w:r>
      <w:r>
        <w:rPr>
          <w:rStyle w:val="VerbatimChar"/>
        </w:rPr>
        <w:t xml:space="preserve">ContainerConfig.TraysPerContainer</w:t>
      </w:r>
      <w:r>
        <w:t xml:space="preserve">), close the container</w:t>
      </w:r>
    </w:p>
    <w:bookmarkEnd w:id="201"/>
    <w:bookmarkStart w:id="202"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52"/>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52"/>
        </w:numPr>
      </w:pPr>
      <w:r>
        <w:t xml:space="preserve">Close the container when the configured capacity is reached</w:t>
      </w:r>
    </w:p>
    <w:p>
      <w:pPr>
        <w:pStyle w:val="Compact"/>
        <w:numPr>
          <w:ilvl w:val="0"/>
          <w:numId w:val="1052"/>
        </w:numPr>
      </w:pPr>
      <w:r>
        <w:t xml:space="preserve">On lines with weight-based tracking, the system MAY use the scale reading to validate the piece count before closure</w:t>
      </w:r>
    </w:p>
    <w:bookmarkEnd w:id="202"/>
    <w:bookmarkStart w:id="203"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53"/>
        </w:numPr>
      </w:pPr>
      <w:r>
        <w:t xml:space="preserve">Set container status to COMPLETE.</w:t>
      </w:r>
    </w:p>
    <w:p>
      <w:pPr>
        <w:pStyle w:val="Compact"/>
        <w:numPr>
          <w:ilvl w:val="0"/>
          <w:numId w:val="1053"/>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53"/>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53"/>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53"/>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53"/>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203"/>
    <w:bookmarkEnd w:id="204"/>
    <w:bookmarkStart w:id="211" w:name="shipping-labels"/>
    <w:p>
      <w:pPr>
        <w:pStyle w:val="Heading3"/>
      </w:pPr>
      <w:r>
        <w:t xml:space="preserve">7.3 Shipping Labels</w:t>
      </w:r>
    </w:p>
    <w:bookmarkStart w:id="205"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5"/>
    <w:bookmarkStart w:id="206"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6"/>
    <w:bookmarkStart w:id="207"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4"/>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4"/>
        </w:numPr>
      </w:pPr>
      <w:r>
        <w:t xml:space="preserve">Notify AIM of the void via the appropriate interface call</w:t>
      </w:r>
    </w:p>
    <w:p>
      <w:pPr>
        <w:pStyle w:val="Compact"/>
        <w:numPr>
          <w:ilvl w:val="0"/>
          <w:numId w:val="1054"/>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7"/>
    <w:bookmarkStart w:id="208"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8"/>
    <w:bookmarkStart w:id="209"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5"/>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5"/>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5"/>
        </w:numPr>
      </w:pPr>
      <w:r>
        <w:t xml:space="preserve">Fire the ZPL to the resolved Zebra via Ignition’s print primitives or scripted Zebra socket.</w:t>
      </w:r>
    </w:p>
    <w:p>
      <w:pPr>
        <w:pStyle w:val="Compact"/>
        <w:numPr>
          <w:ilvl w:val="0"/>
          <w:numId w:val="1055"/>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5"/>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9"/>
    <w:bookmarkStart w:id="210"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6"/>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6"/>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7"/>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7"/>
        </w:numPr>
      </w:pPr>
      <w:r>
        <w:t xml:space="preserve">If they don’t match, return immediately.</w:t>
      </w:r>
    </w:p>
    <w:p>
      <w:pPr>
        <w:pStyle w:val="Compact"/>
        <w:numPr>
          <w:ilvl w:val="0"/>
          <w:numId w:val="1057"/>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8"/>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8"/>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8"/>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10"/>
    <w:bookmarkEnd w:id="211"/>
    <w:bookmarkStart w:id="218" w:name="aim-integration"/>
    <w:p>
      <w:pPr>
        <w:pStyle w:val="Heading3"/>
      </w:pPr>
      <w:r>
        <w:t xml:space="preserve">7.4 AIM Integration</w:t>
      </w:r>
    </w:p>
    <w:bookmarkStart w:id="212"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9"/>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9"/>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9"/>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60"/>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60"/>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60"/>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12"/>
    <w:bookmarkStart w:id="213"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13"/>
    <w:bookmarkStart w:id="214"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61"/>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61"/>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61"/>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14"/>
    <w:bookmarkStart w:id="215"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62"/>
        </w:numPr>
      </w:pPr>
      <w:r>
        <w:rPr>
          <w:rStyle w:val="VerbatimChar"/>
        </w:rPr>
        <w:t xml:space="preserve">TargetBufferDepth</w:t>
      </w:r>
      <w:r>
        <w:t xml:space="preserve"> </w:t>
      </w:r>
      <w:r>
        <w:t xml:space="preserve">(default 50) — the buffer size the topup script aims for.</w:t>
      </w:r>
    </w:p>
    <w:p>
      <w:pPr>
        <w:pStyle w:val="Compact"/>
        <w:numPr>
          <w:ilvl w:val="0"/>
          <w:numId w:val="1062"/>
        </w:numPr>
      </w:pPr>
      <w:r>
        <w:rPr>
          <w:rStyle w:val="VerbatimChar"/>
        </w:rPr>
        <w:t xml:space="preserve">TopupThreshold</w:t>
      </w:r>
      <w:r>
        <w:t xml:space="preserve"> </w:t>
      </w:r>
      <w:r>
        <w:t xml:space="preserve">(default 30) — the trigger for topup runs.</w:t>
      </w:r>
    </w:p>
    <w:p>
      <w:pPr>
        <w:pStyle w:val="Compact"/>
        <w:numPr>
          <w:ilvl w:val="0"/>
          <w:numId w:val="1062"/>
        </w:numPr>
      </w:pPr>
      <w:r>
        <w:rPr>
          <w:rStyle w:val="VerbatimChar"/>
        </w:rPr>
        <w:t xml:space="preserve">AlarmWarningDepth</w:t>
      </w:r>
      <w:r>
        <w:t xml:space="preserve"> </w:t>
      </w:r>
      <w:r>
        <w:t xml:space="preserve">(default 20).</w:t>
      </w:r>
    </w:p>
    <w:p>
      <w:pPr>
        <w:pStyle w:val="Compact"/>
        <w:numPr>
          <w:ilvl w:val="0"/>
          <w:numId w:val="1062"/>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15"/>
    <w:bookmarkStart w:id="216"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6"/>
    <w:bookmarkStart w:id="217"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7"/>
    <w:bookmarkEnd w:id="218"/>
    <w:bookmarkStart w:id="221" w:name="shipping-dock-workflow"/>
    <w:p>
      <w:pPr>
        <w:pStyle w:val="Heading3"/>
      </w:pPr>
      <w:r>
        <w:t xml:space="preserve">7.5 Shipping Dock Workflow</w:t>
      </w:r>
    </w:p>
    <w:bookmarkStart w:id="219"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9"/>
    <w:bookmarkStart w:id="220"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63"/>
        </w:numPr>
      </w:pPr>
      <w:r>
        <w:t xml:space="preserve">Set container status to SHIPPED</w:t>
      </w:r>
    </w:p>
    <w:p>
      <w:pPr>
        <w:pStyle w:val="Compact"/>
        <w:numPr>
          <w:ilvl w:val="0"/>
          <w:numId w:val="1063"/>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63"/>
        </w:numPr>
      </w:pPr>
      <w:r>
        <w:t xml:space="preserve">Log to</w:t>
      </w:r>
      <w:r>
        <w:t xml:space="preserve"> </w:t>
      </w:r>
      <w:r>
        <w:rPr>
          <w:rStyle w:val="VerbatimChar"/>
        </w:rPr>
        <w:t xml:space="preserve">Audit.OperationLog</w:t>
      </w:r>
    </w:p>
    <w:bookmarkEnd w:id="220"/>
    <w:bookmarkEnd w:id="221"/>
    <w:bookmarkStart w:id="224" w:name="container-holds"/>
    <w:p>
      <w:pPr>
        <w:pStyle w:val="Heading3"/>
      </w:pPr>
      <w:r>
        <w:t xml:space="preserve">7.6 Container Holds</w:t>
      </w:r>
    </w:p>
    <w:bookmarkStart w:id="222"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4"/>
        </w:numPr>
      </w:pPr>
      <w:r>
        <w:t xml:space="preserve">Set container status to HOLD</w:t>
      </w:r>
    </w:p>
    <w:p>
      <w:pPr>
        <w:pStyle w:val="Compact"/>
        <w:numPr>
          <w:ilvl w:val="0"/>
          <w:numId w:val="1064"/>
        </w:numPr>
      </w:pPr>
      <w:r>
        <w:t xml:space="preserve">Record the hold number (optional reference)</w:t>
      </w:r>
    </w:p>
    <w:p>
      <w:pPr>
        <w:pStyle w:val="Compact"/>
        <w:numPr>
          <w:ilvl w:val="0"/>
          <w:numId w:val="1064"/>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4"/>
        </w:numPr>
      </w:pPr>
      <w:r>
        <w:t xml:space="preserve">Held containers SHALL NOT be loadable at the Shipping Dock</w:t>
      </w:r>
    </w:p>
    <w:bookmarkEnd w:id="222"/>
    <w:bookmarkStart w:id="223"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5"/>
        </w:numPr>
      </w:pPr>
      <w:r>
        <w:t xml:space="preserve">Set container status back to COMPLETE</w:t>
      </w:r>
    </w:p>
    <w:p>
      <w:pPr>
        <w:pStyle w:val="Compact"/>
        <w:numPr>
          <w:ilvl w:val="0"/>
          <w:numId w:val="1065"/>
        </w:numPr>
      </w:pPr>
      <w:r>
        <w:t xml:space="preserve">Call AIM</w:t>
      </w:r>
      <w:r>
        <w:t xml:space="preserve"> </w:t>
      </w:r>
      <w:r>
        <w:rPr>
          <w:rStyle w:val="VerbatimChar"/>
        </w:rPr>
        <w:t xml:space="preserve">ReleaseFromHold</w:t>
      </w:r>
    </w:p>
    <w:p>
      <w:pPr>
        <w:pStyle w:val="Compact"/>
        <w:numPr>
          <w:ilvl w:val="0"/>
          <w:numId w:val="1065"/>
        </w:numPr>
      </w:pPr>
      <w:r>
        <w:t xml:space="preserve">The container is now eligible for shipping</w:t>
      </w:r>
    </w:p>
    <w:bookmarkEnd w:id="223"/>
    <w:bookmarkEnd w:id="224"/>
    <w:bookmarkStart w:id="228" w:name="sort-cage-mvp-expanded"/>
    <w:p>
      <w:pPr>
        <w:pStyle w:val="Heading3"/>
      </w:pPr>
      <w:r>
        <w:t xml:space="preserve">7.7 Sort Cage —</w:t>
      </w:r>
      <w:r>
        <w:t xml:space="preserve"> </w:t>
      </w:r>
      <w:r>
        <w:rPr>
          <w:rStyle w:val="VerbatimChar"/>
        </w:rPr>
        <w:t xml:space="preserve">MVP-EXPANDED</w:t>
      </w:r>
    </w:p>
    <w:bookmarkStart w:id="225"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6"/>
        </w:numPr>
      </w:pPr>
      <w:r>
        <w:t xml:space="preserve">The containers SHALL be moved to the Sort Cage location (</w:t>
      </w:r>
      <w:r>
        <w:rPr>
          <w:rStyle w:val="VerbatimChar"/>
        </w:rPr>
        <w:t xml:space="preserve">LotMovement</w:t>
      </w:r>
      <w:r>
        <w:t xml:space="preserve">)</w:t>
      </w:r>
    </w:p>
    <w:p>
      <w:pPr>
        <w:pStyle w:val="Compact"/>
        <w:numPr>
          <w:ilvl w:val="0"/>
          <w:numId w:val="1066"/>
        </w:numPr>
      </w:pPr>
      <w:r>
        <w:t xml:space="preserve">Operators unpack and inspect each part</w:t>
      </w:r>
    </w:p>
    <w:p>
      <w:pPr>
        <w:pStyle w:val="Compact"/>
        <w:numPr>
          <w:ilvl w:val="0"/>
          <w:numId w:val="1066"/>
        </w:numPr>
      </w:pPr>
      <w:r>
        <w:t xml:space="preserve">Good parts SHALL be re-packed into new containers</w:t>
      </w:r>
    </w:p>
    <w:p>
      <w:pPr>
        <w:pStyle w:val="Compact"/>
        <w:numPr>
          <w:ilvl w:val="0"/>
          <w:numId w:val="1066"/>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6"/>
        </w:numPr>
      </w:pPr>
      <w:r>
        <w:t xml:space="preserve">New LTT labels SHALL print for any new LOTs created during re-sort (print reason: SORT_CAGE)</w:t>
      </w:r>
    </w:p>
    <w:p>
      <w:pPr>
        <w:pStyle w:val="Compact"/>
        <w:numPr>
          <w:ilvl w:val="0"/>
          <w:numId w:val="1066"/>
        </w:numPr>
      </w:pPr>
      <w:r>
        <w:t xml:space="preserve">New shipping labels SHALL print for re-packed containers</w:t>
      </w:r>
    </w:p>
    <w:p>
      <w:pPr>
        <w:pStyle w:val="Compact"/>
        <w:numPr>
          <w:ilvl w:val="0"/>
          <w:numId w:val="1066"/>
        </w:numPr>
      </w:pPr>
      <w:r>
        <w:t xml:space="preserve">Old shipping labels SHALL be voided (FDS-07-008)</w:t>
      </w:r>
    </w:p>
    <w:p>
      <w:pPr>
        <w:pStyle w:val="Compact"/>
        <w:numPr>
          <w:ilvl w:val="0"/>
          <w:numId w:val="1066"/>
        </w:numPr>
      </w:pPr>
      <w:r>
        <w:t xml:space="preserve">AIM SHALL be updated for serial migrations via</w:t>
      </w:r>
      <w:r>
        <w:t xml:space="preserve"> </w:t>
      </w:r>
      <w:r>
        <w:rPr>
          <w:rStyle w:val="VerbatimChar"/>
        </w:rPr>
        <w:t xml:space="preserve">UpdateAim</w:t>
      </w:r>
      <w:r>
        <w:t xml:space="preserve"> </w:t>
      </w:r>
      <w:r>
        <w:t xml:space="preserve">(FDS-07-012)</w:t>
      </w:r>
    </w:p>
    <w:bookmarkEnd w:id="225"/>
    <w:bookmarkStart w:id="226"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6"/>
    <w:bookmarkStart w:id="227"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7"/>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7"/>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7"/>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7"/>
    <w:bookmarkEnd w:id="228"/>
    <w:bookmarkEnd w:id="229"/>
    <w:bookmarkStart w:id="255" w:name="quality-hold-management-mixed-scope"/>
    <w:p>
      <w:pPr>
        <w:pStyle w:val="Heading2"/>
      </w:pPr>
      <w:r>
        <w:t xml:space="preserve">8. Quality &amp; Hold Management — MIXED SCOPE</w:t>
      </w:r>
    </w:p>
    <w:bookmarkStart w:id="230"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30"/>
    <w:bookmarkStart w:id="239" w:name="hold-management-mvp-expanded"/>
    <w:p>
      <w:pPr>
        <w:pStyle w:val="Heading3"/>
      </w:pPr>
      <w:r>
        <w:t xml:space="preserve">8.2 Hold Management —</w:t>
      </w:r>
      <w:r>
        <w:t xml:space="preserve"> </w:t>
      </w:r>
      <w:r>
        <w:rPr>
          <w:rStyle w:val="VerbatimChar"/>
        </w:rPr>
        <w:t xml:space="preserve">MVP-EXPANDED</w:t>
      </w:r>
    </w:p>
    <w:bookmarkStart w:id="231"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31"/>
    <w:bookmarkStart w:id="232"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32"/>
    <w:bookmarkStart w:id="233"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33"/>
    <w:bookmarkStart w:id="234"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34"/>
    <w:bookmarkStart w:id="235"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the FDS-05-022 sublot pattern) to isolate suspect parts. The suspect child LOT can be scrapped while the remainder is released. Genealogy permanently records the split. This is the MVP mechanism for partial quality disposition.</w:t>
      </w:r>
    </w:p>
    <w:bookmarkEnd w:id="235"/>
    <w:bookmarkStart w:id="236"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6"/>
    <w:bookmarkStart w:id="237"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7"/>
    <w:bookmarkStart w:id="238"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8"/>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8"/>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8"/>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8"/>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8"/>
        </w:numPr>
      </w:pPr>
      <w:r>
        <w:rPr>
          <w:b/>
          <w:bCs/>
        </w:rPr>
        <w:t xml:space="preserve">Bulk Hold / Bulk Release</w:t>
      </w:r>
      <w:r>
        <w:t xml:space="preserve"> </w:t>
      </w:r>
      <w:r>
        <w:t xml:space="preserve">— follows FDS-08-006 search + multi-select semantics.</w:t>
      </w:r>
    </w:p>
    <w:p>
      <w:pPr>
        <w:pStyle w:val="Compact"/>
        <w:numPr>
          <w:ilvl w:val="0"/>
          <w:numId w:val="1068"/>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8"/>
    <w:bookmarkEnd w:id="239"/>
    <w:bookmarkStart w:id="246" w:name="inspections-mvp"/>
    <w:p>
      <w:pPr>
        <w:pStyle w:val="Heading3"/>
      </w:pPr>
      <w:r>
        <w:t xml:space="preserve">8.3 Inspections —</w:t>
      </w:r>
      <w:r>
        <w:t xml:space="preserve"> </w:t>
      </w:r>
      <w:r>
        <w:rPr>
          <w:rStyle w:val="VerbatimChar"/>
        </w:rPr>
        <w:t xml:space="preserve">MVP</w:t>
      </w:r>
    </w:p>
    <w:bookmarkStart w:id="240"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40"/>
    <w:bookmarkStart w:id="241"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41"/>
    <w:bookmarkStart w:id="242"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42"/>
    <w:bookmarkStart w:id="243"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9"/>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9"/>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9"/>
        </w:numPr>
      </w:pPr>
      <w:r>
        <w:t xml:space="preserve">Calculate the overall sample result (PASS if all required attributes pass, FAIL if any required attribute fails)</w:t>
      </w:r>
    </w:p>
    <w:p>
      <w:pPr>
        <w:pStyle w:val="Compact"/>
        <w:numPr>
          <w:ilvl w:val="0"/>
          <w:numId w:val="1069"/>
        </w:numPr>
      </w:pPr>
      <w:r>
        <w:t xml:space="preserve">Log to</w:t>
      </w:r>
      <w:r>
        <w:t xml:space="preserve"> </w:t>
      </w:r>
      <w:r>
        <w:rPr>
          <w:rStyle w:val="VerbatimChar"/>
        </w:rPr>
        <w:t xml:space="preserve">Audit.OperationLog</w:t>
      </w:r>
    </w:p>
    <w:bookmarkEnd w:id="243"/>
    <w:bookmarkStart w:id="244"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44"/>
    <w:bookmarkStart w:id="245"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5"/>
    <w:bookmarkEnd w:id="246"/>
    <w:bookmarkStart w:id="249" w:name="sampling-workflows-conditional"/>
    <w:p>
      <w:pPr>
        <w:pStyle w:val="Heading3"/>
      </w:pPr>
      <w:r>
        <w:t xml:space="preserve">8.4 Sampling Workflows —</w:t>
      </w:r>
      <w:r>
        <w:t xml:space="preserve"> </w:t>
      </w:r>
      <w:r>
        <w:rPr>
          <w:rStyle w:val="VerbatimChar"/>
        </w:rPr>
        <w:t xml:space="preserve">CONDITIONAL</w:t>
      </w:r>
    </w:p>
    <w:bookmarkStart w:id="247"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7"/>
    <w:bookmarkStart w:id="248"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8"/>
    <w:bookmarkEnd w:id="249"/>
    <w:bookmarkStart w:id="252" w:name="defect-codes-mvp"/>
    <w:p>
      <w:pPr>
        <w:pStyle w:val="Heading3"/>
      </w:pPr>
      <w:r>
        <w:t xml:space="preserve">8.5 Defect Codes —</w:t>
      </w:r>
      <w:r>
        <w:t xml:space="preserve"> </w:t>
      </w:r>
      <w:r>
        <w:rPr>
          <w:rStyle w:val="VerbatimChar"/>
        </w:rPr>
        <w:t xml:space="preserve">MVP</w:t>
      </w:r>
    </w:p>
    <w:bookmarkStart w:id="250"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50"/>
    <w:bookmarkStart w:id="251"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51"/>
    <w:bookmarkEnd w:id="252"/>
    <w:bookmarkStart w:id="254" w:name="non-conformance-management-future"/>
    <w:p>
      <w:pPr>
        <w:pStyle w:val="Heading3"/>
      </w:pPr>
      <w:r>
        <w:t xml:space="preserve">8.6 Non-Conformance Management —</w:t>
      </w:r>
      <w:r>
        <w:t xml:space="preserve"> </w:t>
      </w:r>
      <w:r>
        <w:rPr>
          <w:rStyle w:val="VerbatimChar"/>
        </w:rPr>
        <w:t xml:space="preserve">FUTURE</w:t>
      </w:r>
    </w:p>
    <w:bookmarkStart w:id="253"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53"/>
    <w:bookmarkEnd w:id="254"/>
    <w:bookmarkEnd w:id="255"/>
    <w:bookmarkStart w:id="276" w:name="downtime-tracking-mixed-scope"/>
    <w:p>
      <w:pPr>
        <w:pStyle w:val="Heading2"/>
      </w:pPr>
      <w:r>
        <w:t xml:space="preserve">9. Downtime Tracking — MIXED SCOPE</w:t>
      </w:r>
    </w:p>
    <w:bookmarkStart w:id="256"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6"/>
    <w:bookmarkStart w:id="262" w:name="downtime-events-mvp"/>
    <w:p>
      <w:pPr>
        <w:pStyle w:val="Heading3"/>
      </w:pPr>
      <w:r>
        <w:t xml:space="preserve">9.2 Downtime Events —</w:t>
      </w:r>
      <w:r>
        <w:t xml:space="preserve"> </w:t>
      </w:r>
      <w:r>
        <w:rPr>
          <w:rStyle w:val="VerbatimChar"/>
        </w:rPr>
        <w:t xml:space="preserve">MVP</w:t>
      </w:r>
    </w:p>
    <w:bookmarkStart w:id="257"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7"/>
    <w:bookmarkStart w:id="258"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8"/>
    <w:bookmarkStart w:id="259"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9"/>
    <w:bookmarkStart w:id="260"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60"/>
    <w:bookmarkStart w:id="261"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70"/>
        </w:numPr>
      </w:pPr>
      <w:r>
        <w:t xml:space="preserve">Area (matching the machine’s area in the location hierarchy)</w:t>
      </w:r>
    </w:p>
    <w:p>
      <w:pPr>
        <w:pStyle w:val="Compact"/>
        <w:numPr>
          <w:ilvl w:val="0"/>
          <w:numId w:val="1070"/>
        </w:numPr>
      </w:pPr>
      <w:r>
        <w:t xml:space="preserve">Reason type (Equipment, Mold, Quality, Setup, Miscellaneous, Unscheduled)</w:t>
      </w:r>
    </w:p>
    <w:p>
      <w:pPr>
        <w:pStyle w:val="FirstParagraph"/>
      </w:pPr>
      <w:r>
        <w:t xml:space="preserve">The operator selects the type first, then the specific code within that type.</w:t>
      </w:r>
    </w:p>
    <w:bookmarkEnd w:id="261"/>
    <w:bookmarkEnd w:id="262"/>
    <w:bookmarkStart w:id="265" w:name="downtime-reason-codes-mvp"/>
    <w:p>
      <w:pPr>
        <w:pStyle w:val="Heading3"/>
      </w:pPr>
      <w:r>
        <w:t xml:space="preserve">9.3 Downtime Reason Codes —</w:t>
      </w:r>
      <w:r>
        <w:t xml:space="preserve"> </w:t>
      </w:r>
      <w:r>
        <w:rPr>
          <w:rStyle w:val="VerbatimChar"/>
        </w:rPr>
        <w:t xml:space="preserve">MVP</w:t>
      </w:r>
    </w:p>
    <w:bookmarkStart w:id="263"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63"/>
    <w:bookmarkStart w:id="264"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64"/>
    <w:bookmarkEnd w:id="265"/>
    <w:bookmarkStart w:id="273"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6"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6"/>
    <w:bookmarkStart w:id="267"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71"/>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71"/>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71"/>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7"/>
    <w:bookmarkStart w:id="268"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8"/>
    <w:bookmarkStart w:id="269"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9"/>
    <w:bookmarkStart w:id="270"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view flavors.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view flavor only in identity capture, not in selection</w:t>
      </w:r>
      <w:r>
        <w:t xml:space="preserve"> </w:t>
      </w:r>
      <w:r>
        <w:t xml:space="preserve">(per FDS-02-010):</w:t>
      </w:r>
    </w:p>
    <w:p>
      <w:pPr>
        <w:pStyle w:val="Compact"/>
        <w:numPr>
          <w:ilvl w:val="0"/>
          <w:numId w:val="1072"/>
        </w:numPr>
      </w:pPr>
      <w:r>
        <w:rPr>
          <w:b/>
          <w:bCs/>
        </w:rPr>
        <w:t xml:space="preserve">Terminals running a dedicated-flavor view.</w:t>
      </w:r>
      <w:r>
        <w:t xml:space="preserve"> </w:t>
      </w:r>
      <w:r>
        <w:t xml:space="preserve">Operator taps any breaks taken, then taps Submit. The submission is recorded against the operator’s initials presence context (per FDS-04-002) and the current shift instance.</w:t>
      </w:r>
    </w:p>
    <w:p>
      <w:pPr>
        <w:pStyle w:val="Compact"/>
        <w:numPr>
          <w:ilvl w:val="0"/>
          <w:numId w:val="1072"/>
        </w:numPr>
      </w:pPr>
      <w:r>
        <w:rPr>
          <w:b/>
          <w:bCs/>
        </w:rPr>
        <w:t xml:space="preserve">Terminals running a shared-flavor view.</w:t>
      </w:r>
      <w:r>
        <w:t xml:space="preserve"> </w:t>
      </w:r>
      <w:r>
        <w:t xml:space="preserve">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70"/>
    <w:bookmarkStart w:id="271"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71"/>
    <w:bookmarkStart w:id="272"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73"/>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73"/>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73"/>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72"/>
    <w:bookmarkEnd w:id="273"/>
    <w:bookmarkStart w:id="275" w:name="oee-future"/>
    <w:p>
      <w:pPr>
        <w:pStyle w:val="Heading3"/>
      </w:pPr>
      <w:r>
        <w:t xml:space="preserve">9.5 OEE —</w:t>
      </w:r>
      <w:r>
        <w:t xml:space="preserve"> </w:t>
      </w:r>
      <w:r>
        <w:rPr>
          <w:rStyle w:val="VerbatimChar"/>
        </w:rPr>
        <w:t xml:space="preserve">FUTURE</w:t>
      </w:r>
    </w:p>
    <w:bookmarkStart w:id="274"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74"/>
    <w:bookmarkEnd w:id="275"/>
    <w:bookmarkEnd w:id="276"/>
    <w:bookmarkStart w:id="295" w:name="plcopc-integration-mvp"/>
    <w:p>
      <w:pPr>
        <w:pStyle w:val="Heading2"/>
      </w:pPr>
      <w:r>
        <w:t xml:space="preserve">10. PLC/OPC Integration —</w:t>
      </w:r>
      <w:r>
        <w:t xml:space="preserve"> </w:t>
      </w:r>
      <w:r>
        <w:rPr>
          <w:rStyle w:val="VerbatimChar"/>
        </w:rPr>
        <w:t xml:space="preserve">MVP</w:t>
      </w:r>
    </w:p>
    <w:bookmarkStart w:id="277"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7"/>
    <w:bookmarkStart w:id="281" w:name="mip-handshake-protocol-serialized-lines"/>
    <w:p>
      <w:pPr>
        <w:pStyle w:val="Heading3"/>
      </w:pPr>
      <w:r>
        <w:t xml:space="preserve">10.2 MIP Handshake Protocol — Serialized Lines</w:t>
      </w:r>
    </w:p>
    <w:bookmarkStart w:id="278"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8"/>
    <w:bookmarkStart w:id="279" w:name="fds-10-002-mip-transaction-flow"/>
    <w:p>
      <w:pPr>
        <w:pStyle w:val="Heading4"/>
      </w:pPr>
      <w:r>
        <w:t xml:space="preserve">FDS-10-002 — MIP Transaction Flow</w:t>
      </w:r>
    </w:p>
    <w:p>
      <w:pPr>
        <w:pStyle w:val="FirstParagraph"/>
      </w:pPr>
      <w:r>
        <w:t xml:space="preserve">For each part cycle:</w:t>
      </w:r>
    </w:p>
    <w:p>
      <w:pPr>
        <w:pStyle w:val="Compact"/>
        <w:numPr>
          <w:ilvl w:val="0"/>
          <w:numId w:val="1074"/>
        </w:numPr>
      </w:pPr>
      <w:r>
        <w:t xml:space="preserve">PLC sets</w:t>
      </w:r>
      <w:r>
        <w:t xml:space="preserve"> </w:t>
      </w:r>
      <w:r>
        <w:rPr>
          <w:rStyle w:val="VerbatimChar"/>
        </w:rPr>
        <w:t xml:space="preserve">DataReady=1</w:t>
      </w:r>
    </w:p>
    <w:p>
      <w:pPr>
        <w:pStyle w:val="Compact"/>
        <w:numPr>
          <w:ilvl w:val="0"/>
          <w:numId w:val="1074"/>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4"/>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4"/>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4"/>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4"/>
        </w:numPr>
      </w:pPr>
      <w:r>
        <w:t xml:space="preserve">MES records consumption event, serialized part, container serial (per FDS-06-010)</w:t>
      </w:r>
    </w:p>
    <w:p>
      <w:pPr>
        <w:pStyle w:val="Compact"/>
        <w:numPr>
          <w:ilvl w:val="0"/>
          <w:numId w:val="1074"/>
        </w:numPr>
      </w:pPr>
      <w:r>
        <w:t xml:space="preserve">MES updates</w:t>
      </w:r>
      <w:r>
        <w:t xml:space="preserve"> </w:t>
      </w:r>
      <w:r>
        <w:rPr>
          <w:rStyle w:val="VerbatimChar"/>
        </w:rPr>
        <w:t xml:space="preserve">ContainerCount</w:t>
      </w:r>
    </w:p>
    <w:p>
      <w:pPr>
        <w:pStyle w:val="Compact"/>
        <w:numPr>
          <w:ilvl w:val="0"/>
          <w:numId w:val="1074"/>
        </w:numPr>
      </w:pPr>
      <w:r>
        <w:t xml:space="preserve">MES clears</w:t>
      </w:r>
      <w:r>
        <w:t xml:space="preserve"> </w:t>
      </w:r>
      <w:r>
        <w:rPr>
          <w:rStyle w:val="VerbatimChar"/>
        </w:rPr>
        <w:t xml:space="preserve">TransInProc=0</w:t>
      </w:r>
    </w:p>
    <w:bookmarkEnd w:id="279"/>
    <w:bookmarkStart w:id="280"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80"/>
    <w:bookmarkEnd w:id="281"/>
    <w:bookmarkStart w:id="288"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82"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82"/>
    <w:bookmarkStart w:id="283"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5"/>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5"/>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5"/>
        </w:numPr>
      </w:pPr>
      <w:r>
        <w:t xml:space="preserve">Route to escalation per FDS-10-009 / FDS-10-010 based on failure count and failure type.</w:t>
      </w:r>
    </w:p>
    <w:p>
      <w:pPr>
        <w:pStyle w:val="Compact"/>
        <w:numPr>
          <w:ilvl w:val="0"/>
          <w:numId w:val="1075"/>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5"/>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83"/>
    <w:bookmarkStart w:id="284"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6"/>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6"/>
        </w:numPr>
      </w:pPr>
      <w:r>
        <w:t xml:space="preserve">Require supervisor AD elevation (FDS-04-007) before production can resume on that cell.</w:t>
      </w:r>
    </w:p>
    <w:p>
      <w:pPr>
        <w:pStyle w:val="Compact"/>
        <w:numPr>
          <w:ilvl w:val="0"/>
          <w:numId w:val="1076"/>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84"/>
    <w:bookmarkStart w:id="285"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85"/>
    <w:bookmarkStart w:id="286"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7"/>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7"/>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6"/>
    <w:bookmarkStart w:id="287"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8"/>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8"/>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8"/>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8"/>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8"/>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7"/>
    <w:bookmarkEnd w:id="288"/>
    <w:bookmarkStart w:id="290" w:name="scale-integration"/>
    <w:p>
      <w:pPr>
        <w:pStyle w:val="Heading3"/>
      </w:pPr>
      <w:r>
        <w:t xml:space="preserve">10.4 Scale Integration</w:t>
      </w:r>
    </w:p>
    <w:bookmarkStart w:id="289"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9"/>
    <w:bookmarkEnd w:id="290"/>
    <w:bookmarkStart w:id="294" w:name="barcode-integration"/>
    <w:p>
      <w:pPr>
        <w:pStyle w:val="Heading3"/>
      </w:pPr>
      <w:r>
        <w:t xml:space="preserve">10.5 Barcode Integration</w:t>
      </w:r>
    </w:p>
    <w:bookmarkStart w:id="291"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91"/>
    <w:bookmarkStart w:id="292"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92"/>
    <w:bookmarkStart w:id="293"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93"/>
    <w:bookmarkEnd w:id="294"/>
    <w:bookmarkEnd w:id="295"/>
    <w:bookmarkStart w:id="311" w:name="audit-logging-mvp"/>
    <w:p>
      <w:pPr>
        <w:pStyle w:val="Heading2"/>
      </w:pPr>
      <w:r>
        <w:t xml:space="preserve">11. Audit &amp; Logging —</w:t>
      </w:r>
      <w:r>
        <w:t xml:space="preserve"> </w:t>
      </w:r>
      <w:r>
        <w:rPr>
          <w:rStyle w:val="VerbatimChar"/>
        </w:rPr>
        <w:t xml:space="preserve">MVP</w:t>
      </w:r>
    </w:p>
    <w:bookmarkStart w:id="296"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6"/>
    <w:bookmarkStart w:id="302" w:name="log-types"/>
    <w:p>
      <w:pPr>
        <w:pStyle w:val="Heading3"/>
      </w:pPr>
      <w:r>
        <w:t xml:space="preserve">11.2 Log Types</w:t>
      </w:r>
    </w:p>
    <w:bookmarkStart w:id="297"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7"/>
    <w:bookmarkStart w:id="298"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8"/>
    <w:bookmarkStart w:id="299"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9"/>
    <w:bookmarkStart w:id="300"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300"/>
    <w:bookmarkStart w:id="301"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301"/>
    <w:bookmarkEnd w:id="302"/>
    <w:bookmarkStart w:id="307" w:name="normalized-vocabularies"/>
    <w:p>
      <w:pPr>
        <w:pStyle w:val="Heading3"/>
      </w:pPr>
      <w:r>
        <w:t xml:space="preserve">11.3 Normalized Vocabularies</w:t>
      </w:r>
    </w:p>
    <w:bookmarkStart w:id="303"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303"/>
    <w:bookmarkStart w:id="304"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304"/>
    <w:bookmarkStart w:id="305"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5"/>
    <w:bookmarkStart w:id="306"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9"/>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9"/>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9"/>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9"/>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6"/>
    <w:bookmarkEnd w:id="307"/>
    <w:bookmarkStart w:id="310" w:name="data-retention"/>
    <w:p>
      <w:pPr>
        <w:pStyle w:val="Heading3"/>
      </w:pPr>
      <w:r>
        <w:t xml:space="preserve">11.4 Data Retention</w:t>
      </w:r>
    </w:p>
    <w:bookmarkStart w:id="308" w:name="fds-11-009-retention-policy"/>
    <w:p>
      <w:pPr>
        <w:pStyle w:val="Heading4"/>
      </w:pPr>
      <w:r>
        <w:t xml:space="preserve">FDS-11-009 — Retention Policy</w:t>
      </w:r>
    </w:p>
    <w:p>
      <w:pPr>
        <w:pStyle w:val="FirstParagraph"/>
      </w:pPr>
      <w:r>
        <w:t xml:space="preserve">Honda full-genealogy data SHALL be retained</w:t>
      </w:r>
      <w:r>
        <w:t xml:space="preserve"> </w:t>
      </w:r>
      <w:r>
        <w:rPr>
          <w:b/>
          <w:bCs/>
        </w:rPr>
        <w:t xml:space="preserve">20 years</w:t>
      </w:r>
      <w:r>
        <w:t xml:space="preserve">; general operational/audit data</w:t>
      </w:r>
      <w:r>
        <w:t xml:space="preserve"> </w:t>
      </w:r>
      <w:r>
        <w:rPr>
          <w:b/>
          <w:bCs/>
        </w:rPr>
        <w:t xml:space="preserve">7 years</w:t>
      </w:r>
      <w:r>
        <w:t xml:space="preserve"> </w:t>
      </w:r>
      <w:r>
        <w:t xml:space="preserve">— enforced via the monthly sliding-window partition process (OI-35 B2; see Data Model §</w:t>
      </w:r>
      <w:r>
        <w:t xml:space="preserve"> </w:t>
      </w:r>
      <w:r>
        <w:t xml:space="preserve">“Scaling Decisions”</w:t>
      </w:r>
      <w:r>
        <w:t xml:space="preserve">). The per-table classes are:</w:t>
      </w:r>
    </w:p>
    <w:p>
      <w:pPr>
        <w:pStyle w:val="Compact"/>
        <w:numPr>
          <w:ilvl w:val="0"/>
          <w:numId w:val="1080"/>
        </w:numPr>
      </w:pPr>
      <w:r>
        <w:rPr>
          <w:b/>
          <w:bCs/>
        </w:rPr>
        <w:t xml:space="preserve">20-year (Honda traceability):</w:t>
      </w:r>
      <w:r>
        <w:t xml:space="preserve"> </w:t>
      </w:r>
      <w:r>
        <w:rPr>
          <w:rStyle w:val="VerbatimChar"/>
        </w:rPr>
        <w:t xml:space="preserve">Lots.Lot</w:t>
      </w:r>
      <w:r>
        <w:t xml:space="preserve">,</w:t>
      </w:r>
      <w:r>
        <w:t xml:space="preserve"> </w:t>
      </w:r>
      <w:r>
        <w:rPr>
          <w:rStyle w:val="VerbatimChar"/>
        </w:rPr>
        <w:t xml:space="preserve">LotGenealogy</w:t>
      </w:r>
      <w:r>
        <w:t xml:space="preserve">,</w:t>
      </w:r>
      <w:r>
        <w:t xml:space="preserve"> </w:t>
      </w:r>
      <w:r>
        <w:rPr>
          <w:rStyle w:val="VerbatimChar"/>
        </w:rPr>
        <w:t xml:space="preserve">LotEventLog</w:t>
      </w:r>
      <w:r>
        <w:t xml:space="preserve">,</w:t>
      </w:r>
      <w:r>
        <w:t xml:space="preserve"> </w:t>
      </w:r>
      <w:r>
        <w:rPr>
          <w:rStyle w:val="VerbatimChar"/>
        </w:rPr>
        <w:t xml:space="preserve">LotStatusHistory</w:t>
      </w:r>
      <w:r>
        <w:t xml:space="preserve">,</w:t>
      </w:r>
      <w:r>
        <w:t xml:space="preserve"> </w:t>
      </w:r>
      <w:r>
        <w:rPr>
          <w:rStyle w:val="VerbatimChar"/>
        </w:rPr>
        <w:t xml:space="preserve">LotMovement</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ContainerSerialHistory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Quality.QualitySample</w:t>
      </w:r>
      <w:r>
        <w:t xml:space="preserve">,</w:t>
      </w:r>
      <w:r>
        <w:t xml:space="preserve"> </w:t>
      </w:r>
      <w:r>
        <w:rPr>
          <w:rStyle w:val="VerbatimChar"/>
        </w:rPr>
        <w:t xml:space="preserve">Quality.QualityResult</w:t>
      </w:r>
      <w:r>
        <w:t xml:space="preserve">.</w:t>
      </w:r>
    </w:p>
    <w:p>
      <w:pPr>
        <w:pStyle w:val="Compact"/>
        <w:numPr>
          <w:ilvl w:val="0"/>
          <w:numId w:val="1080"/>
        </w:numPr>
      </w:pPr>
      <w:r>
        <w:rPr>
          <w:b/>
          <w:bCs/>
        </w:rPr>
        <w:t xml:space="preserve">7-year (general operational/audit):</w:t>
      </w:r>
      <w:r>
        <w:t xml:space="preserve"> </w:t>
      </w:r>
      <w:r>
        <w:rPr>
          <w:rStyle w:val="VerbatimChar"/>
        </w:rPr>
        <w:t xml:space="preserve">Audit.OperationLog</w:t>
      </w:r>
      <w:r>
        <w:t xml:space="preserve"> </w:t>
      </w:r>
      <w:r>
        <w:t xml:space="preserve">(general, post-B7 split),</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Audit.ConfigLog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Quality.QualityAttachment</w:t>
      </w:r>
      <w:r>
        <w:t xml:space="preserve">.</w:t>
      </w:r>
    </w:p>
    <w:p>
      <w:pPr>
        <w:pStyle w:val="FirstParagraph"/>
      </w:pPr>
      <w:r>
        <w:t xml:space="preserve">Aged partitions are purged in place via</w:t>
      </w:r>
      <w:r>
        <w:t xml:space="preserve"> </w:t>
      </w:r>
      <w:r>
        <w:rPr>
          <w:rStyle w:val="VerbatimChar"/>
        </w:rPr>
        <w:t xml:space="preserve">TRUNCATE … WITH (PARTITIONS(…))</w:t>
      </w:r>
      <w:r>
        <w:t xml:space="preserve"> </w:t>
      </w:r>
      <w:r>
        <w:t xml:space="preserve">(destructive age-out; no archive-to-coldstore in MVP). Within the retention window all data SHALL remain online and queryable for genealogy and audit purposes. Final per-table windows are subject to MPP IT confirmation (OI-35 B1).</w:t>
      </w:r>
    </w:p>
    <w:bookmarkEnd w:id="308"/>
    <w:bookmarkStart w:id="309"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9"/>
    <w:bookmarkEnd w:id="310"/>
    <w:bookmarkEnd w:id="311"/>
    <w:bookmarkStart w:id="333" w:name="reporting-mvp"/>
    <w:p>
      <w:pPr>
        <w:pStyle w:val="Heading2"/>
      </w:pPr>
      <w:r>
        <w:t xml:space="preserve">12. Reporting —</w:t>
      </w:r>
      <w:r>
        <w:t xml:space="preserve"> </w:t>
      </w:r>
      <w:r>
        <w:rPr>
          <w:rStyle w:val="VerbatimChar"/>
        </w:rPr>
        <w:t xml:space="preserve">MVP</w:t>
      </w:r>
    </w:p>
    <w:bookmarkStart w:id="312"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12"/>
    <w:bookmarkStart w:id="317" w:name="traceability-reports"/>
    <w:p>
      <w:pPr>
        <w:pStyle w:val="Heading3"/>
      </w:pPr>
      <w:r>
        <w:t xml:space="preserve">12.2 Traceability Reports</w:t>
      </w:r>
    </w:p>
    <w:bookmarkStart w:id="313"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13"/>
    <w:bookmarkStart w:id="314"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14"/>
    <w:bookmarkStart w:id="315"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5"/>
    <w:bookmarkStart w:id="316"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6"/>
    <w:bookmarkEnd w:id="317"/>
    <w:bookmarkStart w:id="322" w:name="X20e5703298e30073c8ffa1040c87c727e57d853"/>
    <w:p>
      <w:pPr>
        <w:pStyle w:val="Heading3"/>
      </w:pPr>
      <w:r>
        <w:t xml:space="preserve">12.3 Production Reports (Replacing Productivity DB)</w:t>
      </w:r>
    </w:p>
    <w:bookmarkStart w:id="318"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8"/>
    <w:bookmarkStart w:id="319"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9"/>
    <w:bookmarkStart w:id="320"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20"/>
    <w:bookmarkStart w:id="321"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21"/>
    <w:bookmarkEnd w:id="322"/>
    <w:bookmarkStart w:id="326" w:name="operational-reports"/>
    <w:p>
      <w:pPr>
        <w:pStyle w:val="Heading3"/>
      </w:pPr>
      <w:r>
        <w:t xml:space="preserve">12.4 Operational Reports</w:t>
      </w:r>
    </w:p>
    <w:bookmarkStart w:id="323"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23"/>
    <w:bookmarkStart w:id="324"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24"/>
    <w:bookmarkStart w:id="325"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5"/>
    <w:bookmarkEnd w:id="326"/>
    <w:bookmarkStart w:id="330" w:name="global-trace-tool-mvp"/>
    <w:p>
      <w:pPr>
        <w:pStyle w:val="Heading3"/>
      </w:pPr>
      <w:r>
        <w:t xml:space="preserve">12.5 Global Trace Tool —</w:t>
      </w:r>
      <w:r>
        <w:t xml:space="preserve"> </w:t>
      </w:r>
      <w:r>
        <w:rPr>
          <w:rStyle w:val="VerbatimChar"/>
        </w:rPr>
        <w:t xml:space="preserve">MVP</w:t>
      </w:r>
    </w:p>
    <w:bookmarkStart w:id="327"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7"/>
    <w:bookmarkStart w:id="328"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81"/>
        </w:numPr>
      </w:pPr>
      <w:r>
        <w:t xml:space="preserve">LOT</w:t>
      </w:r>
      <w:r>
        <w:t xml:space="preserve"> </w:t>
      </w:r>
      <w:r>
        <w:rPr>
          <w:rStyle w:val="VerbatimChar"/>
        </w:rPr>
        <w:t xml:space="preserve">LotName</w:t>
      </w:r>
      <w:r>
        <w:t xml:space="preserve"> </w:t>
      </w:r>
      <w:r>
        <w:t xml:space="preserve">(LTT barcode)</w:t>
      </w:r>
    </w:p>
    <w:p>
      <w:pPr>
        <w:pStyle w:val="Compact"/>
        <w:numPr>
          <w:ilvl w:val="0"/>
          <w:numId w:val="1081"/>
        </w:numPr>
      </w:pPr>
      <w:r>
        <w:t xml:space="preserve">Sub-LOT</w:t>
      </w:r>
      <w:r>
        <w:t xml:space="preserve"> </w:t>
      </w:r>
      <w:r>
        <w:rPr>
          <w:rStyle w:val="VerbatimChar"/>
        </w:rPr>
        <w:t xml:space="preserve">LotName</w:t>
      </w:r>
    </w:p>
    <w:p>
      <w:pPr>
        <w:pStyle w:val="Compact"/>
        <w:numPr>
          <w:ilvl w:val="0"/>
          <w:numId w:val="1081"/>
        </w:numPr>
      </w:pPr>
      <w:r>
        <w:t xml:space="preserve">Serialized part serial number (</w:t>
      </w:r>
      <w:r>
        <w:rPr>
          <w:rStyle w:val="VerbatimChar"/>
        </w:rPr>
        <w:t xml:space="preserve">SerializedPart.SerialNumber</w:t>
      </w:r>
      <w:r>
        <w:t xml:space="preserve">)</w:t>
      </w:r>
    </w:p>
    <w:p>
      <w:pPr>
        <w:pStyle w:val="Compact"/>
        <w:numPr>
          <w:ilvl w:val="0"/>
          <w:numId w:val="1081"/>
        </w:numPr>
      </w:pPr>
      <w:r>
        <w:t xml:space="preserve">Container</w:t>
      </w:r>
      <w:r>
        <w:t xml:space="preserve"> </w:t>
      </w:r>
      <w:r>
        <w:rPr>
          <w:rStyle w:val="VerbatimChar"/>
        </w:rPr>
        <w:t xml:space="preserve">ContainerName</w:t>
      </w:r>
    </w:p>
    <w:p>
      <w:pPr>
        <w:pStyle w:val="Compact"/>
        <w:numPr>
          <w:ilvl w:val="0"/>
          <w:numId w:val="1081"/>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8"/>
    <w:bookmarkStart w:id="329"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82"/>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82"/>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82"/>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82"/>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82"/>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82"/>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29"/>
    <w:bookmarkEnd w:id="330"/>
    <w:bookmarkStart w:id="332" w:name="notifications-posture-mvp"/>
    <w:p>
      <w:pPr>
        <w:pStyle w:val="Heading3"/>
      </w:pPr>
      <w:r>
        <w:t xml:space="preserve">12.6 Notifications Posture —</w:t>
      </w:r>
      <w:r>
        <w:t xml:space="preserve"> </w:t>
      </w:r>
      <w:r>
        <w:rPr>
          <w:rStyle w:val="VerbatimChar"/>
        </w:rPr>
        <w:t xml:space="preserve">MVP</w:t>
      </w:r>
    </w:p>
    <w:bookmarkStart w:id="331"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31"/>
    <w:bookmarkEnd w:id="332"/>
    <w:bookmarkEnd w:id="333"/>
    <w:bookmarkStart w:id="344" w:name="external-system-interfaces-mixed-scope"/>
    <w:p>
      <w:pPr>
        <w:pStyle w:val="Heading2"/>
      </w:pPr>
      <w:r>
        <w:t xml:space="preserve">13. External System Interfaces — MIXED SCOPE</w:t>
      </w:r>
    </w:p>
    <w:bookmarkStart w:id="337" w:name="aim-honda-edi-mvp"/>
    <w:p>
      <w:pPr>
        <w:pStyle w:val="Heading3"/>
      </w:pPr>
      <w:r>
        <w:t xml:space="preserve">13.1 AIM (Honda EDI) —</w:t>
      </w:r>
      <w:r>
        <w:t xml:space="preserve"> </w:t>
      </w:r>
      <w:r>
        <w:rPr>
          <w:rStyle w:val="VerbatimChar"/>
        </w:rPr>
        <w:t xml:space="preserve">MVP</w:t>
      </w:r>
    </w:p>
    <w:bookmarkStart w:id="334"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34"/>
    <w:bookmarkStart w:id="335"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83"/>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83"/>
        </w:numPr>
      </w:pPr>
      <w:r>
        <w:t xml:space="preserve">Queue the call for retry (per FDS-01-006 dispatch pattern)</w:t>
      </w:r>
    </w:p>
    <w:p>
      <w:pPr>
        <w:pStyle w:val="Compact"/>
        <w:numPr>
          <w:ilvl w:val="0"/>
          <w:numId w:val="1083"/>
        </w:numPr>
      </w:pPr>
      <w:r>
        <w:t xml:space="preserve">Alert the shipping operator that the AIM call is pending</w:t>
      </w:r>
    </w:p>
    <w:p>
      <w:pPr>
        <w:pStyle w:val="Compact"/>
        <w:numPr>
          <w:ilvl w:val="0"/>
          <w:numId w:val="1083"/>
        </w:numPr>
      </w:pPr>
      <w:r>
        <w:t xml:space="preserve">The container SHALL remain in its current status until the AIM call succeeds</w:t>
      </w:r>
    </w:p>
    <w:bookmarkEnd w:id="335"/>
    <w:bookmarkStart w:id="336"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36"/>
    <w:bookmarkEnd w:id="337"/>
    <w:bookmarkStart w:id="339" w:name="macola-erp-future"/>
    <w:p>
      <w:pPr>
        <w:pStyle w:val="Heading3"/>
      </w:pPr>
      <w:r>
        <w:t xml:space="preserve">13.2 Macola ERP —</w:t>
      </w:r>
      <w:r>
        <w:t xml:space="preserve"> </w:t>
      </w:r>
      <w:r>
        <w:rPr>
          <w:rStyle w:val="VerbatimChar"/>
        </w:rPr>
        <w:t xml:space="preserve">FUTURE</w:t>
      </w:r>
    </w:p>
    <w:bookmarkStart w:id="338"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8"/>
    <w:bookmarkEnd w:id="339"/>
    <w:bookmarkStart w:id="341" w:name="intelex-quality-management-future"/>
    <w:p>
      <w:pPr>
        <w:pStyle w:val="Heading3"/>
      </w:pPr>
      <w:r>
        <w:t xml:space="preserve">13.3 Intelex (Quality Management) —</w:t>
      </w:r>
      <w:r>
        <w:t xml:space="preserve"> </w:t>
      </w:r>
      <w:r>
        <w:rPr>
          <w:rStyle w:val="VerbatimChar"/>
        </w:rPr>
        <w:t xml:space="preserve">FUTURE</w:t>
      </w:r>
    </w:p>
    <w:bookmarkStart w:id="340"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40"/>
    <w:bookmarkEnd w:id="341"/>
    <w:bookmarkStart w:id="343" w:name="scada-process-dashboards-future"/>
    <w:p>
      <w:pPr>
        <w:pStyle w:val="Heading3"/>
      </w:pPr>
      <w:r>
        <w:t xml:space="preserve">13.4 SCADA / Process Dashboards —</w:t>
      </w:r>
      <w:r>
        <w:t xml:space="preserve"> </w:t>
      </w:r>
      <w:r>
        <w:rPr>
          <w:rStyle w:val="VerbatimChar"/>
        </w:rPr>
        <w:t xml:space="preserve">FUTURE</w:t>
      </w:r>
    </w:p>
    <w:bookmarkStart w:id="342"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42"/>
    <w:bookmarkEnd w:id="343"/>
    <w:bookmarkEnd w:id="344"/>
    <w:bookmarkStart w:id="351" w:name="data-migration-conditional"/>
    <w:p>
      <w:pPr>
        <w:pStyle w:val="Heading2"/>
      </w:pPr>
      <w:r>
        <w:t xml:space="preserve">14. Data Migration —</w:t>
      </w:r>
      <w:r>
        <w:t xml:space="preserve"> </w:t>
      </w:r>
      <w:r>
        <w:rPr>
          <w:rStyle w:val="VerbatimChar"/>
        </w:rPr>
        <w:t xml:space="preserve">CONDITIONAL</w:t>
      </w:r>
    </w:p>
    <w:bookmarkStart w:id="350"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45"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45"/>
    <w:bookmarkStart w:id="346"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46"/>
    <w:bookmarkStart w:id="347"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47"/>
    <w:bookmarkStart w:id="348"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8"/>
    <w:bookmarkStart w:id="349"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8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8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8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8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9"/>
    <w:bookmarkEnd w:id="350"/>
    <w:bookmarkEnd w:id="351"/>
    <w:bookmarkStart w:id="362" w:name="deployment-commissioning-mvp"/>
    <w:p>
      <w:pPr>
        <w:pStyle w:val="Heading2"/>
      </w:pPr>
      <w:r>
        <w:t xml:space="preserve">15. Deployment &amp; Commissioning —</w:t>
      </w:r>
      <w:r>
        <w:t xml:space="preserve"> </w:t>
      </w:r>
      <w:r>
        <w:rPr>
          <w:rStyle w:val="VerbatimChar"/>
        </w:rPr>
        <w:t xml:space="preserve">MVP</w:t>
      </w:r>
    </w:p>
    <w:bookmarkStart w:id="358" w:name="deployment-approach"/>
    <w:p>
      <w:pPr>
        <w:pStyle w:val="Heading3"/>
      </w:pPr>
      <w:r>
        <w:t xml:space="preserve">15.1 Deployment Approach</w:t>
      </w:r>
    </w:p>
    <w:bookmarkStart w:id="352"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52"/>
    <w:bookmarkStart w:id="353"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53"/>
    <w:bookmarkStart w:id="354"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54"/>
    <w:bookmarkStart w:id="355"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55"/>
    <w:bookmarkStart w:id="356"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56"/>
    <w:bookmarkStart w:id="357"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57"/>
    <w:bookmarkEnd w:id="358"/>
    <w:bookmarkStart w:id="361" w:name="change-management"/>
    <w:p>
      <w:pPr>
        <w:pStyle w:val="Heading3"/>
      </w:pPr>
      <w:r>
        <w:t xml:space="preserve">15.2 Change Management</w:t>
      </w:r>
    </w:p>
    <w:bookmarkStart w:id="359"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9"/>
    <w:bookmarkStart w:id="360"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60"/>
    <w:bookmarkEnd w:id="361"/>
    <w:bookmarkEnd w:id="362"/>
    <w:bookmarkStart w:id="366"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63"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63"/>
    <w:bookmarkStart w:id="364"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64"/>
    <w:bookmarkStart w:id="365"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65"/>
    <w:bookmarkEnd w:id="366"/>
    <w:bookmarkStart w:id="375" w:name="appendices"/>
    <w:p>
      <w:pPr>
        <w:pStyle w:val="Heading2"/>
      </w:pPr>
      <w:r>
        <w:t xml:space="preserve">Appendices</w:t>
      </w:r>
    </w:p>
    <w:bookmarkStart w:id="367"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67"/>
    <w:bookmarkStart w:id="368"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8"/>
    <w:bookmarkStart w:id="369"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9"/>
    <w:bookmarkStart w:id="370"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70"/>
    <w:bookmarkStart w:id="371"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71"/>
    <w:bookmarkStart w:id="372"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72"/>
    <w:bookmarkStart w:id="373"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73"/>
    <w:bookmarkStart w:id="374"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74"/>
    <w:bookmarkEnd w:id="375"/>
    <w:bookmarkStart w:id="376"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76"/>
    <w:bookmarkEnd w:id="3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2026-06-11T14:13:36Z</dcterms:created>
  <dcterms:modified xsi:type="dcterms:W3CDTF">2026-06-11T14:13:36Z</dcterms:modified>
</cp:coreProperties>
</file>

<file path=docProps/custom.xml><?xml version="1.0" encoding="utf-8"?>
<Properties xmlns="http://schemas.openxmlformats.org/officeDocument/2006/custom-properties" xmlns:vt="http://schemas.openxmlformats.org/officeDocument/2006/docPropsVTypes"/>
</file>