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2"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1.0 — Customer Review Release</w:t>
      </w:r>
      <w:r>
        <w:t xml:space="preserve"> </w:t>
      </w:r>
      <w:r>
        <w:rPr>
          <w:b/>
          <w:bCs/>
        </w:rPr>
        <w:t xml:space="preserve">Date:</w:t>
      </w:r>
      <w:r>
        <w:t xml:space="preserve"> </w:t>
      </w:r>
      <w:r>
        <w:t xml:space="preserve">2026-05-04</w:t>
      </w:r>
    </w:p>
    <w:p>
      <w:r>
        <w:pict>
          <v:rect style="width:0;height:1.5pt" o:hralign="center" o:hrstd="t" o:hr="t"/>
        </w:pict>
      </w:r>
    </w:p>
    <w:bookmarkStart w:id="9" w:name="feedback-welcomed"/>
    <w:p>
      <w:pPr>
        <w:pStyle w:val="Heading2"/>
      </w:pPr>
      <w:r>
        <w:t xml:space="preserve">Feedback Welcomed</w:t>
      </w:r>
    </w:p>
    <w:p>
      <w:pPr>
        <w:pStyle w:val="FirstParagraph"/>
      </w:pPr>
      <w:r>
        <w:t xml:space="preserve">This is the</w:t>
      </w:r>
      <w:r>
        <w:t xml:space="preserve"> </w:t>
      </w:r>
      <w:r>
        <w:rPr>
          <w:b/>
          <w:bCs/>
        </w:rPr>
        <w:t xml:space="preserve">first release of this FDS for customer review.</w:t>
      </w:r>
      <w:r>
        <w:t xml:space="preserve"> </w:t>
      </w:r>
      <w:r>
        <w:t xml:space="preserve">Critical feedback at this stage produces a better end product.</w:t>
      </w:r>
    </w:p>
    <w:p>
      <w:pPr>
        <w:pStyle w:val="BodyText"/>
      </w:pPr>
      <w:r>
        <w:t xml:space="preserve">Please challenge any design decision, requirement, scope tag, integration point, terminology choice, workflow assumption, or operational rule that does not match Madison Precision Products’ operations or Honda’s traceability expectations — and please challenge it as concretely as possible. We would rather discover a gap or wrong assumption now, in markup on a document, than six months from now in front of an operator at a workstation. The cost of rework grows steeply once SQL is built, Perspective screens are wired up, and PLC integrations are commissioned; the cost of correction during this review window is measured in document edits.</w:t>
      </w:r>
    </w:p>
    <w:p>
      <w:pPr>
        <w:pStyle w:val="BodyText"/>
      </w:pPr>
      <w:r>
        <w:t xml:space="preserve">Areas where critical feedback is especially valuable:</w:t>
      </w:r>
    </w:p>
    <w:p>
      <w:pPr>
        <w:pStyle w:val="Compact"/>
        <w:numPr>
          <w:ilvl w:val="0"/>
          <w:numId w:val="1001"/>
        </w:numPr>
      </w:pPr>
      <w:r>
        <w:rPr>
          <w:b/>
          <w:bCs/>
        </w:rPr>
        <w:t xml:space="preserve">Plant-floor workflows</w:t>
      </w:r>
      <w:r>
        <w:t xml:space="preserve"> </w:t>
      </w:r>
      <w:r>
        <w:t xml:space="preserve">(§5 LOT Lifecycle, §6 Production Execution, §7 Container &amp; Shipping, §8 Quality &amp; Hold, §9 Downtime) — does each scene match how operators actually work? Are the scan / dropdown / button choices right? Are the gating prompts placed where they help vs where they slow the line down?</w:t>
      </w:r>
    </w:p>
    <w:p>
      <w:pPr>
        <w:pStyle w:val="Compact"/>
        <w:numPr>
          <w:ilvl w:val="0"/>
          <w:numId w:val="1001"/>
        </w:numPr>
      </w:pPr>
      <w:r>
        <w:rPr>
          <w:b/>
          <w:bCs/>
        </w:rPr>
        <w:t xml:space="preserve">Data captured at each event</w:t>
      </w:r>
      <w:r>
        <w:t xml:space="preserve"> </w:t>
      </w:r>
      <w:r>
        <w:t xml:space="preserve">— is anything we record extraneous? Is anything we omit going to be missed later?</w:t>
      </w:r>
    </w:p>
    <w:p>
      <w:pPr>
        <w:pStyle w:val="Compact"/>
        <w:numPr>
          <w:ilvl w:val="0"/>
          <w:numId w:val="1001"/>
        </w:numPr>
      </w:pPr>
      <w:r>
        <w:rPr>
          <w:b/>
          <w:bCs/>
        </w:rPr>
        <w:t xml:space="preserve">Honda traceability</w:t>
      </w:r>
      <w:r>
        <w:t xml:space="preserve"> </w:t>
      </w:r>
      <w:r>
        <w:t xml:space="preserve">(§5, §7, §12 Reporting) — does the genealogy capture what Honda asks for in audits? Does the Global Trace Tool surface the right entities?</w:t>
      </w:r>
    </w:p>
    <w:p>
      <w:pPr>
        <w:pStyle w:val="Compact"/>
        <w:numPr>
          <w:ilvl w:val="0"/>
          <w:numId w:val="1001"/>
        </w:numPr>
      </w:pPr>
      <w:r>
        <w:rPr>
          <w:b/>
          <w:bCs/>
        </w:rPr>
        <w:t xml:space="preserve">Integration touch points</w:t>
      </w:r>
      <w:r>
        <w:t xml:space="preserve"> </w:t>
      </w:r>
      <w:r>
        <w:t xml:space="preserve">(§10 PLC/OPC, §13 External Interfaces — AIM, Macola) — are the handshake contracts, retry policies, and error-recovery flows correct?</w:t>
      </w:r>
    </w:p>
    <w:p>
      <w:pPr>
        <w:pStyle w:val="Compact"/>
        <w:numPr>
          <w:ilvl w:val="0"/>
          <w:numId w:val="1001"/>
        </w:numPr>
      </w:pPr>
      <w:r>
        <w:rPr>
          <w:b/>
          <w:bCs/>
        </w:rPr>
        <w:t xml:space="preserve">Scope boundary</w:t>
      </w:r>
      <w:r>
        <w:t xml:space="preserve"> </w:t>
      </w:r>
      <w:r>
        <w:t xml:space="preserve">— is anything we have tagged FUTURE actually MVP? Is anything we have tagged MVP actually out of scope for this engagement?</w:t>
      </w:r>
    </w:p>
    <w:p>
      <w:pPr>
        <w:pStyle w:val="Compact"/>
        <w:numPr>
          <w:ilvl w:val="0"/>
          <w:numId w:val="1001"/>
        </w:numPr>
      </w:pPr>
      <w:r>
        <w:rPr>
          <w:b/>
          <w:bCs/>
        </w:rPr>
        <w:t xml:space="preserve">Outstanding items</w:t>
      </w:r>
      <w:r>
        <w:t xml:space="preserve"> </w:t>
      </w:r>
      <w:r>
        <w:t xml:space="preserve">— six items remain Open at the end of this document. Each requires explicit input before that section closes.</w:t>
      </w:r>
    </w:p>
    <w:p>
      <w:pPr>
        <w:pStyle w:val="FirstParagraph"/>
      </w:pPr>
      <w:r>
        <w:t xml:space="preserve">Comments may be returned as annotations on the Word document, an annotated PDF, or a separate written response — whichever is easiest for the reviewer. There is no wrong way to flag a concern.</w:t>
      </w:r>
    </w:p>
    <w:p>
      <w:r>
        <w:pict>
          <v:rect style="width:0;height:1.5pt" o:hralign="center" o:hrstd="t" o:hr="t"/>
        </w:pict>
      </w:r>
    </w:p>
    <w:bookmarkEnd w:id="9"/>
    <w:bookmarkStart w:id="10"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1.0</w:t>
            </w:r>
          </w:p>
        </w:tc>
        <w:tc>
          <w:tcPr/>
          <w:p>
            <w:pPr>
              <w:pStyle w:val="Compact"/>
            </w:pPr>
            <w:r>
              <w:t xml:space="preserve">2026-05-04</w:t>
            </w:r>
          </w:p>
        </w:tc>
        <w:tc>
          <w:tcPr/>
          <w:p>
            <w:pPr>
              <w:pStyle w:val="Compact"/>
            </w:pPr>
            <w:r>
              <w:t xml:space="preserve">Blue Ridge Automation</w:t>
            </w:r>
          </w:p>
        </w:tc>
        <w:tc>
          <w:tcPr/>
          <w:p>
            <w:pPr>
              <w:pStyle w:val="Compact"/>
            </w:pPr>
            <w:r>
              <w:rPr>
                <w:b/>
                <w:bCs/>
              </w:rPr>
              <w:t xml:space="preserve">First release for customer review.</w:t>
            </w:r>
            <w:r>
              <w:t xml:space="preserve"> </w:t>
            </w:r>
            <w:r>
              <w:t xml:space="preserve">Consolidates all pre-release working-session edits (v0.1 through v0.11p) into a single customer-facing release. Covers all 16 sections — System Architecture, Plant Model &amp; Location Hierarchy, Master Data, User Identity / Authentication / Elevation, LOT Lifecycle &amp; Genealogy, Production Execution, Container Management &amp; Shipping, Quality &amp; Hold, Downtime Tracking, PLC/OPC Integration, Audit &amp; Logging, Reporting, External System Interfaces, Data Migration, Deployment &amp; Commissioning, Identifier Sequences — plus appendices (machine list, downtime codes, defect codes, OPC tag map, MIP touchpoints, FRS crosswalk, scope matrix crosswalk, paper-sheet mapping). The embedded Open Items Register at the end of this document carries the</w:t>
            </w:r>
            <w:r>
              <w:t xml:space="preserve"> </w:t>
            </w:r>
            <w:r>
              <w:rPr>
                <w:b/>
                <w:bCs/>
              </w:rPr>
              <w:t xml:space="preserve">6 items still requiring resolution</w:t>
            </w:r>
            <w:r>
              <w:t xml:space="preserve"> </w:t>
            </w:r>
            <w:r>
              <w:t xml:space="preserve">(OI-32, OI-33, OI-34, OI-35, UJ-05, UJ-19) — these gate either Arc 2 SQL build or specific design sections and need MPP customer validation or Blue Ridge architecture review before commencement.</w:t>
            </w:r>
          </w:p>
        </w:tc>
      </w:tr>
    </w:tbl>
    <w:p>
      <w:pPr>
        <w:pStyle w:val="BlockText"/>
      </w:pPr>
      <w:r>
        <w:t xml:space="preserve">Granular pre-release history (v0.1 through v0.11p — every working-session edit captured) is preserved in</w:t>
      </w:r>
      <w:r>
        <w:t xml:space="preserve"> </w:t>
      </w:r>
      <w:r>
        <w:rPr>
          <w:rStyle w:val="VerbatimChar"/>
        </w:rPr>
        <w:t xml:space="preserve">MPP_MES_FDS_CHANGELOG.docx</w:t>
      </w:r>
      <w:r>
        <w:t xml:space="preserve"> </w:t>
      </w:r>
      <w:r>
        <w:t xml:space="preserve">as the design-evolution record. From v1.0 forward, revisions are tracked in this in-document table.</w:t>
      </w:r>
    </w:p>
    <w:p>
      <w:r>
        <w:pict>
          <v:rect style="width:0;height:1.5pt" o:hralign="center" o:hrstd="t" o:hr="t"/>
        </w:pict>
      </w:r>
    </w:p>
    <w:bookmarkEnd w:id="10"/>
    <w:bookmarkStart w:id="11"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1"/>
    <w:bookmarkStart w:id="12"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MPP_MES_SUMMARY.docx</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MPP_MES_DATA_MODEL.docx</w:t>
            </w:r>
          </w:p>
        </w:tc>
        <w:tc>
          <w:tcPr/>
          <w:p>
            <w:pPr>
              <w:pStyle w:val="Compact"/>
            </w:pPr>
            <w:r>
              <w:t xml:space="preserve">Column-level data model specification v1.9 (8 schemas, ~73 tables — Location, Parts, Lots, Workorder, Quality, OEE, Tools, Audit)</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MPP_MES_USER_JOURNEYS.docx</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2"/>
    <w:bookmarkStart w:id="13"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3"/>
    <w:bookmarkStart w:id="18" w:name="glossary"/>
    <w:p>
      <w:pPr>
        <w:pStyle w:val="Heading2"/>
      </w:pPr>
      <w:r>
        <w:t xml:space="preserve">Glossary</w:t>
      </w:r>
    </w:p>
    <w:bookmarkStart w:id="14"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4"/>
    <w:bookmarkStart w:id="15"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5"/>
    <w:bookmarkStart w:id="16"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6"/>
    <w:bookmarkStart w:id="17"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8 schemas: location, parts, lots, workorder, quality, oee, tools,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7"/>
    <w:bookmarkEnd w:id="18"/>
    <w:bookmarkStart w:id="40" w:name="system-architecture-overview-mvp"/>
    <w:p>
      <w:pPr>
        <w:pStyle w:val="Heading2"/>
      </w:pPr>
      <w:r>
        <w:t xml:space="preserve">1. System Architecture Overview —</w:t>
      </w:r>
      <w:r>
        <w:t xml:space="preserve"> </w:t>
      </w:r>
      <w:r>
        <w:rPr>
          <w:rStyle w:val="VerbatimChar"/>
        </w:rPr>
        <w:t xml:space="preserve">MVP</w:t>
      </w:r>
    </w:p>
    <w:bookmarkStart w:id="19"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9"/>
    <w:bookmarkStart w:id="24"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(8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20"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20"/>
    <w:bookmarkStart w:id="21"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8-schema structure (Location, Parts, Lots, Workorder, Quality, OEE, Tools, Audit) defined in</w:t>
      </w:r>
      <w:r>
        <w:t xml:space="preserve"> </w:t>
      </w:r>
      <w:r>
        <w:rPr>
          <w:rStyle w:val="VerbatimChar"/>
        </w:rPr>
        <w:t xml:space="preserve">MPP_MES_DATA_MODEL.docx</w:t>
      </w:r>
      <w:r>
        <w:t xml:space="preserve">.</w:t>
      </w:r>
    </w:p>
    <w:bookmarkEnd w:id="21"/>
    <w:bookmarkStart w:id="22"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2"/>
    <w:bookmarkStart w:id="23"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3"/>
    <w:bookmarkEnd w:id="24"/>
    <w:bookmarkStart w:id="25"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MPP_MES_SUMMARY.docx</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5"/>
    <w:bookmarkStart w:id="30" w:name="data-flow-architecture"/>
    <w:p>
      <w:pPr>
        <w:pStyle w:val="Heading3"/>
      </w:pPr>
      <w:r>
        <w:t xml:space="preserve">1.4 Data Flow Architecture</w:t>
      </w:r>
    </w:p>
    <w:p>
      <w:pPr>
        <w:pStyle w:val="FirstParagraph"/>
      </w:pPr>
      <w:r>
        <w:t xml:space="preserve">The MES organizes its data across</w:t>
      </w:r>
      <w:r>
        <w:t xml:space="preserve"> </w:t>
      </w:r>
      <w:r>
        <w:rPr>
          <w:b/>
          <w:bCs/>
        </w:rPr>
        <w:t xml:space="preserve">four logical layers</w:t>
      </w:r>
      <w:r>
        <w:t xml:space="preserve">. Each layer has a distinct lifecycle and access pattern — the table below maps each layer to its tables, mutability, and what it answers in operator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Layer</w:t>
            </w:r>
          </w:p>
        </w:tc>
        <w:tc>
          <w:tcPr>
            <w:shd w:val="clear" w:color="auto" w:fill="1F4E79"/>
          </w:tcPr>
          <w:tcPr/>
          <w:p>
            <w:pPr>
              <w:pStyle w:val="Compact"/>
            </w:pPr>
            <w:r>
              <w:rPr>
                <w:b/>
                <w:color w:val="FFFFFF"/>
              </w:rPr>
              <w:t xml:space="preserve">Mutability</w:t>
            </w:r>
          </w:p>
        </w:tc>
        <w:tc>
          <w:tcPr>
            <w:shd w:val="clear" w:color="auto" w:fill="1F4E79"/>
          </w:tcPr>
          <w:tcPr/>
          <w:p>
            <w:pPr>
              <w:pStyle w:val="Compact"/>
            </w:pPr>
            <w:r>
              <w:rPr>
                <w:b/>
                <w:color w:val="FFFFFF"/>
              </w:rPr>
              <w:t xml:space="preserve">Tables</w:t>
            </w:r>
          </w:p>
        </w:tc>
        <w:tc>
          <w:tcPr>
            <w:shd w:val="clear" w:color="auto" w:fill="1F4E79"/>
          </w:tcPr>
          <w:tcPr/>
          <w:p>
            <w:pPr>
              <w:pStyle w:val="Compact"/>
            </w:pPr>
            <w:r>
              <w:rPr>
                <w:b/>
                <w:color w:val="FFFFFF"/>
              </w:rPr>
              <w:t xml:space="preserve">What it answers</w:t>
            </w:r>
          </w:p>
        </w:tc>
      </w:tr>
      <w:tr>
        <w:tc>
          <w:tcPr/>
          <w:p>
            <w:pPr>
              <w:pStyle w:val="Compact"/>
            </w:pPr>
            <w:r>
              <w:rPr>
                <w:b/>
                <w:bCs/>
              </w:rPr>
              <w:t xml:space="preserve">Plan</w:t>
            </w:r>
          </w:p>
        </w:tc>
        <w:tc>
          <w:tcPr/>
          <w:p>
            <w:pPr>
              <w:pStyle w:val="Compact"/>
            </w:pPr>
            <w:r>
              <w:t xml:space="preserve">Mutable, versioned</w:t>
            </w:r>
          </w:p>
        </w:tc>
        <w:tc>
          <w:tcPr/>
          <w:p>
            <w:pPr>
              <w:pStyle w:val="Compact"/>
            </w:pPr>
            <w:r>
              <w:rPr>
                <w:rStyle w:val="VerbatimChar"/>
              </w:rPr>
              <w:t xml:space="preserve">Parts.Item</w:t>
            </w:r>
            <w:r>
              <w:t xml:space="preserve"> </w:t>
            </w:r>
            <w:r>
              <w:t xml:space="preserve">→</w:t>
            </w:r>
            <w:r>
              <w:t xml:space="preserve"> </w:t>
            </w:r>
            <w:r>
              <w:rPr>
                <w:rStyle w:val="VerbatimChar"/>
              </w:rPr>
              <w:t xml:space="preserve">Parts.RouteTemplate</w:t>
            </w:r>
            <w:r>
              <w:t xml:space="preserve"> </w:t>
            </w:r>
            <w:r>
              <w:t xml:space="preserve">→</w:t>
            </w:r>
            <w:r>
              <w:t xml:space="preserve"> </w:t>
            </w:r>
            <w:r>
              <w:rPr>
                <w:rStyle w:val="VerbatimChar"/>
              </w:rPr>
              <w:t xml:space="preserve">Parts.RouteStep</w:t>
            </w:r>
            <w:r>
              <w:t xml:space="preserve"> </w:t>
            </w:r>
            <w:r>
              <w:t xml:space="preserve">→</w:t>
            </w:r>
            <w:r>
              <w:t xml:space="preserve"> </w:t>
            </w:r>
            <w:r>
              <w:rPr>
                <w:rStyle w:val="VerbatimChar"/>
              </w:rPr>
              <w:t xml:space="preserve">Parts.OperationTemplate</w:t>
            </w:r>
          </w:p>
        </w:tc>
        <w:tc>
          <w:tcPr/>
          <w:p>
            <w:pPr>
              <w:pStyle w:val="Compact"/>
            </w:pPr>
            <w:r>
              <w:rPr>
                <w:i/>
                <w:iCs/>
              </w:rPr>
              <w:t xml:space="preserve">What should happen.</w:t>
            </w:r>
            <w:r>
              <w:t xml:space="preserve"> </w:t>
            </w:r>
            <w:r>
              <w:t xml:space="preserve">“This product follows this route, collecting this data at each stop.”</w:t>
            </w:r>
          </w:p>
        </w:tc>
      </w:tr>
      <w:tr>
        <w:tc>
          <w:tcPr>
            <w:shd w:val="clear" w:color="auto" w:fill="F2F2F2"/>
          </w:tcPr>
          <w:tcPr/>
          <w:p>
            <w:pPr>
              <w:pStyle w:val="Compact"/>
            </w:pPr>
            <w:r>
              <w:rPr>
                <w:b/>
                <w:bCs/>
              </w:rPr>
              <w:t xml:space="preserve">Execution</w:t>
            </w:r>
          </w:p>
        </w:tc>
        <w:tc>
          <w:tcPr>
            <w:shd w:val="clear" w:color="auto" w:fill="F2F2F2"/>
          </w:tcPr>
          <w:tcPr/>
          <w:p>
            <w:pPr>
              <w:pStyle w:val="Compact"/>
            </w:pPr>
            <w:r>
              <w:t xml:space="preserve">Mutable, current state</w:t>
            </w:r>
          </w:p>
        </w:tc>
        <w:tc>
          <w:tcPr>
            <w:shd w:val="clear" w:color="auto" w:fill="F2F2F2"/>
          </w:tcPr>
          <w:tcPr/>
          <w:p>
            <w:pPr>
              <w:pStyle w:val="Compact"/>
            </w:pPr>
            <w:r>
              <w:rPr>
                <w:rStyle w:val="VerbatimChar"/>
              </w:rPr>
              <w:t xml:space="preserve">Workorder.WorkOrder</w:t>
            </w:r>
            <w:r>
              <w:t xml:space="preserve"> </w:t>
            </w:r>
            <w:r>
              <w:t xml:space="preserve">→</w:t>
            </w:r>
            <w:r>
              <w:t xml:space="preserve"> </w:t>
            </w:r>
            <w:r>
              <w:rPr>
                <w:rStyle w:val="VerbatimChar"/>
              </w:rPr>
              <w:t xml:space="preserve">Workorder.WorkOrderOperation</w:t>
            </w:r>
          </w:p>
        </w:tc>
        <w:tc>
          <w:tcPr>
            <w:shd w:val="clear" w:color="auto" w:fill="F2F2F2"/>
          </w:tcPr>
          <w:tcPr/>
          <w:p>
            <w:pPr>
              <w:pStyle w:val="Compact"/>
            </w:pPr>
            <w:r>
              <w:rPr>
                <w:i/>
                <w:iCs/>
              </w:rPr>
              <w:t xml:space="preserve">What is happening.</w:t>
            </w:r>
            <w:r>
              <w:t xml:space="preserve"> </w:t>
            </w:r>
            <w:r>
              <w:t xml:space="preserve">“This LOT is being processed at this location, at this step.”</w:t>
            </w:r>
          </w:p>
        </w:tc>
      </w:tr>
      <w:tr>
        <w:tc>
          <w:tcPr/>
          <w:p>
            <w:pPr>
              <w:pStyle w:val="Compact"/>
            </w:pPr>
            <w:r>
              <w:rPr>
                <w:b/>
                <w:bCs/>
              </w:rPr>
              <w:t xml:space="preserve">Evidence</w:t>
            </w:r>
          </w:p>
        </w:tc>
        <w:tc>
          <w:tcPr/>
          <w:p>
            <w:pPr>
              <w:pStyle w:val="Compact"/>
            </w:pPr>
            <w:r>
              <w:t xml:space="preserve">Immutable, append-only</w:t>
            </w:r>
          </w:p>
        </w:tc>
        <w:tc>
          <w:tcPr/>
          <w:p>
            <w:pPr>
              <w:pStyle w:val="Compact"/>
            </w:pPr>
            <w:r>
              <w:rPr>
                <w:rStyle w:val="VerbatimChar"/>
              </w:rPr>
              <w:t xml:space="preserve">Workorder.ProductionEvent</w:t>
            </w:r>
            <w:r>
              <w:t xml:space="preserve">,</w:t>
            </w:r>
            <w:r>
              <w:t xml:space="preserve"> </w:t>
            </w:r>
            <w:r>
              <w:rPr>
                <w:rStyle w:val="VerbatimChar"/>
              </w:rPr>
              <w:t xml:space="preserve">Workorder.ConsumptionEvent</w:t>
            </w:r>
            <w:r>
              <w:t xml:space="preserve">,</w:t>
            </w:r>
            <w:r>
              <w:t xml:space="preserve"> </w:t>
            </w:r>
            <w:r>
              <w:rPr>
                <w:rStyle w:val="VerbatimChar"/>
              </w:rPr>
              <w:t xml:space="preserve">Workorder.RejectEvent</w:t>
            </w:r>
          </w:p>
        </w:tc>
        <w:tc>
          <w:tcPr/>
          <w:p>
            <w:pPr>
              <w:pStyle w:val="Compact"/>
            </w:pPr>
            <w:r>
              <w:rPr>
                <w:i/>
                <w:iCs/>
              </w:rPr>
              <w:t xml:space="preserve">What did happen.</w:t>
            </w:r>
            <w:r>
              <w:t xml:space="preserve"> </w:t>
            </w:r>
            <w:r>
              <w:t xml:space="preserve">Production counts, consumption events that link source LOTs to output, and reject reasons.</w:t>
            </w:r>
          </w:p>
        </w:tc>
      </w:tr>
      <w:tr>
        <w:tc>
          <w:tcPr>
            <w:shd w:val="clear" w:color="auto" w:fill="F2F2F2"/>
          </w:tcPr>
          <w:tcPr/>
          <w:p>
            <w:pPr>
              <w:pStyle w:val="Compact"/>
            </w:pPr>
            <w:r>
              <w:rPr>
                <w:b/>
                <w:bCs/>
              </w:rPr>
              <w:t xml:space="preserve">Traceability</w:t>
            </w:r>
          </w:p>
        </w:tc>
        <w:tc>
          <w:tcPr>
            <w:shd w:val="clear" w:color="auto" w:fill="F2F2F2"/>
          </w:tcPr>
          <w:tcPr/>
          <w:p>
            <w:pPr>
              <w:pStyle w:val="Compact"/>
            </w:pPr>
            <w:r>
              <w:t xml:space="preserve">Immutable, append-only</w:t>
            </w:r>
          </w:p>
        </w:tc>
        <w:tc>
          <w:tcPr>
            <w:shd w:val="clear" w:color="auto" w:fill="F2F2F2"/>
          </w:tcPr>
          <w:tcPr/>
          <w:p>
            <w:pPr>
              <w:pStyle w:val="Compact"/>
            </w:pPr>
            <w:r>
              <w:rPr>
                <w:rStyle w:val="VerbatimChar"/>
              </w:rPr>
              <w:t xml:space="preserve">Lots.LotGenealogy</w:t>
            </w:r>
            <w:r>
              <w:t xml:space="preserve">,</w:t>
            </w:r>
            <w:r>
              <w:t xml:space="preserve"> </w:t>
            </w:r>
            <w:r>
              <w:rPr>
                <w:rStyle w:val="VerbatimChar"/>
              </w:rPr>
              <w:t xml:space="preserve">Lots.LotMovement</w:t>
            </w:r>
            <w:r>
              <w:t xml:space="preserve">,</w:t>
            </w:r>
            <w:r>
              <w:t xml:space="preserve"> </w:t>
            </w:r>
            <w:r>
              <w:rPr>
                <w:rStyle w:val="VerbatimChar"/>
              </w:rPr>
              <w:t xml:space="preserve">Lots.LotStatusHistory</w:t>
            </w:r>
            <w:r>
              <w:t xml:space="preserve">,</w:t>
            </w:r>
            <w:r>
              <w:t xml:space="preserve"> </w:t>
            </w:r>
            <w:r>
              <w:rPr>
                <w:rStyle w:val="VerbatimChar"/>
              </w:rPr>
              <w:t xml:space="preserve">Lots.SerializedPart</w:t>
            </w:r>
            <w:r>
              <w:t xml:space="preserve">,</w:t>
            </w:r>
            <w:r>
              <w:t xml:space="preserve"> </w:t>
            </w:r>
            <w:r>
              <w:rPr>
                <w:rStyle w:val="VerbatimChar"/>
              </w:rPr>
              <w:t xml:space="preserve">Lots.ShippingLabel</w:t>
            </w:r>
          </w:p>
        </w:tc>
        <w:tc>
          <w:tcPr>
            <w:shd w:val="clear" w:color="auto" w:fill="F2F2F2"/>
          </w:tcPr>
          <w:tcPr/>
          <w:p>
            <w:pPr>
              <w:pStyle w:val="Compact"/>
            </w:pPr>
            <w:r>
              <w:rPr>
                <w:i/>
                <w:iCs/>
              </w:rPr>
              <w:t xml:space="preserve">The permanent record.</w:t>
            </w:r>
            <w:r>
              <w:t xml:space="preserve"> </w:t>
            </w:r>
            <w:r>
              <w:t xml:space="preserve">Parent/child relationships from splits, merges, and consumption; where each LOT has been; quality-status transitions; individual serial numbers traced to source LOTs; what shipped to Honda with AIM shipper IDs.</w:t>
            </w:r>
          </w:p>
        </w:tc>
      </w:tr>
    </w:tbl>
    <w:p>
      <w:pPr>
        <w:pStyle w:val="BodyText"/>
      </w:pPr>
      <w:r>
        <w:t xml:space="preserve">The Plan layer is where Engineering authors and revises specifications. The Execution layer is the runtime current state — what is happening</w:t>
      </w:r>
      <w:r>
        <w:t xml:space="preserve"> </w:t>
      </w:r>
      <w:r>
        <w:rPr>
          <w:i/>
          <w:iCs/>
        </w:rPr>
        <w:t xml:space="preserve">right now</w:t>
      </w:r>
      <w:r>
        <w:t xml:space="preserve">. The Evidence and Traceability layers are append-only — once written, never updated or deleted (FDS-01-005). Honda genealogy queries walk the Traceability layer; production counts and OEE math draw from the Evidence layer.</w:t>
      </w:r>
    </w:p>
    <w:bookmarkStart w:id="26"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6"/>
    <w:bookmarkStart w:id="27"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w:t>
      </w:r>
    </w:p>
    <w:p>
      <w:pPr>
        <w:pStyle w:val="BodyText"/>
      </w:pP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7"/>
    <w:bookmarkStart w:id="28"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w:t>
      </w:r>
    </w:p>
    <w:p>
      <w:pPr>
        <w:pStyle w:val="BodyText"/>
      </w:pPr>
      <w:r>
        <w:t xml:space="preserve">The Tag Historian MAY be hosted on the same SQL Server instance as the MES, but SHALL use a</w:t>
      </w:r>
      <w:r>
        <w:t xml:space="preserve"> </w:t>
      </w:r>
      <w:r>
        <w:rPr>
          <w:b/>
          <w:bCs/>
        </w:rPr>
        <w:t xml:space="preserve">separate database</w:t>
      </w:r>
      <w:r>
        <w:t xml:space="preserve"> </w:t>
      </w:r>
      <w:r>
        <w:t xml:space="preserve">from the MES database (e.g.,</w:t>
      </w:r>
      <w:r>
        <w:t xml:space="preserve"> </w:t>
      </w:r>
      <w:r>
        <w:rPr>
          <w:rStyle w:val="VerbatimChar"/>
        </w:rPr>
        <w:t xml:space="preserve">MPP_MES_Historian</w:t>
      </w:r>
      <w:r>
        <w:t xml:space="preserve"> </w:t>
      </w:r>
      <w:r>
        <w:t xml:space="preserve">alongside</w:t>
      </w:r>
      <w:r>
        <w:t xml:space="preserve"> </w:t>
      </w:r>
      <w:r>
        <w:rPr>
          <w:rStyle w:val="VerbatimChar"/>
        </w:rPr>
        <w:t xml:space="preserve">MPP_MES</w:t>
      </w:r>
      <w:r>
        <w:t xml:space="preserve">). Sharing the instance is acceptable for hardware economy; sharing the database is not — the two have different access patterns (high-volume time-series append vs transactional MES writes), retention policies, backup cadences, and tuning needs. Co-locating them in one database would couple their lifecycles and risk Tag-Historian volume swamping MES query performance. (FRS 3.4.10, 5.5.1)</w:t>
      </w:r>
    </w:p>
    <w:bookmarkEnd w:id="28"/>
    <w:bookmarkStart w:id="29"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2"/>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2"/>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2"/>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2"/>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29"/>
    <w:bookmarkEnd w:id="30"/>
    <w:bookmarkStart w:id="33" w:name="opc-connection-architecture"/>
    <w:p>
      <w:pPr>
        <w:pStyle w:val="Heading3"/>
      </w:pPr>
      <w:r>
        <w:t xml:space="preserve">1.5 OPC Connection Architecture</w:t>
      </w:r>
    </w:p>
    <w:bookmarkStart w:id="31"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1"/>
    <w:bookmarkStart w:id="32"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2"/>
    <w:bookmarkEnd w:id="33"/>
    <w:bookmarkStart w:id="38" w:name="security-architecture"/>
    <w:p>
      <w:pPr>
        <w:pStyle w:val="Heading3"/>
      </w:pPr>
      <w:r>
        <w:t xml:space="preserve">1.6 Security Architecture</w:t>
      </w:r>
    </w:p>
    <w:bookmarkStart w:id="34"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4"/>
    <w:bookmarkStart w:id="35"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w:t>
      </w:r>
    </w:p>
    <w:bookmarkEnd w:id="35"/>
    <w:bookmarkStart w:id="36"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6"/>
    <w:bookmarkStart w:id="37" w:name="X924e98d0b983f890ed1ae5099f02bfc8aee1325"/>
    <w:p>
      <w:pPr>
        <w:pStyle w:val="Heading4"/>
      </w:pPr>
      <w:r>
        <w:t xml:space="preserve">FDS-01-014 — External Integration Pattern (Gateway-script-async) —</w:t>
      </w:r>
      <w:r>
        <w:t xml:space="preserve"> </w:t>
      </w:r>
      <w:r>
        <w:rPr>
          <w:rStyle w:val="VerbatimChar"/>
        </w:rPr>
        <w:t xml:space="preserve">MVP</w:t>
      </w:r>
    </w:p>
    <w:p>
      <w:pPr>
        <w:pStyle w:val="FirstParagraph"/>
      </w:pPr>
      <w:r>
        <w:t xml:space="preserve">All MES outbound calls to external systems (AIM, Zebra printers, Honda EDI, future Macola pushes) SHALL use the</w:t>
      </w:r>
      <w:r>
        <w:t xml:space="preserve"> </w:t>
      </w:r>
      <w:r>
        <w:rPr>
          <w:b/>
          <w:bCs/>
        </w:rPr>
        <w:t xml:space="preserve">Gateway-script-async</w:t>
      </w:r>
      <w:r>
        <w:t xml:space="preserve"> </w:t>
      </w:r>
      <w:r>
        <w:t xml:space="preserve">pattern, not synchronous in-MES-proc calls. The pattern:</w:t>
      </w:r>
    </w:p>
    <w:p>
      <w:pPr>
        <w:pStyle w:val="Compact"/>
        <w:numPr>
          <w:ilvl w:val="0"/>
          <w:numId w:val="1003"/>
        </w:numPr>
      </w:pPr>
      <w:r>
        <w:t xml:space="preserve">The MES stored procedure commits its DB-side state changes atomically (e.g.,</w:t>
      </w:r>
      <w:r>
        <w:t xml:space="preserve"> </w:t>
      </w:r>
      <w:r>
        <w:rPr>
          <w:rStyle w:val="VerbatimChar"/>
        </w:rPr>
        <w:t xml:space="preserve">Container_Complete</w:t>
      </w:r>
      <w:r>
        <w:t xml:space="preserve"> </w:t>
      </w:r>
      <w:r>
        <w:t xml:space="preserve">writes the</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 claims the AIM ID from the pool, etc.) and returns control to the calling Perspective view.</w:t>
      </w:r>
    </w:p>
    <w:p>
      <w:pPr>
        <w:pStyle w:val="Compact"/>
        <w:numPr>
          <w:ilvl w:val="0"/>
          <w:numId w:val="1003"/>
        </w:numPr>
      </w:pPr>
      <w:r>
        <w:t xml:space="preserve">The Perspective view (or a calling MES proc wrapper) fires</w:t>
      </w:r>
      <w:r>
        <w:t xml:space="preserve"> </w:t>
      </w:r>
      <w:r>
        <w:rPr>
          <w:rStyle w:val="VerbatimChar"/>
        </w:rPr>
        <w:t xml:space="preserve">system.util.sendRequestAsync</w:t>
      </w:r>
      <w:r>
        <w:t xml:space="preserve"> </w:t>
      </w:r>
      <w:r>
        <w:t xml:space="preserve">to a Gateway-scoped message handler with the relevant entity ID(s) as payload.</w:t>
      </w:r>
    </w:p>
    <w:p>
      <w:pPr>
        <w:pStyle w:val="Compact"/>
        <w:numPr>
          <w:ilvl w:val="0"/>
          <w:numId w:val="1003"/>
        </w:numPr>
      </w:pPr>
      <w:r>
        <w:t xml:space="preserve">The Gateway message handler performs the external call. On success, it updates DB state via a sibling proc (e.g.,</w:t>
      </w:r>
      <w:r>
        <w:t xml:space="preserve"> </w:t>
      </w:r>
      <w:r>
        <w:rPr>
          <w:rStyle w:val="VerbatimChar"/>
        </w:rPr>
        <w:t xml:space="preserve">ShippingLabel_MarkPrinted</w:t>
      </w:r>
      <w:r>
        <w:t xml:space="preserve">). On failure, it retries per the integration-specific policy and ultimately writes to</w:t>
      </w:r>
      <w:r>
        <w:t xml:space="preserve"> </w:t>
      </w:r>
      <w:r>
        <w:rPr>
          <w:rStyle w:val="VerbatimChar"/>
        </w:rPr>
        <w:t xml:space="preserve">Audit.FailureLog</w:t>
      </w:r>
      <w:r>
        <w:t xml:space="preserve"> </w:t>
      </w:r>
      <w:r>
        <w:t xml:space="preserve">if retries exhaust.</w:t>
      </w:r>
    </w:p>
    <w:p>
      <w:pPr>
        <w:pStyle w:val="Compact"/>
        <w:numPr>
          <w:ilvl w:val="0"/>
          <w:numId w:val="1003"/>
        </w:numPr>
      </w:pPr>
      <w:r>
        <w:t xml:space="preserve">Every external call SHALL log to</w:t>
      </w:r>
      <w:r>
        <w:t xml:space="preserve"> </w:t>
      </w:r>
      <w:r>
        <w:rPr>
          <w:rStyle w:val="VerbatimChar"/>
        </w:rPr>
        <w:t xml:space="preserve">Audit.InterfaceLog</w:t>
      </w:r>
      <w:r>
        <w:t xml:space="preserve"> </w:t>
      </w:r>
      <w:r>
        <w:t xml:space="preserve">(success or failure) per FDS-11-005.</w:t>
      </w:r>
    </w:p>
    <w:p>
      <w:pPr>
        <w:pStyle w:val="Compact"/>
        <w:numPr>
          <w:ilvl w:val="0"/>
          <w:numId w:val="1003"/>
        </w:numPr>
      </w:pPr>
      <w:r>
        <w:t xml:space="preserve">Operator-facing failure surfaces (UI banners, wallboard alarms) SHALL bind to DB state — not to in-flight handler state — so that Gateway restarts do not lose visibility of failed integrations.</w:t>
      </w:r>
    </w:p>
    <w:p>
      <w:pPr>
        <w:pStyle w:val="FirstParagraph"/>
      </w:pPr>
      <w:r>
        <w:rPr>
          <w:b/>
          <w:bCs/>
        </w:rPr>
        <w:t xml:space="preserve">Rationale.</w:t>
      </w:r>
      <w:r>
        <w:t xml:space="preserve"> </w:t>
      </w:r>
      <w:r>
        <w:t xml:space="preserve">Synchronous calls from inside an MES proc would block the operator on every external system’s latency and availability. Gateway-script-async decouples MES correctness from external responsiveness; failures become observable, retryable, and logged without operator-blocking behavior.</w:t>
      </w:r>
    </w:p>
    <w:p>
      <w:pPr>
        <w:pStyle w:val="BodyText"/>
      </w:pPr>
      <w:r>
        <w:rPr>
          <w:b/>
          <w:bCs/>
        </w:rPr>
        <w:t xml:space="preserve">Special case — pre-fetched buffers.</w:t>
      </w:r>
      <w:r>
        <w:t xml:space="preserve"> </w:t>
      </w:r>
      <w:r>
        <w:t xml:space="preserve">When zero operator-perceived latency is required (Container_Complete → AIM Shipper ID assignment), a pre-fetched local buffer (</w:t>
      </w:r>
      <w:r>
        <w:rPr>
          <w:rStyle w:val="VerbatimChar"/>
        </w:rPr>
        <w:t xml:space="preserve">Lots.AimShipperIdPool</w:t>
      </w:r>
      <w:r>
        <w:t xml:space="preserve">, FDS-07-010) replaces both the sync call and the async pattern: the buffer’s topup loop runs on the Gateway-script-async pattern, but the MES proc’s claim is purely local DB. See FDS-07-010 for the pool model.</w:t>
      </w:r>
    </w:p>
    <w:p>
      <w:pPr>
        <w:pStyle w:val="BodyText"/>
      </w:pPr>
      <w:r>
        <w:rPr>
          <w:b/>
          <w:bCs/>
        </w:rPr>
        <w:t xml:space="preserve">Synchronous direct-call exception.</w:t>
      </w:r>
      <w:r>
        <w:t xml:space="preserve"> </w:t>
      </w:r>
      <w:r>
        <w:t xml:space="preserve">Nothing in this pattern prohibits a sync DB call from inside an MES proc (e.g., a</w:t>
      </w:r>
      <w:r>
        <w:t xml:space="preserve"> </w:t>
      </w:r>
      <w:r>
        <w:rPr>
          <w:rStyle w:val="VerbatimChar"/>
        </w:rPr>
        <w:t xml:space="preserve">SELECT</w:t>
      </w:r>
      <w:r>
        <w:t xml:space="preserve"> </w:t>
      </w:r>
      <w:r>
        <w:t xml:space="preserve">against another MES table). Sync is only retired for</w:t>
      </w:r>
      <w:r>
        <w:t xml:space="preserve"> </w:t>
      </w:r>
      <w:r>
        <w:rPr>
          <w:b/>
          <w:bCs/>
        </w:rPr>
        <w:t xml:space="preserve">external</w:t>
      </w:r>
      <w:r>
        <w:t xml:space="preserve"> </w:t>
      </w:r>
      <w:r>
        <w:t xml:space="preserve">systems.</w:t>
      </w:r>
    </w:p>
    <w:bookmarkEnd w:id="37"/>
    <w:bookmarkEnd w:id="38"/>
    <w:bookmarkStart w:id="39"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MPP_MES_DATA_MODEL.docx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9"/>
    <w:bookmarkEnd w:id="40"/>
    <w:bookmarkStart w:id="60" w:name="plant-model-location-hierarchy-mvp"/>
    <w:p>
      <w:pPr>
        <w:pStyle w:val="Heading2"/>
      </w:pPr>
      <w:r>
        <w:t xml:space="preserve">2. Plant Model &amp; Location Hierarchy —</w:t>
      </w:r>
      <w:r>
        <w:t xml:space="preserve"> </w:t>
      </w:r>
      <w:r>
        <w:rPr>
          <w:rStyle w:val="VerbatimChar"/>
        </w:rPr>
        <w:t xml:space="preserve">MVP</w:t>
      </w:r>
    </w:p>
    <w:bookmarkStart w:id="41"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4"/>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4"/>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4"/>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RefCycleTimeSec</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41"/>
    <w:bookmarkStart w:id="45" w:name="location-type-hierarchy"/>
    <w:p>
      <w:pPr>
        <w:pStyle w:val="Heading3"/>
      </w:pPr>
      <w:r>
        <w:t xml:space="preserve">2.2 Location Type Hierarchy</w:t>
      </w:r>
    </w:p>
    <w:bookmarkStart w:id="42"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2"/>
    <w:bookmarkStart w:id="43"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3"/>
    <w:bookmarkStart w:id="44"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4"/>
    <w:bookmarkEnd w:id="45"/>
    <w:bookmarkStart w:id="49" w:name="X992209ce0f4f05fcef114340f60f45bdbde0b2f"/>
    <w:p>
      <w:pPr>
        <w:pStyle w:val="Heading3"/>
      </w:pPr>
      <w:r>
        <w:t xml:space="preserve">2.3 Polymorphic Kinds and Configurable Attributes</w:t>
      </w:r>
    </w:p>
    <w:bookmarkStart w:id="46"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6"/>
    <w:bookmarkStart w:id="47"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Note on cavities.</w:t>
      </w:r>
      <w:r>
        <w:t xml:space="preserve"> </w:t>
      </w:r>
      <w:r>
        <w:t xml:space="preserve">Cavity count is</w:t>
      </w:r>
      <w:r>
        <w:t xml:space="preserve"> </w:t>
      </w:r>
      <w:r>
        <w:rPr>
          <w:i/>
          <w:iCs/>
        </w:rPr>
        <w:t xml:space="preserve">not</w:t>
      </w:r>
      <w:r>
        <w:t xml:space="preserve"> </w:t>
      </w:r>
      <w:r>
        <w:t xml:space="preserve">an attribute of the press. Cavities belong to the die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per Data Model v1.9 §15) — a single press may run different dies with different cavity counts on different days. Cavity-level data lives in the Tools schema, attached to the die that is currently mounted via</w:t>
      </w:r>
      <w:r>
        <w:t xml:space="preserve"> </w:t>
      </w:r>
      <w:r>
        <w:rPr>
          <w:rStyle w:val="VerbatimChar"/>
        </w:rPr>
        <w:t xml:space="preserve">Tools.ToolAssignment</w:t>
      </w:r>
      <w:r>
        <w:t xml:space="preserve">.</w:t>
      </w:r>
    </w:p>
    <w:p>
      <w:pPr>
        <w:pStyle w:val="FirstParagraph"/>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7"/>
    <w:bookmarkStart w:id="48"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8"/>
    <w:bookmarkEnd w:id="49"/>
    <w:bookmarkStart w:id="51" w:name="seed-data-cells"/>
    <w:p>
      <w:pPr>
        <w:pStyle w:val="Heading3"/>
      </w:pPr>
      <w:r>
        <w:t xml:space="preserve">2.4 Seed Data — Cells</w:t>
      </w:r>
    </w:p>
    <w:bookmarkStart w:id="50"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50"/>
    <w:bookmarkEnd w:id="51"/>
    <w:bookmarkStart w:id="59" w:name="terminals"/>
    <w:p>
      <w:pPr>
        <w:pStyle w:val="Heading3"/>
      </w:pPr>
      <w:r>
        <w:t xml:space="preserve">2.5 Terminals</w:t>
      </w:r>
    </w:p>
    <w:p>
      <w:pPr>
        <w:pStyle w:val="FirstParagraph"/>
      </w:pPr>
      <w:r>
        <w:t xml:space="preserve">Terminals are a mix of</w:t>
      </w:r>
      <w:r>
        <w:t xml:space="preserve"> </w:t>
      </w:r>
      <w:r>
        <w:rPr>
          <w:b/>
          <w:bCs/>
        </w:rPr>
        <w:t xml:space="preserve">dedicated</w:t>
      </w:r>
      <w:r>
        <w:t xml:space="preserve"> </w:t>
      </w:r>
      <w:r>
        <w:t xml:space="preserve">and</w:t>
      </w:r>
      <w:r>
        <w:t xml:space="preserve"> </w:t>
      </w:r>
      <w:r>
        <w:rPr>
          <w:b/>
          <w:bCs/>
        </w:rPr>
        <w:t xml:space="preserve">shared</w:t>
      </w:r>
      <w:r>
        <w:t xml:space="preserve">.</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but a Terminal</w:t>
      </w:r>
      <w:r>
        <w:t xml:space="preserve"> </w:t>
      </w:r>
      <w:r>
        <w:rPr>
          <w:rStyle w:val="VerbatimChar"/>
        </w:rPr>
        <w:t xml:space="preserve">Location</w:t>
      </w:r>
      <w:r>
        <w:t xml:space="preserve"> </w:t>
      </w:r>
      <w:r>
        <w:t xml:space="preserve">MAY be parented at any tier — Cell, WorkCenter, or Area — and its parent tier determines the mode. Dedicated terminals (Cell-parented) have a fixed Cell context that cannot be changed in the UI. Shared terminals (WorkCenter- or Area-parented) let the operator pick a Cell context — by</w:t>
      </w:r>
      <w:r>
        <w:t xml:space="preserve"> </w:t>
      </w:r>
      <w:r>
        <w:rPr>
          <w:b/>
          <w:bCs/>
        </w:rPr>
        <w:t xml:space="preserve">scan or dropdown</w:t>
      </w:r>
      <w:r>
        <w:t xml:space="preserve"> </w:t>
      </w:r>
      <w:r>
        <w:t xml:space="preserve">— constrained to descendant Cells of the parent Location. Part ↔ Cell eligibility is enforced via</w:t>
      </w:r>
      <w:r>
        <w:t xml:space="preserve"> </w:t>
      </w:r>
      <w:r>
        <w:rPr>
          <w:rStyle w:val="VerbatimChar"/>
        </w:rPr>
        <w:t xml:space="preserve">Parts.ItemLocation</w:t>
      </w:r>
      <w:r>
        <w:t xml:space="preserve"> </w:t>
      </w:r>
      <w:r>
        <w:t xml:space="preserve">plus BOM-derived component eligibility (§3.5 + FDS-02-012). Honda plans to place RFID tags on container labels in the future; the MES SHALL stay RFID-agnostic (FUTURE).</w:t>
      </w:r>
    </w:p>
    <w:bookmarkStart w:id="52"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Cell, WorkCenter, or Area in the hierarchy. Terminal-specific configuration (IP address, default Zebra printer, barcode scanner availability)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 Terminal mode (Dedicated vs Shared) is derived from the parent tier per FDS-02-010 — not stored as an attribute.</w:t>
      </w:r>
    </w:p>
    <w:bookmarkEnd w:id="52"/>
    <w:bookmarkStart w:id="53" w:name="fds-02-009-cell-context-selection"/>
    <w:p>
      <w:pPr>
        <w:pStyle w:val="Heading4"/>
      </w:pPr>
      <w:r>
        <w:t xml:space="preserve">FDS-02-009 — Cell Context Selection</w:t>
      </w:r>
    </w:p>
    <w:p>
      <w:pPr>
        <w:pStyle w:val="FirstParagraph"/>
      </w:pPr>
      <w:r>
        <w:t xml:space="preserve">Every event written from a terminal carries two</w:t>
      </w:r>
      <w:r>
        <w:t xml:space="preserve"> </w:t>
      </w:r>
      <w:r>
        <w:rPr>
          <w:rStyle w:val="VerbatimChar"/>
        </w:rPr>
        <w:t xml:space="preserve">Location</w:t>
      </w:r>
      <w:r>
        <w:t xml:space="preserve"> </w:t>
      </w:r>
      <w:r>
        <w:t xml:space="preserve">references:</w:t>
      </w:r>
    </w:p>
    <w:p>
      <w:pPr>
        <w:pStyle w:val="Compact"/>
        <w:numPr>
          <w:ilvl w:val="0"/>
          <w:numId w:val="1005"/>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5"/>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production happens (a Cell —</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w:t>
      </w:r>
      <w:r>
        <w:t xml:space="preserve"> </w:t>
      </w:r>
      <w:r>
        <w:rPr>
          <w:rStyle w:val="VerbatimChar"/>
        </w:rPr>
        <w:t xml:space="preserve">InspectionStation</w:t>
      </w:r>
      <w:r>
        <w:t xml:space="preserve">, etc.)</w:t>
      </w:r>
    </w:p>
    <w:p>
      <w:pPr>
        <w:pStyle w:val="FirstParagraph"/>
      </w:pPr>
      <w:r>
        <w:t xml:space="preserve">On</w:t>
      </w:r>
      <w:r>
        <w:t xml:space="preserve"> </w:t>
      </w:r>
      <w:r>
        <w:rPr>
          <w:b/>
          <w:bCs/>
        </w:rPr>
        <w:t xml:space="preserve">Dedicated</w:t>
      </w:r>
      <w:r>
        <w:t xml:space="preserve"> </w:t>
      </w:r>
      <w:r>
        <w:t xml:space="preserve">terminals (FDS-02-010) the Cell context SHALL be the Terminal Location’s parent Cell — fixed, with no selector exposed in the UI.</w:t>
      </w:r>
    </w:p>
    <w:p>
      <w:pPr>
        <w:pStyle w:val="BodyText"/>
      </w:pPr>
      <w:r>
        <w:t xml:space="preserve">On</w:t>
      </w:r>
      <w:r>
        <w:t xml:space="preserve"> </w:t>
      </w:r>
      <w:r>
        <w:rPr>
          <w:b/>
          <w:bCs/>
        </w:rPr>
        <w:t xml:space="preserve">Shared</w:t>
      </w:r>
      <w:r>
        <w:t xml:space="preserve"> </w:t>
      </w:r>
      <w:r>
        <w:t xml:space="preserve">terminals the Cell context SHALL be selected by the operator at session start using either of two equivalent mechanisms:</w:t>
      </w:r>
    </w:p>
    <w:p>
      <w:pPr>
        <w:pStyle w:val="Compact"/>
        <w:numPr>
          <w:ilvl w:val="0"/>
          <w:numId w:val="1006"/>
        </w:numPr>
      </w:pPr>
      <w:r>
        <w:rPr>
          <w:b/>
          <w:bCs/>
        </w:rPr>
        <w:t xml:space="preserve">Scan</w:t>
      </w:r>
      <w:r>
        <w:t xml:space="preserve"> </w:t>
      </w:r>
      <w:r>
        <w:t xml:space="preserve">— the operator scans the destination Cell’s barcode or QR code, or</w:t>
      </w:r>
    </w:p>
    <w:p>
      <w:pPr>
        <w:pStyle w:val="Compact"/>
        <w:numPr>
          <w:ilvl w:val="0"/>
          <w:numId w:val="1006"/>
        </w:numPr>
      </w:pPr>
      <w:r>
        <w:rPr>
          <w:b/>
          <w:bCs/>
        </w:rPr>
        <w:t xml:space="preserve">Dropdown</w:t>
      </w:r>
      <w:r>
        <w:t xml:space="preserve"> </w:t>
      </w:r>
      <w:r>
        <w:t xml:space="preserve">— the operator picks from a dropdown of eligible Cells (the descendant Cells of the terminal’s parent Location).</w:t>
      </w:r>
    </w:p>
    <w:p>
      <w:pPr>
        <w:pStyle w:val="FirstParagraph"/>
      </w:pPr>
      <w:r>
        <w:t xml:space="preserve">The operator MAY change the Cell context mid-session by either mechanism. The new</w:t>
      </w:r>
      <w:r>
        <w:t xml:space="preserve"> </w:t>
      </w:r>
      <w:r>
        <w:rPr>
          <w:rStyle w:val="VerbatimChar"/>
        </w:rPr>
        <w:t xml:space="preserve">LocationId</w:t>
      </w:r>
      <w:r>
        <w:t xml:space="preserve"> </w:t>
      </w:r>
      <w:r>
        <w:t xml:space="preserve">SHALL apply to all subsequent events written from the terminal until changed again.</w:t>
      </w:r>
    </w:p>
    <w:bookmarkEnd w:id="53"/>
    <w:bookmarkStart w:id="54" w:name="Xc884f3ff7aae35a80b817ade62e658621e4ced1"/>
    <w:p>
      <w:pPr>
        <w:pStyle w:val="Heading4"/>
      </w:pPr>
      <w:r>
        <w:t xml:space="preserve">FDS-02-010 — Terminal Mode Determined by Location Assignment —</w:t>
      </w:r>
      <w:r>
        <w:t xml:space="preserve"> </w:t>
      </w:r>
      <w:r>
        <w:rPr>
          <w:rStyle w:val="VerbatimChar"/>
        </w:rPr>
        <w:t xml:space="preserve">MVP</w:t>
      </w:r>
    </w:p>
    <w:p>
      <w:pPr>
        <w:pStyle w:val="FirstParagraph"/>
      </w:pPr>
      <w:r>
        <w:t xml:space="preserve">A Terminal’s mode (Dedicated or Shared) is</w:t>
      </w:r>
      <w:r>
        <w:t xml:space="preserve"> </w:t>
      </w:r>
      <w:r>
        <w:rPr>
          <w:b/>
          <w:bCs/>
        </w:rPr>
        <w:t xml:space="preserve">derived from the tier of its parent Location in the ISA-95 hierarchy</w:t>
      </w:r>
      <w:r>
        <w:t xml:space="preserve">. No separate</w:t>
      </w:r>
      <w:r>
        <w:t xml:space="preserve"> </w:t>
      </w:r>
      <w:r>
        <w:rPr>
          <w:rStyle w:val="VerbatimChar"/>
        </w:rPr>
        <w:t xml:space="preserve">TerminalMode</w:t>
      </w:r>
      <w:r>
        <w:t xml:space="preserve"> </w:t>
      </w:r>
      <w:r>
        <w:t xml:space="preserve">attribute is configured.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Terminal’s parent Location tier</w:t>
            </w:r>
          </w:p>
        </w:tc>
        <w:tc>
          <w:tcPr>
            <w:shd w:val="clear" w:color="auto" w:fill="1F4E79"/>
          </w:tcPr>
          <w:tcPr/>
          <w:p>
            <w:pPr>
              <w:pStyle w:val="Compact"/>
            </w:pPr>
            <w:r>
              <w:rPr>
                <w:b/>
                <w:color w:val="FFFFFF"/>
              </w:rPr>
              <w:t xml:space="preserve">Mode</w:t>
            </w:r>
          </w:p>
        </w:tc>
        <w:tc>
          <w:tcPr>
            <w:shd w:val="clear" w:color="auto" w:fill="1F4E79"/>
          </w:tcPr>
          <w:tcPr/>
          <w:p>
            <w:pPr>
              <w:pStyle w:val="Compact"/>
            </w:pPr>
            <w:r>
              <w:rPr>
                <w:b/>
                <w:color w:val="FFFFFF"/>
              </w:rPr>
              <w:t xml:space="preserve">Behavior</w:t>
            </w:r>
          </w:p>
        </w:tc>
      </w:tr>
      <w:tr>
        <w:tc>
          <w:tcPr/>
          <w:p>
            <w:pPr>
              <w:pStyle w:val="Compact"/>
            </w:pPr>
            <w:r>
              <w:rPr>
                <w:b/>
                <w:bCs/>
              </w:rPr>
              <w:t xml:space="preserve">Cell</w:t>
            </w:r>
          </w:p>
        </w:tc>
        <w:tc>
          <w:tcPr/>
          <w:p>
            <w:pPr>
              <w:pStyle w:val="Compact"/>
            </w:pPr>
            <w:r>
              <w:rPr>
                <w:b/>
                <w:bCs/>
              </w:rPr>
              <w:t xml:space="preserve">Dedicated</w:t>
            </w:r>
          </w:p>
        </w:tc>
        <w:tc>
          <w:tcPr/>
          <w:p>
            <w:pPr>
              <w:pStyle w:val="Compact"/>
            </w:pPr>
            <w:r>
              <w:t xml:space="preserve">Terminal is bound to a specific Cell. Cell context is the parent Cell — fixed, no selector exposed. Operator initials persist with 30-min idle re-confirmation (FDS-04-006).</w:t>
            </w:r>
            <w:r>
              <w:t xml:space="preserve"> </w:t>
            </w:r>
            <w:r>
              <w:rPr>
                <w:b/>
                <w:bCs/>
              </w:rPr>
              <w:t xml:space="preserve">Example:</w:t>
            </w:r>
            <w:r>
              <w:t xml:space="preserve"> </w:t>
            </w:r>
            <w:r>
              <w:t xml:space="preserve">a paired Machining + Assembly WorkCenter typically carries two terminals —</w:t>
            </w:r>
            <w:r>
              <w:t xml:space="preserve"> </w:t>
            </w:r>
            <w:r>
              <w:rPr>
                <w:rStyle w:val="VerbatimChar"/>
              </w:rPr>
              <w:t xml:space="preserve">MS1-MachiningIntake-Term</w:t>
            </w:r>
            <w:r>
              <w:t xml:space="preserve"> </w:t>
            </w:r>
            <w:r>
              <w:t xml:space="preserve">parented to the</w:t>
            </w:r>
            <w:r>
              <w:t xml:space="preserve"> </w:t>
            </w:r>
            <w:r>
              <w:rPr>
                <w:rStyle w:val="VerbatimChar"/>
              </w:rPr>
              <w:t xml:space="preserve">MS1-Machining</w:t>
            </w:r>
            <w:r>
              <w:t xml:space="preserve"> </w:t>
            </w:r>
            <w:r>
              <w:t xml:space="preserve">Cell, and</w:t>
            </w:r>
            <w:r>
              <w:t xml:space="preserve"> </w:t>
            </w:r>
            <w:r>
              <w:rPr>
                <w:rStyle w:val="VerbatimChar"/>
              </w:rPr>
              <w:t xml:space="preserve">MS1-AssemblyOut-Term</w:t>
            </w:r>
            <w:r>
              <w:t xml:space="preserve"> </w:t>
            </w:r>
            <w:r>
              <w:t xml:space="preserve">parented to the</w:t>
            </w:r>
            <w:r>
              <w:t xml:space="preserve"> </w:t>
            </w:r>
            <w:r>
              <w:rPr>
                <w:rStyle w:val="VerbatimChar"/>
              </w:rPr>
              <w:t xml:space="preserve">MS1-Assembly</w:t>
            </w:r>
            <w:r>
              <w:t xml:space="preserve"> </w:t>
            </w:r>
            <w:r>
              <w:t xml:space="preserve">Cell. Each terminal is dedicated to its own Cell; both are sibling children of the same WorkCenter.</w:t>
            </w:r>
          </w:p>
        </w:tc>
      </w:tr>
      <w:tr>
        <w:tc>
          <w:tcPr>
            <w:shd w:val="clear" w:color="auto" w:fill="F2F2F2"/>
          </w:tcPr>
          <w:tcPr/>
          <w:p>
            <w:pPr>
              <w:pStyle w:val="Compact"/>
            </w:pPr>
            <w:r>
              <w:rPr>
                <w:b/>
                <w:bCs/>
              </w:rPr>
              <w:t xml:space="preserve">WorkCenter</w:t>
            </w:r>
          </w:p>
        </w:tc>
        <w:tc>
          <w:tcPr>
            <w:shd w:val="clear" w:color="auto" w:fill="F2F2F2"/>
          </w:tcPr>
          <w:tcPr/>
          <w:p>
            <w:pPr>
              <w:pStyle w:val="Compact"/>
            </w:pPr>
            <w:r>
              <w:rPr>
                <w:b/>
                <w:bCs/>
              </w:rPr>
              <w:t xml:space="preserve">Shared</w:t>
            </w:r>
          </w:p>
        </w:tc>
        <w:tc>
          <w:tcPr>
            <w:shd w:val="clear" w:color="auto" w:fill="F2F2F2"/>
          </w:tcPr>
          <w:tcPr/>
          <w:p>
            <w:pPr>
              <w:pStyle w:val="Compact"/>
            </w:pPr>
            <w:r>
              <w:t xml:space="preserve">Terminal serves multiple Cells within a single WorkCenter. Cell context (the specific Cell within the WorkCenter) SHALL be selected at session start by scan or dropdown (FDS-02-009) and MAY be changed mid-session by either mechanism. Initials presence SHALL be re-prompted on first action after idle and on Cell-context change.</w:t>
            </w:r>
            <w:r>
              <w:t xml:space="preserve"> </w:t>
            </w:r>
            <w:r>
              <w:rPr>
                <w:b/>
                <w:bCs/>
              </w:rPr>
              <w:t xml:space="preserve">Example:</w:t>
            </w:r>
            <w:r>
              <w:t xml:space="preserve"> </w:t>
            </w:r>
            <w:r>
              <w:t xml:space="preserve">a small trim line where one terminal serves a cluster of trim presses parented to the same WorkCenter.</w:t>
            </w:r>
          </w:p>
        </w:tc>
      </w:tr>
      <w:tr>
        <w:tc>
          <w:tcPr/>
          <w:p>
            <w:pPr>
              <w:pStyle w:val="Compact"/>
            </w:pPr>
            <w:r>
              <w:rPr>
                <w:b/>
                <w:bCs/>
              </w:rPr>
              <w:t xml:space="preserve">Area</w:t>
            </w:r>
          </w:p>
        </w:tc>
        <w:tc>
          <w:tcPr/>
          <w:p>
            <w:pPr>
              <w:pStyle w:val="Compact"/>
            </w:pPr>
            <w:r>
              <w:rPr>
                <w:b/>
                <w:bCs/>
              </w:rPr>
              <w:t xml:space="preserve">Shared</w:t>
            </w:r>
          </w:p>
        </w:tc>
        <w:tc>
          <w:tcPr/>
          <w:p>
            <w:pPr>
              <w:pStyle w:val="Compact"/>
            </w:pPr>
            <w:r>
              <w:t xml:space="preserve">Terminal serves multiple Cells under an Area. Same selection mechanics as the WorkCenter case but the picker spans the entire Area’s descendant Cells.</w:t>
            </w:r>
            <w:r>
              <w:t xml:space="preserve"> </w:t>
            </w:r>
            <w:r>
              <w:rPr>
                <w:b/>
                <w:bCs/>
              </w:rPr>
              <w:t xml:space="preserve">Example:</w:t>
            </w:r>
            <w:r>
              <w:t xml:space="preserve"> </w:t>
            </w:r>
            <w:r>
              <w:t xml:space="preserve">a Die Cast cabin terminal parented to the</w:t>
            </w:r>
            <w:r>
              <w:t xml:space="preserve"> </w:t>
            </w:r>
            <w:r>
              <w:rPr>
                <w:rStyle w:val="VerbatimChar"/>
              </w:rPr>
              <w:t xml:space="preserve">Die Cast</w:t>
            </w:r>
            <w:r>
              <w:t xml:space="preserve"> </w:t>
            </w:r>
            <w:r>
              <w:t xml:space="preserve">Area, serving all die cast machines beneath it; the operator picks the press by scan or dropdown at session start and re-picks on machine change.</w:t>
            </w:r>
          </w:p>
        </w:tc>
      </w:tr>
    </w:tbl>
    <w:p>
      <w:pPr>
        <w:pStyle w:val="BodyText"/>
      </w:pPr>
      <w:r>
        <w:t xml:space="preserve">The Gateway</w:t>
      </w:r>
      <w:r>
        <w:t xml:space="preserve"> </w:t>
      </w:r>
      <w:r>
        <w:rPr>
          <w:rStyle w:val="VerbatimChar"/>
        </w:rPr>
        <w:t xml:space="preserve">Terminal_ResolveFromSession</w:t>
      </w:r>
      <w:r>
        <w:t xml:space="preserve"> </w:t>
      </w:r>
      <w:r>
        <w:t xml:space="preserve">proc SHALL read the Terminal Location’s parent tier via the Location hierarchy and return</w:t>
      </w:r>
      <w:r>
        <w:t xml:space="preserve"> </w:t>
      </w:r>
      <w:r>
        <w:rPr>
          <w:rStyle w:val="VerbatimChar"/>
        </w:rPr>
        <w:t xml:space="preserve">TerminalMode</w:t>
      </w:r>
      <w:r>
        <w:t xml:space="preserve"> </w:t>
      </w:r>
      <w:r>
        <w:t xml:space="preserve">as a derived result (not a stored attribute). Configuration Tool Location admin screens SHALL let Engineering attach a Terminal under any Cell, WorkCenter, or Area — the mode follows automatically.</w:t>
      </w:r>
    </w:p>
    <w:p>
      <w:pPr>
        <w:pStyle w:val="BodyText"/>
      </w:pPr>
      <w:r>
        <w:rPr>
          <w:b/>
          <w:bCs/>
        </w:rPr>
        <w:t xml:space="preserve">Why the model works:</w:t>
      </w:r>
      <w:r>
        <w:t xml:space="preserve"> </w:t>
      </w:r>
      <w:r>
        <w:t xml:space="preserve">The mode IS the assignment. A Terminal parked under a Cell is dedicated to that Cell; a Terminal parked under a WorkCenter or Area is shared across the descendant Cells of that scope. Encoding mode as a separate attribute would be redundant with the tree structure and would invite drift between the two.</w:t>
      </w:r>
    </w:p>
    <w:p>
      <w:pPr>
        <w:pStyle w:val="BodyText"/>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4"/>
    <w:bookmarkStart w:id="55" w:name="fds-02-011-cell-context-change-rules"/>
    <w:p>
      <w:pPr>
        <w:pStyle w:val="Heading4"/>
      </w:pPr>
      <w:r>
        <w:t xml:space="preserve">FDS-02-011 — Cell Context Change Rules</w:t>
      </w:r>
    </w:p>
    <w:p>
      <w:pPr>
        <w:pStyle w:val="Compact"/>
        <w:numPr>
          <w:ilvl w:val="0"/>
          <w:numId w:val="1007"/>
        </w:numPr>
      </w:pPr>
      <w:r>
        <w:t xml:space="preserve">On</w:t>
      </w:r>
      <w:r>
        <w:t xml:space="preserve"> </w:t>
      </w:r>
      <w:r>
        <w:rPr>
          <w:b/>
          <w:bCs/>
        </w:rPr>
        <w:t xml:space="preserve">Dedicated</w:t>
      </w:r>
      <w:r>
        <w:t xml:space="preserve"> </w:t>
      </w:r>
      <w:r>
        <w:t xml:space="preserve">terminals the active Cell context SHALL NOT be changeable via the UI. The terminal’s parent Cell IS the context for the session; no scan, dropdown, or search is offered.</w:t>
      </w:r>
    </w:p>
    <w:p>
      <w:pPr>
        <w:pStyle w:val="Compact"/>
        <w:numPr>
          <w:ilvl w:val="0"/>
          <w:numId w:val="1007"/>
        </w:numPr>
      </w:pPr>
      <w:r>
        <w:t xml:space="preserve">On</w:t>
      </w:r>
      <w:r>
        <w:t xml:space="preserve"> </w:t>
      </w:r>
      <w:r>
        <w:rPr>
          <w:b/>
          <w:bCs/>
        </w:rPr>
        <w:t xml:space="preserve">Shared</w:t>
      </w:r>
      <w:r>
        <w:t xml:space="preserve"> </w:t>
      </w:r>
      <w:r>
        <w:t xml:space="preserve">terminals the active Cell context SHALL be changeable only via the FDS-02-009 selectors (scan or dropdown), constrained to descendant Cells of the terminal’s parent Location. Each change SHALL write the new</w:t>
      </w:r>
      <w:r>
        <w:t xml:space="preserve"> </w:t>
      </w:r>
      <w:r>
        <w:rPr>
          <w:rStyle w:val="VerbatimChar"/>
        </w:rPr>
        <w:t xml:space="preserve">LocationId</w:t>
      </w:r>
      <w:r>
        <w:t xml:space="preserve"> </w:t>
      </w:r>
      <w:r>
        <w:t xml:space="preserve">on subsequent events. Workflows that require switching context (e.g., reprint on a different Cell) SHALL invoke the same scan-or-dropdown prompt rather than reaching into other Cells programmatically.</w:t>
      </w:r>
    </w:p>
    <w:p>
      <w:pPr>
        <w:pStyle w:val="FirstParagraph"/>
      </w:pPr>
      <w:r>
        <w:t xml:space="preserve">Both rules together prevent the cross-machine event-attribution failure mode raised by MPP at the 2026-04-20 review. Dropdown selection on shared terminals — when constrained to the terminal’s eligible descendant Cells — is functionally equivalent to a scan, and operationally faster for operators carrying multiple LOTs.</w:t>
      </w:r>
    </w:p>
    <w:bookmarkEnd w:id="55"/>
    <w:bookmarkStart w:id="56" w:name="fds-02-012-part-cell-eligibility"/>
    <w:p>
      <w:pPr>
        <w:pStyle w:val="Heading4"/>
      </w:pPr>
      <w:r>
        <w:t xml:space="preserve">FDS-02-012 — Part ↔ Cell Eligibility</w:t>
      </w:r>
    </w:p>
    <w:p>
      <w:pPr>
        <w:pStyle w:val="FirstParagraph"/>
      </w:pPr>
      <w:r>
        <w:t xml:space="preserve">Every LOT entering a Cell — whether being produced there, consumed at a workstation, or staged at lineside inventory — SHALL pass an eligibility check against</w:t>
      </w:r>
      <w:r>
        <w:t xml:space="preserve"> </w:t>
      </w:r>
      <w:r>
        <w:rPr>
          <w:rStyle w:val="VerbatimChar"/>
        </w:rPr>
        <w:t xml:space="preserve">Parts.ItemLocation</w:t>
      </w:r>
      <w:r>
        <w:t xml:space="preserve">. The check resolves via two paths:</w:t>
      </w:r>
    </w:p>
    <w:p>
      <w:pPr>
        <w:pStyle w:val="Compact"/>
        <w:numPr>
          <w:ilvl w:val="0"/>
          <w:numId w:val="1008"/>
        </w:numPr>
      </w:pPr>
      <w:r>
        <w:rPr>
          <w:b/>
          <w:bCs/>
        </w:rPr>
        <w:t xml:space="preserve">Direct eligibility.</w:t>
      </w:r>
      <w:r>
        <w:t xml:space="preserve"> </w:t>
      </w:r>
      <w:r>
        <w:t xml:space="preserve">A</w:t>
      </w:r>
      <w:r>
        <w:t xml:space="preserve"> </w:t>
      </w:r>
      <w:r>
        <w:rPr>
          <w:rStyle w:val="VerbatimChar"/>
        </w:rPr>
        <w:t xml:space="preserve">Parts.ItemLocation</w:t>
      </w:r>
      <w:r>
        <w:t xml:space="preserve"> </w:t>
      </w:r>
      <w:r>
        <w:t xml:space="preserve">row for the LOT’s</w:t>
      </w:r>
      <w:r>
        <w:t xml:space="preserve"> </w:t>
      </w:r>
      <w:r>
        <w:rPr>
          <w:rStyle w:val="VerbatimChar"/>
        </w:rPr>
        <w:t xml:space="preserve">ItemId</w:t>
      </w:r>
      <w:r>
        <w:t xml:space="preserve"> </w:t>
      </w:r>
      <w:r>
        <w:t xml:space="preserve">exists at the scanned Cell or any ancestor tier (per FDS-03-014’s hierarchy cascade — Cell → WorkCenter → Area → Site).</w:t>
      </w:r>
    </w:p>
    <w:p>
      <w:pPr>
        <w:pStyle w:val="Compact"/>
        <w:numPr>
          <w:ilvl w:val="0"/>
          <w:numId w:val="1008"/>
        </w:numPr>
      </w:pPr>
      <w:r>
        <w:rPr>
          <w:b/>
          <w:bCs/>
        </w:rPr>
        <w:t xml:space="preserve">BOM-derived eligibility.</w:t>
      </w:r>
      <w:r>
        <w:t xml:space="preserve"> </w:t>
      </w:r>
      <w:r>
        <w:t xml:space="preserve">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(via path 1) matches this Cell.</w:t>
      </w:r>
    </w:p>
    <w:p>
      <w:pPr>
        <w:pStyle w:val="FirstParagraph"/>
      </w:pPr>
      <w:r>
        <w:t xml:space="preserve">A LOT is eligible if</w:t>
      </w:r>
      <w:r>
        <w:t xml:space="preserve"> </w:t>
      </w:r>
      <w:r>
        <w:rPr>
          <w:b/>
          <w:bCs/>
        </w:rPr>
        <w:t xml:space="preserve">either</w:t>
      </w:r>
      <w:r>
        <w:t xml:space="preserve"> </w:t>
      </w:r>
      <w:r>
        <w:t xml:space="preserve">path resolves. Engineering configures direct eligibility only for produced finished goods and sub-assemblies (one row per produced Item per Cell-or-ancestor tier); component eligibility is automatic via BOM membership. This avoids the configuration explosion of enumerating every pass-through component (e.g., a 20-line BOM × N assembly Cells = 20N rows) and keeps the eligibility map small enough that Engineering can maintain it by hand.</w:t>
      </w:r>
    </w:p>
    <w:p>
      <w:pPr>
        <w:pStyle w:val="BodyText"/>
      </w:pPr>
      <w:r>
        <w:t xml:space="preserve">Active BOM membership requires</w:t>
      </w:r>
      <w:r>
        <w:t xml:space="preserve"> </w:t>
      </w:r>
      <w:r>
        <w:rPr>
          <w:rStyle w:val="VerbatimChar"/>
        </w:rPr>
        <w:t xml:space="preserve">Parts.Bom.PublishedAt IS NOT NULL AND Parts.Bom.DeprecatedAt IS NULL</w:t>
      </w:r>
      <w:r>
        <w:t xml:space="preserve">. The eligibility resolution is exposed via the read view</w:t>
      </w:r>
      <w:r>
        <w:t xml:space="preserve"> </w:t>
      </w:r>
      <w:r>
        <w:rPr>
          <w:rStyle w:val="VerbatimChar"/>
        </w:rPr>
        <w:t xml:space="preserve">Parts.v_EffectiveItemLocation</w:t>
      </w:r>
      <w:r>
        <w:t xml:space="preserve"> </w:t>
      </w:r>
      <w:r>
        <w:t xml:space="preserve">(Direct ∪ BomDerived) and consumed by the</w:t>
      </w:r>
      <w:r>
        <w:t xml:space="preserve"> </w:t>
      </w:r>
      <w:r>
        <w:rPr>
          <w:rStyle w:val="VerbatimChar"/>
        </w:rPr>
        <w:t xml:space="preserve">ItemLocation_CheckEligibility</w:t>
      </w:r>
      <w:r>
        <w:t xml:space="preserve"> </w:t>
      </w:r>
      <w:r>
        <w:t xml:space="preserve">proc that fronts every scan-in mutation.</w:t>
      </w:r>
    </w:p>
    <w:p>
      <w:pPr>
        <w:pStyle w:val="BodyText"/>
      </w:pPr>
      <w:r>
        <w:t xml:space="preserve">Reject message on miss:</w:t>
      </w:r>
      <w:r>
        <w:t xml:space="preserve"> </w:t>
      </w:r>
      <w:r>
        <w:rPr>
          <w:i/>
          <w:iCs/>
        </w:rPr>
        <w:t xml:space="preserve">“Part {PartNumber} is not configured for {CellCode} and is not a component of any part eligible there.”</w:t>
      </w:r>
    </w:p>
    <w:bookmarkEnd w:id="56"/>
    <w:bookmarkStart w:id="57"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57"/>
    <w:bookmarkStart w:id="58"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58"/>
    <w:bookmarkEnd w:id="59"/>
    <w:bookmarkEnd w:id="60"/>
    <w:bookmarkStart w:id="89" w:name="master-data-management-mvp"/>
    <w:p>
      <w:pPr>
        <w:pStyle w:val="Heading2"/>
      </w:pPr>
      <w:r>
        <w:t xml:space="preserve">3. Master Data Management —</w:t>
      </w:r>
      <w:r>
        <w:t xml:space="preserve"> </w:t>
      </w:r>
      <w:r>
        <w:rPr>
          <w:rStyle w:val="VerbatimChar"/>
        </w:rPr>
        <w:t xml:space="preserve">MVP</w:t>
      </w:r>
    </w:p>
    <w:bookmarkStart w:id="64" w:name="item-master"/>
    <w:p>
      <w:pPr>
        <w:pStyle w:val="Heading3"/>
      </w:pPr>
      <w:r>
        <w:t xml:space="preserve">3.1 Item Master</w:t>
      </w:r>
    </w:p>
    <w:bookmarkStart w:id="61"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odyText"/>
      </w:pP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61"/>
    <w:bookmarkStart w:id="62"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2"/>
    <w:bookmarkStart w:id="63"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3"/>
    <w:bookmarkEnd w:id="64"/>
    <w:bookmarkStart w:id="68" w:name="bills-of-material"/>
    <w:p>
      <w:pPr>
        <w:pStyle w:val="Heading3"/>
      </w:pPr>
      <w:r>
        <w:t xml:space="preserve">3.2 Bills of Material</w:t>
      </w:r>
    </w:p>
    <w:bookmarkStart w:id="65"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65"/>
    <w:bookmarkStart w:id="66"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w:t>
      </w:r>
    </w:p>
    <w:bookmarkEnd w:id="66"/>
    <w:bookmarkStart w:id="67"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67"/>
    <w:bookmarkEnd w:id="68"/>
    <w:bookmarkStart w:id="74" w:name="route-templates"/>
    <w:p>
      <w:pPr>
        <w:pStyle w:val="Heading3"/>
      </w:pPr>
      <w:r>
        <w:t xml:space="preserve">3.3 Route Templates</w:t>
      </w:r>
    </w:p>
    <w:bookmarkStart w:id="69"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9"/>
    <w:bookmarkStart w:id="70"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70"/>
    <w:bookmarkStart w:id="71"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71"/>
    <w:bookmarkStart w:id="72"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w:t>
      </w:r>
    </w:p>
    <w:bookmarkEnd w:id="72"/>
    <w:bookmarkStart w:id="73"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3"/>
    <w:bookmarkEnd w:id="74"/>
    <w:bookmarkStart w:id="78" w:name="operation-templates"/>
    <w:p>
      <w:pPr>
        <w:pStyle w:val="Heading3"/>
      </w:pPr>
      <w:r>
        <w:t xml:space="preserve">3.4 Operation Templates</w:t>
      </w:r>
    </w:p>
    <w:bookmarkStart w:id="75"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75"/>
    <w:bookmarkStart w:id="76"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76"/>
    <w:bookmarkStart w:id="77" w:name="X51fcacb81e9fef999bcdab1f3b39f8d69557373"/>
    <w:p>
      <w:pPr>
        <w:pStyle w:val="Heading4"/>
      </w:pPr>
      <w:r>
        <w:t xml:space="preserve">FDS-03-017a — Data Collection Capture at Event Time (Checkpoint Shape)</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09"/>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09"/>
        </w:numPr>
      </w:pPr>
      <w:r>
        <w:t xml:space="preserve">On submit, the</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10"/>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10"/>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10"/>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10"/>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09"/>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09"/>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77"/>
    <w:bookmarkEnd w:id="78"/>
    <w:bookmarkStart w:id="82" w:name="part-to-location-eligibility"/>
    <w:p>
      <w:pPr>
        <w:pStyle w:val="Heading3"/>
      </w:pPr>
      <w:r>
        <w:t xml:space="preserve">3.5 Part-to-Location Eligibility</w:t>
      </w:r>
    </w:p>
    <w:bookmarkStart w:id="79" w:name="X1ee59c941a381e530d5ff27cbee7232e8f1a025"/>
    <w:p>
      <w:pPr>
        <w:pStyle w:val="Heading4"/>
      </w:pPr>
      <w:r>
        <w:t xml:space="preserve">FDS-03-014 — Eligibility Map with Hierarchy Cascade —</w:t>
      </w:r>
      <w:r>
        <w:t xml:space="preserve"> </w:t>
      </w:r>
      <w:r>
        <w:rPr>
          <w:rStyle w:val="VerbatimChar"/>
        </w:rPr>
        <w:t xml:space="preserve">MVP</w:t>
      </w:r>
    </w:p>
    <w:p>
      <w:pPr>
        <w:pStyle w:val="FirstParagraph"/>
      </w:pPr>
      <w:r>
        <w:t xml:space="preserve">The</w:t>
      </w:r>
      <w:r>
        <w:t xml:space="preserve"> </w:t>
      </w:r>
      <w:r>
        <w:rPr>
          <w:rStyle w:val="VerbatimChar"/>
        </w:rPr>
        <w:t xml:space="preserve">Parts.ItemLocation</w:t>
      </w:r>
      <w:r>
        <w:t xml:space="preserve"> </w:t>
      </w:r>
      <w:r>
        <w:t xml:space="preserve">table SHALL define which parts can run where.</w:t>
      </w:r>
      <w:r>
        <w:t xml:space="preserve"> </w:t>
      </w:r>
      <w:r>
        <w:rPr>
          <w:rStyle w:val="VerbatimChar"/>
        </w:rPr>
        <w:t xml:space="preserve">LocationId</w:t>
      </w:r>
      <w:r>
        <w:t xml:space="preserve"> </w:t>
      </w:r>
      <w:r>
        <w:t xml:space="preserve">SHALL accept</w:t>
      </w:r>
      <w:r>
        <w:t xml:space="preserve"> </w:t>
      </w:r>
      <w:r>
        <w:rPr>
          <w:b/>
          <w:bCs/>
        </w:rPr>
        <w:t xml:space="preserve">any Location tier</w:t>
      </w:r>
      <w:r>
        <w:t xml:space="preserve"> </w:t>
      </w:r>
      <w:r>
        <w:t xml:space="preserve">— Area, WorkCenter, or Cell.</w:t>
      </w:r>
    </w:p>
    <w:p>
      <w:pPr>
        <w:pStyle w:val="BodyText"/>
      </w:pPr>
      <w:r>
        <w:t xml:space="preserve">When an operator scans a LOT into a specific Cell, the MES SHALL validate eligibility by walking UP the Location hierarchy from the scanned Cell:</w:t>
      </w:r>
    </w:p>
    <w:p>
      <w:pPr>
        <w:pStyle w:val="Compact"/>
        <w:numPr>
          <w:ilvl w:val="0"/>
          <w:numId w:val="1011"/>
        </w:numPr>
      </w:pPr>
      <w:r>
        <w:t xml:space="preserve">Check for a matching</w:t>
      </w:r>
      <w:r>
        <w:t xml:space="preserve"> </w:t>
      </w:r>
      <w:r>
        <w:rPr>
          <w:rStyle w:val="VerbatimChar"/>
        </w:rPr>
        <w:t xml:space="preserve">ItemLocation</w:t>
      </w:r>
      <w:r>
        <w:t xml:space="preserve"> </w:t>
      </w:r>
      <w:r>
        <w:t xml:space="preserve">row at the scanned Cell directly.</w:t>
      </w:r>
    </w:p>
    <w:p>
      <w:pPr>
        <w:pStyle w:val="Compact"/>
        <w:numPr>
          <w:ilvl w:val="0"/>
          <w:numId w:val="1011"/>
        </w:numPr>
      </w:pPr>
      <w:r>
        <w:t xml:space="preserve">If none, check at the Cell’s parent WorkCenter (if a WorkCenter tier exists between Cell and Area).</w:t>
      </w:r>
    </w:p>
    <w:p>
      <w:pPr>
        <w:pStyle w:val="Compact"/>
        <w:numPr>
          <w:ilvl w:val="0"/>
          <w:numId w:val="1011"/>
        </w:numPr>
      </w:pPr>
      <w:r>
        <w:t xml:space="preserve">If none, check at the parent Area.</w:t>
      </w:r>
    </w:p>
    <w:p>
      <w:pPr>
        <w:pStyle w:val="Compact"/>
        <w:numPr>
          <w:ilvl w:val="0"/>
          <w:numId w:val="1011"/>
        </w:numPr>
      </w:pPr>
      <w:r>
        <w:t xml:space="preserve">If none, check at the Site.</w:t>
      </w:r>
    </w:p>
    <w:p>
      <w:pPr>
        <w:pStyle w:val="Compact"/>
        <w:numPr>
          <w:ilvl w:val="0"/>
          <w:numId w:val="1011"/>
        </w:numPr>
      </w:pPr>
      <w:r>
        <w:t xml:space="preserve">If no match is found anywhere in the chain, the MES SHALL reject the scan-in with a clear error message.</w:t>
      </w:r>
    </w:p>
    <w:p>
      <w:pPr>
        <w:pStyle w:val="FirstParagraph"/>
      </w:pPr>
      <w:r>
        <w:t xml:space="preserve">The helper proc</w:t>
      </w:r>
      <w:r>
        <w:t xml:space="preserve"> </w:t>
      </w:r>
      <w:r>
        <w:rPr>
          <w:rStyle w:val="VerbatimChar"/>
        </w:rPr>
        <w:t xml:space="preserve">Parts.ItemLocation_IsEligible(@ItemId, @CellLocationId)</w:t>
      </w:r>
      <w:r>
        <w:t xml:space="preserve"> </w:t>
      </w:r>
      <w:r>
        <w:t xml:space="preserve">SHALL encapsulate this walk. It returns</w:t>
      </w:r>
      <w:r>
        <w:t xml:space="preserve"> </w:t>
      </w:r>
      <w:r>
        <w:rPr>
          <w:rStyle w:val="VerbatimChar"/>
        </w:rPr>
        <w:t xml:space="preserve">IsEligible BIT</w:t>
      </w:r>
      <w:r>
        <w:t xml:space="preserve"> </w:t>
      </w:r>
      <w:r>
        <w:t xml:space="preserve">+ the resolved</w:t>
      </w:r>
      <w:r>
        <w:t xml:space="preserve"> </w:t>
      </w:r>
      <w:r>
        <w:rPr>
          <w:rStyle w:val="VerbatimChar"/>
        </w:rPr>
        <w:t xml:space="preserve">ItemLocationId</w:t>
      </w:r>
      <w:r>
        <w:t xml:space="preserve"> </w:t>
      </w:r>
      <w:r>
        <w:t xml:space="preserve">(of the matching row, whichever tier) + the matching</w:t>
      </w:r>
      <w:r>
        <w:t xml:space="preserve"> </w:t>
      </w:r>
      <w:r>
        <w:rPr>
          <w:rStyle w:val="VerbatimChar"/>
        </w:rPr>
        <w:t xml:space="preserve">LocationId</w:t>
      </w:r>
      <w:r>
        <w:t xml:space="preserve"> </w:t>
      </w:r>
      <w:r>
        <w:t xml:space="preserve">tier, so callers can pick up the consumption metadata from the matching row.</w:t>
      </w:r>
    </w:p>
    <w:p>
      <w:pPr>
        <w:pStyle w:val="BodyText"/>
      </w:pPr>
      <w:r>
        <w:t xml:space="preserve">Engineering configures eligibility at the coarsest appropriate tier — e.g.,</w:t>
      </w:r>
      <w:r>
        <w:t xml:space="preserve"> </w:t>
      </w:r>
      <w:r>
        <w:t xml:space="preserve">“Part 5G0 eligible across all of Die Cast Area”</w:t>
      </w:r>
      <w:r>
        <w:t xml:space="preserve"> </w:t>
      </w:r>
      <w:r>
        <w:t xml:space="preserve">is one row, not one row per Cell. Engineering MAY also declare Cell-specific overrides (the Cell-level row takes precedence because it matches first).</w:t>
      </w:r>
    </w:p>
    <w:p>
      <w:pPr>
        <w:pStyle w:val="BodyText"/>
      </w:pPr>
      <w:r>
        <w:t xml:space="preserve">(FRS 3.4.7)</w:t>
      </w:r>
    </w:p>
    <w:bookmarkEnd w:id="79"/>
    <w:bookmarkStart w:id="80" w:name="fds-03-015-eligibility-management-mvp"/>
    <w:p>
      <w:pPr>
        <w:pStyle w:val="Heading4"/>
      </w:pPr>
      <w:r>
        <w:t xml:space="preserve">FDS-03-015 — Eligibility Management —</w:t>
      </w:r>
      <w:r>
        <w:t xml:space="preserve"> </w:t>
      </w:r>
      <w:r>
        <w:rPr>
          <w:rStyle w:val="VerbatimChar"/>
        </w:rPr>
        <w:t xml:space="preserve">MVP</w:t>
      </w:r>
    </w:p>
    <w:p>
      <w:pPr>
        <w:pStyle w:val="FirstParagraph"/>
      </w:pPr>
      <w:r>
        <w:t xml:space="preserve">Engineering users SHALL be able to add, update, and remove</w:t>
      </w:r>
      <w:r>
        <w:t xml:space="preserve"> </w:t>
      </w:r>
      <w:r>
        <w:rPr>
          <w:rStyle w:val="VerbatimChar"/>
        </w:rPr>
        <w:t xml:space="preserve">ItemLocation</w:t>
      </w:r>
      <w:r>
        <w:t xml:space="preserve"> </w:t>
      </w:r>
      <w:r>
        <w:t xml:space="preserve">rows via the Configuration Tool Eligibility screen. The screen SHALL let the user pick the target Location at any tier (Area / WorkCenter / Cell) when creating a row. Consumption metadata (Min/Max/Default/IsConsumptionPoint) inputs are shown whenever</w:t>
      </w:r>
      <w:r>
        <w:t xml:space="preserve"> </w:t>
      </w:r>
      <w:r>
        <w:rPr>
          <w:rStyle w:val="VerbatimChar"/>
        </w:rPr>
        <w:t xml:space="preserve">IsConsumptionPoint</w:t>
      </w:r>
      <w:r>
        <w:t xml:space="preserve"> </w:t>
      </w:r>
      <w:r>
        <w:t xml:space="preserve">is enabled. Changes SHALL be logged to</w:t>
      </w:r>
      <w:r>
        <w:t xml:space="preserve"> </w:t>
      </w:r>
      <w:r>
        <w:rPr>
          <w:rStyle w:val="VerbatimChar"/>
        </w:rPr>
        <w:t xml:space="preserve">Audit.ConfigLog</w:t>
      </w:r>
      <w:r>
        <w:t xml:space="preserve">.</w:t>
      </w:r>
    </w:p>
    <w:bookmarkEnd w:id="80"/>
    <w:bookmarkStart w:id="81" w:name="Xf59a26dfabb91df1ea6ee66f1a6828e9d5b5da2"/>
    <w:p>
      <w:pPr>
        <w:pStyle w:val="Heading4"/>
      </w:pPr>
      <w:r>
        <w:t xml:space="preserve">FDS-03-018 — Consumption Metadata on Item-Location Eligibility —</w:t>
      </w:r>
      <w:r>
        <w:t xml:space="preserve"> </w:t>
      </w:r>
      <w:r>
        <w:rPr>
          <w:rStyle w:val="VerbatimChar"/>
        </w:rPr>
        <w:t xml:space="preserve">MVP</w:t>
      </w:r>
    </w:p>
    <w:p>
      <w:pPr>
        <w:pStyle w:val="FirstParagraph"/>
      </w:pP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FDS-03-019 per-Item MaxParts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the matched tier consumes this Item (input);</w:t>
            </w:r>
            <w:r>
              <w:t xml:space="preserve"> </w:t>
            </w:r>
            <w:r>
              <w:rPr>
                <w:rStyle w:val="VerbatimChar"/>
              </w:rPr>
              <w:t xml:space="preserve">0</w:t>
            </w:r>
            <w:r>
              <w:t xml:space="preserve"> </w:t>
            </w:r>
            <w:r>
              <w:t xml:space="preserve">= produces this Item (output) or eligibility-only</w:t>
            </w:r>
          </w:p>
        </w:tc>
      </w:tr>
    </w:tbl>
    <w:p>
      <w:pPr>
        <w:pStyle w:val="BodyText"/>
      </w:pPr>
      <w:r>
        <w:rPr>
          <w:b/>
          <w:bCs/>
        </w:rPr>
        <w:t xml:space="preserve">Interaction with hierarchy cascade (FDS-03-014):</w:t>
      </w:r>
      <w:r>
        <w:t xml:space="preserve"> </w:t>
      </w:r>
      <w:r>
        <w:t xml:space="preserve">Consumption metadata lives on the specific</w:t>
      </w:r>
      <w:r>
        <w:t xml:space="preserve"> </w:t>
      </w:r>
      <w:r>
        <w:rPr>
          <w:rStyle w:val="VerbatimChar"/>
        </w:rPr>
        <w:t xml:space="preserve">ItemLocation</w:t>
      </w:r>
      <w:r>
        <w:t xml:space="preserve"> </w:t>
      </w:r>
      <w:r>
        <w:t xml:space="preserve">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81"/>
    <w:bookmarkEnd w:id="82"/>
    <w:bookmarkStart w:id="88" w:name="container-configuration"/>
    <w:p>
      <w:pPr>
        <w:pStyle w:val="Heading3"/>
      </w:pPr>
      <w:r>
        <w:t xml:space="preserve">3.6 Container Configuration</w:t>
      </w:r>
    </w:p>
    <w:bookmarkStart w:id="83"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3"/>
    <w:bookmarkStart w:id="84"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The trigger varies by line type:</w:t>
      </w:r>
    </w:p>
    <w:p>
      <w:pPr>
        <w:pStyle w:val="Compact"/>
        <w:numPr>
          <w:ilvl w:val="0"/>
          <w:numId w:val="1012"/>
        </w:numPr>
      </w:pPr>
      <w:r>
        <w:rPr>
          <w:b/>
          <w:bCs/>
        </w:rPr>
        <w:t xml:space="preserve">Serialized lines</w:t>
      </w:r>
      <w:r>
        <w:t xml:space="preserve"> </w:t>
      </w:r>
      <w:r>
        <w:t xml:space="preserve">— closure is driven by part count, tracked per serial assignment via the MIP handshake.</w:t>
      </w:r>
    </w:p>
    <w:p>
      <w:pPr>
        <w:pStyle w:val="Compact"/>
        <w:numPr>
          <w:ilvl w:val="0"/>
          <w:numId w:val="1012"/>
        </w:numPr>
      </w:pPr>
      <w:r>
        <w:rPr>
          <w:b/>
          <w:bCs/>
        </w:rPr>
        <w:t xml:space="preserve">Non-serialized lines</w:t>
      </w:r>
      <w:r>
        <w:t xml:space="preserve"> </w:t>
      </w:r>
      <w:r>
        <w:t xml:space="preserve">— closure is</w:t>
      </w:r>
      <w:r>
        <w:t xml:space="preserve"> </w:t>
      </w:r>
      <w:r>
        <w:rPr>
          <w:b/>
          <w:bCs/>
        </w:rPr>
        <w:t xml:space="preserve">two-stage</w:t>
      </w:r>
      <w:r>
        <w:t xml:space="preserve">: a tray validates first (per</w:t>
      </w:r>
      <w:r>
        <w:t xml:space="preserve"> </w:t>
      </w:r>
      <w:r>
        <w:rPr>
          <w:rStyle w:val="VerbatimChar"/>
        </w:rPr>
        <w:t xml:space="preserve">Parts.ContainerConfig.ClosureMethod</w:t>
      </w:r>
      <w:r>
        <w:t xml:space="preserve"> </w:t>
      </w:r>
      <w:r>
        <w:t xml:space="preserve">—</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and the container’s running parts count increments on every tray pass. The container is full when the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 See FDS-06-014 for the per-method tray-level mechanics and the container-accumulation rules.</w:t>
      </w:r>
    </w:p>
    <w:p>
      <w:pPr>
        <w:pStyle w:val="FirstParagraph"/>
      </w:pP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4"/>
    <w:bookmarkStart w:id="85" w:name="Xa4c85b3261982d910aa5678ba451b210a86380a"/>
    <w:p>
      <w:pPr>
        <w:pStyle w:val="Heading4"/>
      </w:pPr>
      <w:r>
        <w:t xml:space="preserve">FDS-03-019 — Per-Item Per-Location Piece Cap —</w:t>
      </w:r>
      <w:r>
        <w:t xml:space="preserve"> </w:t>
      </w:r>
      <w:r>
        <w:rPr>
          <w:rStyle w:val="VerbatimChar"/>
        </w:rPr>
        <w:t xml:space="preserve">MVP</w:t>
      </w:r>
    </w:p>
    <w:p>
      <w:pPr>
        <w:pStyle w:val="FirstParagraph"/>
      </w:pPr>
      <w:r>
        <w:rPr>
          <w:rStyle w:val="VerbatimChar"/>
        </w:rPr>
        <w:t xml:space="preserve">Parts.Item.MaxParts INT NULL</w:t>
      </w:r>
      <w:r>
        <w:t xml:space="preserve"> </w:t>
      </w:r>
      <w:r>
        <w:t xml:space="preserve">SHALL hard-cap the total pieces of this Item allowed at any single Location at any one time. Scan-in mutations (LotMovement of a LOT to a Cell) SHALL:</w:t>
      </w:r>
    </w:p>
    <w:p>
      <w:pPr>
        <w:pStyle w:val="Compact"/>
        <w:numPr>
          <w:ilvl w:val="0"/>
          <w:numId w:val="1013"/>
        </w:numPr>
      </w:pPr>
      <w:r>
        <w:t xml:space="preserve">Sum existing pieces of this Item across all non-Closed LOTs currently at the destination Location.</w:t>
      </w:r>
    </w:p>
    <w:p>
      <w:pPr>
        <w:pStyle w:val="Compact"/>
        <w:numPr>
          <w:ilvl w:val="0"/>
          <w:numId w:val="1013"/>
        </w:numPr>
      </w:pPr>
      <w:r>
        <w:t xml:space="preserve">Add the incoming LOT’s piece count.</w:t>
      </w:r>
    </w:p>
    <w:p>
      <w:pPr>
        <w:pStyle w:val="Compact"/>
        <w:numPr>
          <w:ilvl w:val="0"/>
          <w:numId w:val="1013"/>
        </w:numPr>
      </w:pPr>
      <w:r>
        <w:t xml:space="preserve">Reject when the result would exceed</w:t>
      </w:r>
      <w:r>
        <w:t xml:space="preserve"> </w:t>
      </w:r>
      <w:r>
        <w:rPr>
          <w:rStyle w:val="VerbatimChar"/>
        </w:rPr>
        <w:t xml:space="preserve">Parts.Item.MaxParts</w:t>
      </w:r>
      <w:r>
        <w:t xml:space="preserve">.</w:t>
      </w:r>
    </w:p>
    <w:p>
      <w:pPr>
        <w:pStyle w:val="FirstParagraph"/>
      </w:pPr>
      <w:r>
        <w:t xml:space="preserve">Rationale: MPP reports operators over-scanning material into Cells to minimise re-scans; a configurable per-Item per-Location cap blocks the workaround at the source-of-truth level (the Part), not at the container-packing level.</w:t>
      </w:r>
      <w:r>
        <w:t xml:space="preserve"> </w:t>
      </w:r>
      <w:r>
        <w:rPr>
          <w:rStyle w:val="VerbatimChar"/>
        </w:rPr>
        <w:t xml:space="preserve">MaxParts</w:t>
      </w:r>
      <w:r>
        <w:t xml:space="preserve"> </w:t>
      </w:r>
      <w:r>
        <w:t xml:space="preserve">is NULL-capable for Items that don’t require a hard cap.</w:t>
      </w:r>
    </w:p>
    <w:p>
      <w:pPr>
        <w:pStyle w:val="BodyText"/>
      </w:pPr>
      <w:r>
        <w:rPr>
          <w:b/>
          <w:bCs/>
        </w:rPr>
        <w:t xml:space="preserve">Orthogonal to FDS-03-020</w:t>
      </w:r>
      <w:r>
        <w:t xml:space="preserve"> </w:t>
      </w:r>
      <w:r>
        <w:t xml:space="preserve">(</w:t>
      </w:r>
      <w:r>
        <w:rPr>
          <w:rStyle w:val="VerbatimChar"/>
        </w:rPr>
        <w:t xml:space="preserve">LinesideLimit</w:t>
      </w:r>
      <w:r>
        <w:t xml:space="preserve"> </w:t>
      </w:r>
      <w:r>
        <w:t xml:space="preserve">LocationAttribute, Location-scoped across all Items):</w:t>
      </w:r>
      <w:r>
        <w:t xml:space="preserve"> </w:t>
      </w:r>
      <w:r>
        <w:rPr>
          <w:rStyle w:val="VerbatimChar"/>
        </w:rPr>
        <w:t xml:space="preserve">MaxParts</w:t>
      </w:r>
      <w:r>
        <w:t xml:space="preserve"> </w:t>
      </w:r>
      <w:r>
        <w:t xml:space="preserve">caps one Item at one Location;</w:t>
      </w:r>
      <w:r>
        <w:t xml:space="preserve"> </w:t>
      </w:r>
      <w:r>
        <w:rPr>
          <w:rStyle w:val="VerbatimChar"/>
        </w:rPr>
        <w:t xml:space="preserve">LinesideLimit</w:t>
      </w:r>
      <w:r>
        <w:t xml:space="preserve"> </w:t>
      </w:r>
      <w:r>
        <w:t xml:space="preserve">caps the total staging capacity of a Location across everything. Both fire; either can reject the scan-in.</w:t>
      </w:r>
    </w:p>
    <w:bookmarkEnd w:id="85"/>
    <w:bookmarkStart w:id="86" w:name="fds-03-020-lineside-inventory-cap-mvp"/>
    <w:p>
      <w:pPr>
        <w:pStyle w:val="Heading4"/>
      </w:pPr>
      <w:r>
        <w:t xml:space="preserve">FDS-03-020 — Lineside Inventory Cap —</w:t>
      </w:r>
      <w:r>
        <w:t xml:space="preserve"> </w:t>
      </w:r>
      <w:r>
        <w:rPr>
          <w:rStyle w:val="VerbatimChar"/>
        </w:rPr>
        <w:t xml:space="preserve">MVP</w:t>
      </w:r>
    </w:p>
    <w:p>
      <w:pPr>
        <w:pStyle w:val="FirstParagraph"/>
      </w:pP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that requirement is a</w:t>
      </w:r>
      <w:r>
        <w:t xml:space="preserve"> </w:t>
      </w:r>
      <w:r>
        <w:rPr>
          <w:b/>
          <w:bCs/>
        </w:rPr>
        <w:t xml:space="preserve">per-Item LOT-volume cap</w:t>
      </w:r>
      <w:r>
        <w:t xml:space="preserve"> </w:t>
      </w:r>
      <w:r>
        <w:t xml:space="preserve">at a Cell — limiting how many pieces of one Item can sit there across all open LOTs of that Item.</w:t>
      </w:r>
      <w:r>
        <w:t xml:space="preserve"> </w:t>
      </w:r>
      <w:r>
        <w:rPr>
          <w:rStyle w:val="VerbatimChar"/>
        </w:rPr>
        <w:t xml:space="preserve">LinesideLimit</w:t>
      </w:r>
      <w:r>
        <w:t xml:space="preserve"> </w:t>
      </w:r>
      <w:r>
        <w:t xml:space="preserve">(this requirement) is a</w:t>
      </w:r>
      <w:r>
        <w:t xml:space="preserve"> </w:t>
      </w:r>
      <w:r>
        <w:rPr>
          <w:b/>
          <w:bCs/>
        </w:rPr>
        <w:t xml:space="preserve">per-Cell total-volume cap</w:t>
      </w:r>
      <w:r>
        <w:t xml:space="preserve"> </w:t>
      </w:r>
      <w:r>
        <w:t xml:space="preserve">— limiting all pieces across all Items at the Cell. Both fire on every scan-in; either can reject 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86"/>
    <w:bookmarkStart w:id="87"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87"/>
    <w:bookmarkEnd w:id="88"/>
    <w:bookmarkEnd w:id="89"/>
    <w:bookmarkStart w:id="103" w:name="X753155c274ccde66c6391b38716e329f9677b2d"/>
    <w:p>
      <w:pPr>
        <w:pStyle w:val="Heading2"/>
      </w:pPr>
      <w:r>
        <w:t xml:space="preserve">4. User Identity, Authentication &amp; Elevation —</w:t>
      </w:r>
      <w:r>
        <w:t xml:space="preserve"> </w:t>
      </w:r>
      <w:r>
        <w:rPr>
          <w:rStyle w:val="VerbatimChar"/>
        </w:rPr>
        <w:t xml:space="preserve">MVP</w:t>
      </w:r>
    </w:p>
    <w:p>
      <w:pPr>
        <w:pStyle w:val="FirstParagraph"/>
      </w:pP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w:t>
      </w:r>
    </w:p>
    <w:bookmarkStart w:id="94" w:name="identity-model"/>
    <w:p>
      <w:pPr>
        <w:pStyle w:val="Heading3"/>
      </w:pPr>
      <w:r>
        <w:t xml:space="preserve">4.1 Identity Model</w:t>
      </w:r>
    </w:p>
    <w:bookmarkStart w:id="90"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90"/>
    <w:bookmarkStart w:id="91"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14"/>
        </w:numPr>
      </w:pPr>
      <w:r>
        <w:t xml:space="preserve">another operator enters different initials, or</w:t>
      </w:r>
    </w:p>
    <w:p>
      <w:pPr>
        <w:pStyle w:val="Compact"/>
        <w:numPr>
          <w:ilvl w:val="0"/>
          <w:numId w:val="1014"/>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91"/>
    <w:bookmarkStart w:id="92" w:name="Xae1f8dd5399bb0a0d8ab504be3dfcefdde6bf81"/>
    <w:p>
      <w:pPr>
        <w:pStyle w:val="Heading4"/>
      </w:pPr>
      <w:r>
        <w:t xml:space="preserve">FDS-04-003 — Terminal Mode: Dedicated vs Shared —</w:t>
      </w:r>
      <w:r>
        <w:t xml:space="preserve"> </w:t>
      </w:r>
      <w:r>
        <w:rPr>
          <w:rStyle w:val="VerbatimChar"/>
        </w:rPr>
        <w:t xml:space="preserve">MVP</w:t>
      </w:r>
    </w:p>
    <w:p>
      <w:pPr>
        <w:pStyle w:val="FirstParagraph"/>
      </w:pPr>
      <w:r>
        <w:t xml:space="preserve">Terminal mode is</w:t>
      </w:r>
      <w:r>
        <w:t xml:space="preserve"> </w:t>
      </w:r>
      <w:r>
        <w:rPr>
          <w:b/>
          <w:bCs/>
        </w:rPr>
        <w:t xml:space="preserve">derived from the Terminal Location’s parent tier</w:t>
      </w:r>
      <w:r>
        <w:t xml:space="preserve"> </w:t>
      </w:r>
      <w:r>
        <w:t xml:space="preserve">in the ISA-95 hierarchy per FDS-02-010 — it is not configured as a separate attribute.</w:t>
      </w:r>
    </w:p>
    <w:p>
      <w:pPr>
        <w:pStyle w:val="Compact"/>
        <w:numPr>
          <w:ilvl w:val="0"/>
          <w:numId w:val="1015"/>
        </w:numPr>
      </w:pPr>
      <w:r>
        <w:rPr>
          <w:b/>
          <w:bCs/>
        </w:rPr>
        <w:t xml:space="preserve">Dedicated terminals</w:t>
      </w:r>
      <w:r>
        <w:t xml:space="preserve"> </w:t>
      </w:r>
      <w:r>
        <w:t xml:space="preserve">(Terminal’s parent Location is a Cell). The Cell context is fixed, so presence context persists across idle gaps subject only to the 30-minute re-confirmation prompt. Initials do not clear unless explicitly changed.</w:t>
      </w:r>
    </w:p>
    <w:p>
      <w:pPr>
        <w:pStyle w:val="Compact"/>
        <w:numPr>
          <w:ilvl w:val="0"/>
          <w:numId w:val="1015"/>
        </w:numPr>
      </w:pPr>
      <w:r>
        <w:rPr>
          <w:b/>
          <w:bCs/>
        </w:rPr>
        <w:t xml:space="preserve">Shared terminals</w:t>
      </w:r>
      <w:r>
        <w:t xml:space="preserve"> </w:t>
      </w:r>
      <w:r>
        <w:t xml:space="preserve">(Terminal’s parent Location is a WorkCenter or Area; e.g., a Die Cast cabin or Trim Shop where one terminal serves multiple Cells). The presence context SHALL be requested on first action after any idle period longer than the presence-timeout, and SHALL also be re-prompted when the operator changes Cell context — by scan or dropdown — per FDS-02-009.</w:t>
      </w:r>
    </w:p>
    <w:bookmarkEnd w:id="92"/>
    <w:bookmarkStart w:id="93"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3"/>
    <w:bookmarkEnd w:id="94"/>
    <w:bookmarkStart w:id="97" w:name="event-attribution-on-mutations"/>
    <w:p>
      <w:pPr>
        <w:pStyle w:val="Heading3"/>
      </w:pPr>
      <w:r>
        <w:t xml:space="preserve">4.2 Event Attribution on Mutations</w:t>
      </w:r>
    </w:p>
    <w:bookmarkStart w:id="95"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95"/>
    <w:bookmarkStart w:id="96"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16"/>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16"/>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96"/>
    <w:bookmarkEnd w:id="97"/>
    <w:bookmarkStart w:id="102" w:name="elevation-model"/>
    <w:p>
      <w:pPr>
        <w:pStyle w:val="Heading3"/>
      </w:pPr>
      <w:r>
        <w:t xml:space="preserve">4.3 Elevation Model</w:t>
      </w:r>
    </w:p>
    <w:bookmarkStart w:id="98"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MVP screen design freezes):</w:t>
      </w:r>
    </w:p>
    <w:p>
      <w:pPr>
        <w:pStyle w:val="Compact"/>
        <w:numPr>
          <w:ilvl w:val="0"/>
          <w:numId w:val="1017"/>
        </w:numPr>
      </w:pPr>
      <w:r>
        <w:t xml:space="preserve">Place a LOT on hold</w:t>
      </w:r>
    </w:p>
    <w:p>
      <w:pPr>
        <w:pStyle w:val="Compact"/>
        <w:numPr>
          <w:ilvl w:val="0"/>
          <w:numId w:val="1017"/>
        </w:numPr>
      </w:pPr>
      <w:r>
        <w:t xml:space="preserve">Release a LOT from hold</w:t>
      </w:r>
    </w:p>
    <w:p>
      <w:pPr>
        <w:pStyle w:val="Compact"/>
        <w:numPr>
          <w:ilvl w:val="0"/>
          <w:numId w:val="1017"/>
        </w:numPr>
      </w:pPr>
      <w:r>
        <w:t xml:space="preserve">Override a vision or interlock failure</w:t>
      </w:r>
    </w:p>
    <w:p>
      <w:pPr>
        <w:pStyle w:val="Compact"/>
        <w:numPr>
          <w:ilvl w:val="0"/>
          <w:numId w:val="1017"/>
        </w:numPr>
      </w:pPr>
      <w:r>
        <w:t xml:space="preserve">Scrap a LOT or container</w:t>
      </w:r>
    </w:p>
    <w:p>
      <w:pPr>
        <w:pStyle w:val="Compact"/>
        <w:numPr>
          <w:ilvl w:val="0"/>
          <w:numId w:val="1017"/>
        </w:numPr>
      </w:pPr>
      <w:r>
        <w:t xml:space="preserve">Void or reprint a shipping label</w:t>
      </w:r>
    </w:p>
    <w:p>
      <w:pPr>
        <w:pStyle w:val="Compact"/>
        <w:numPr>
          <w:ilvl w:val="0"/>
          <w:numId w:val="1017"/>
        </w:numPr>
      </w:pPr>
      <w:r>
        <w:t xml:space="preserve">Merge or split LOTs outside of the normal sort workflow</w:t>
      </w:r>
    </w:p>
    <w:p>
      <w:pPr>
        <w:pStyle w:val="Compact"/>
        <w:numPr>
          <w:ilvl w:val="0"/>
          <w:numId w:val="1017"/>
        </w:numPr>
      </w:pPr>
      <w:r>
        <w:t xml:space="preserve">Issue or close a maintenance work order against a tool</w:t>
      </w:r>
    </w:p>
    <w:p>
      <w:pPr>
        <w:pStyle w:val="Compact"/>
        <w:numPr>
          <w:ilvl w:val="0"/>
          <w:numId w:val="1017"/>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7"/>
        </w:numPr>
      </w:pPr>
      <w:r>
        <w:t xml:space="preserve">Adjust inventory via the admin remove-item action</w:t>
      </w:r>
    </w:p>
    <w:p>
      <w:pPr>
        <w:pStyle w:val="Compact"/>
        <w:numPr>
          <w:ilvl w:val="0"/>
          <w:numId w:val="1017"/>
        </w:numPr>
      </w:pPr>
      <w:r>
        <w:t xml:space="preserve">BOM substitute override at material scan-in (UJ-09 — strict BOM check fails, supervisor approves a one-shot substitute; the override event records to</w:t>
      </w:r>
      <w:r>
        <w:t xml:space="preserve"> </w:t>
      </w:r>
      <w:r>
        <w:rPr>
          <w:rStyle w:val="VerbatimChar"/>
        </w:rPr>
        <w:t xml:space="preserve">Audit.OperationLog</w:t>
      </w:r>
      <w:r>
        <w:t xml:space="preserve"> </w:t>
      </w:r>
      <w:r>
        <w:t xml:space="preserve">for traceability)</w:t>
      </w:r>
    </w:p>
    <w:bookmarkEnd w:id="98"/>
    <w:bookmarkStart w:id="99"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99"/>
    <w:bookmarkStart w:id="100" w:name="fds-04-009-screen-level-security"/>
    <w:p>
      <w:pPr>
        <w:pStyle w:val="Heading4"/>
      </w:pPr>
      <w:r>
        <w:t xml:space="preserve">FDS-04-009 — Screen-Level Security</w:t>
      </w:r>
    </w:p>
    <w:p>
      <w:pPr>
        <w:pStyle w:val="Compact"/>
        <w:numPr>
          <w:ilvl w:val="0"/>
          <w:numId w:val="1018"/>
        </w:numPr>
      </w:pPr>
      <w:r>
        <w:t xml:space="preserve">Shop-floor terminal screens SHALL be accessible without interactive authentication; operator presence is sufficient.</w:t>
      </w:r>
    </w:p>
    <w:p>
      <w:pPr>
        <w:pStyle w:val="Compact"/>
        <w:numPr>
          <w:ilvl w:val="0"/>
          <w:numId w:val="1018"/>
        </w:numPr>
      </w:pPr>
      <w:r>
        <w:t xml:space="preserve">Shop-floor screens SHALL NOT expose Configuration Tool or master-data functions.</w:t>
      </w:r>
    </w:p>
    <w:p>
      <w:pPr>
        <w:pStyle w:val="Compact"/>
        <w:numPr>
          <w:ilvl w:val="0"/>
          <w:numId w:val="1018"/>
        </w:numPr>
      </w:pPr>
      <w:r>
        <w:t xml:space="preserve">Configuration Tool, Supervisor dashboards, and Engineering screens SHALL require AD-backed authentication on page entry.</w:t>
      </w:r>
    </w:p>
    <w:p>
      <w:pPr>
        <w:pStyle w:val="Compact"/>
        <w:numPr>
          <w:ilvl w:val="0"/>
          <w:numId w:val="1018"/>
        </w:numPr>
      </w:pPr>
      <w:r>
        <w:t xml:space="preserve">Elevated action controls (buttons, menu items) SHALL be visible on shop-floor screens but SHALL trigger the FDS-04-007 prompt on activation. Unauthorised users cancel out.</w:t>
      </w:r>
    </w:p>
    <w:bookmarkEnd w:id="100"/>
    <w:bookmarkStart w:id="101"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101"/>
    <w:bookmarkEnd w:id="102"/>
    <w:bookmarkEnd w:id="103"/>
    <w:bookmarkStart w:id="151" w:name="lot-lifecycle-genealogy-mvp"/>
    <w:p>
      <w:pPr>
        <w:pStyle w:val="Heading2"/>
      </w:pPr>
      <w:r>
        <w:t xml:space="preserve">5. LOT Lifecycle &amp; Genealogy —</w:t>
      </w:r>
      <w:r>
        <w:t xml:space="preserve"> </w:t>
      </w:r>
      <w:r>
        <w:rPr>
          <w:rStyle w:val="VerbatimChar"/>
        </w:rPr>
        <w:t xml:space="preserve">MVP</w:t>
      </w:r>
    </w:p>
    <w:bookmarkStart w:id="110" w:name="lot-identity"/>
    <w:p>
      <w:pPr>
        <w:pStyle w:val="Heading3"/>
      </w:pPr>
      <w:r>
        <w:t xml:space="preserve">5.1 LOT Identity</w:t>
      </w:r>
    </w:p>
    <w:bookmarkStart w:id="104"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4"/>
    <w:bookmarkStart w:id="105"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05"/>
    <w:bookmarkStart w:id="106"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 Selection is constrained to Items eligible at the active Cell per FDS-02-012 (direct + BOM-derived eligibility).</w:t>
            </w:r>
          </w:p>
        </w:tc>
      </w:tr>
      <w:tr>
        <w:tc>
          <w:tcPr/>
          <w:p>
            <w:pPr>
              <w:pStyle w:val="Compact"/>
            </w:pPr>
            <w:r>
              <w:t xml:space="preserve">LotOriginTypeId</w:t>
            </w:r>
          </w:p>
        </w:tc>
        <w:tc>
          <w:tcPr/>
          <w:p>
            <w:pPr>
              <w:pStyle w:val="Compact"/>
            </w:pPr>
            <w:r>
              <w:t xml:space="preserve">System-determined</w:t>
            </w:r>
          </w:p>
        </w:tc>
        <w:tc>
          <w:tcPr/>
          <w:p>
            <w:pPr>
              <w:pStyle w:val="Compact"/>
            </w:pPr>
            <w:r>
              <w:rPr>
                <w:rStyle w:val="VerbatimChar"/>
              </w:rPr>
              <w:t xml:space="preserve">Manufactured</w:t>
            </w:r>
            <w:r>
              <w:t xml:space="preserve">,</w:t>
            </w:r>
            <w:r>
              <w:t xml:space="preserve"> </w:t>
            </w:r>
            <w:r>
              <w:rPr>
                <w:rStyle w:val="VerbatimChar"/>
              </w:rPr>
              <w:t xml:space="preserve">Received</w:t>
            </w:r>
            <w:r>
              <w:t xml:space="preserve">, or</w:t>
            </w:r>
            <w:r>
              <w:t xml:space="preserve"> </w:t>
            </w:r>
            <w:r>
              <w:rPr>
                <w:rStyle w:val="VerbatimChar"/>
              </w:rPr>
              <w:t xml:space="preserve">ReceivedOffsite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w:t>
            </w:r>
            <w:r>
              <w:rPr>
                <w:rStyle w:val="VerbatimChar"/>
              </w:rPr>
              <w:t xml:space="preserve">Good</w:t>
            </w:r>
            <w:r>
              <w:t xml:space="preserve">,</w:t>
            </w:r>
            <w:r>
              <w:t xml:space="preserve"> </w:t>
            </w:r>
            <w:r>
              <w:rPr>
                <w:rStyle w:val="VerbatimChar"/>
              </w:rPr>
              <w:t xml:space="preserve">Hold</w:t>
            </w:r>
            <w:r>
              <w:t xml:space="preserve">,</w:t>
            </w:r>
            <w:r>
              <w:t xml:space="preserve"> </w:t>
            </w:r>
            <w:r>
              <w:rPr>
                <w:rStyle w:val="VerbatimChar"/>
              </w:rPr>
              <w:t xml:space="preserve">Scrap</w:t>
            </w:r>
            <w:r>
              <w:t xml:space="preserve">,</w:t>
            </w:r>
            <w:r>
              <w:t xml:space="preserve"> </w:t>
            </w:r>
            <w:r>
              <w:rPr>
                <w:rStyle w:val="VerbatimChar"/>
              </w:rPr>
              <w:t xml:space="preserve">Closed</w:t>
            </w:r>
            <w:r>
              <w:t xml:space="preserve">)</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 populated from</w:t>
            </w:r>
            <w:r>
              <w:t xml:space="preserve"> </w:t>
            </w:r>
            <w:r>
              <w:rPr>
                <w:rStyle w:val="VerbatimChar"/>
              </w:rPr>
              <w:t xml:space="preserve">Parts.Item.MaxLotSize</w:t>
            </w:r>
            <w:r>
              <w:t xml:space="preserve"> </w:t>
            </w:r>
            <w:r>
              <w:t xml:space="preserve">(semantically</w:t>
            </w:r>
            <w:r>
              <w:t xml:space="preserve"> </w:t>
            </w:r>
            <w:r>
              <w:rPr>
                <w:rStyle w:val="VerbatimChar"/>
              </w:rPr>
              <w:t xml:space="preserve">PartsPerBasket</w:t>
            </w:r>
            <w:r>
              <w:t xml:space="preserve"> </w:t>
            </w:r>
            <w:r>
              <w:t xml:space="preserve">— one LOT = one basket, so the basket capacity caps the LOT)</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06"/>
    <w:bookmarkStart w:id="107" w:name="X8d9ff82f8b89c633c4c272e4683ae044ed61a29"/>
    <w:p>
      <w:pPr>
        <w:pStyle w:val="Heading4"/>
      </w:pPr>
      <w:r>
        <w:t xml:space="preserve">FDS-05-034 — Die-Cast-Origin Tool + Cavity Required on Lot Create —</w:t>
      </w:r>
      <w:r>
        <w:t xml:space="preserve"> </w:t>
      </w:r>
      <w:r>
        <w:rPr>
          <w:rStyle w:val="VerbatimChar"/>
        </w:rPr>
        <w:t xml:space="preserve">MVP</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19"/>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19"/>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19"/>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w:t>
      </w:r>
    </w:p>
    <w:bookmarkEnd w:id="107"/>
    <w:bookmarkStart w:id="108" w:name="X05b741d05970e25d02be4becdd6113e1b162724"/>
    <w:p>
      <w:pPr>
        <w:pStyle w:val="Heading4"/>
      </w:pPr>
      <w:r>
        <w:t xml:space="preserve">FDS-05-035 — Tools System of Record — On Lot, Not On ProductionEvent —</w:t>
      </w:r>
      <w:r>
        <w:t xml:space="preserve"> </w:t>
      </w:r>
      <w:r>
        <w:rPr>
          <w:rStyle w:val="VerbatimChar"/>
        </w:rPr>
        <w:t xml:space="preserve">MVP</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bookmarkEnd w:id="108"/>
    <w:bookmarkStart w:id="109" w:name="X2df761b2ce3b9a4fcd96a6d8e1a760d986291e2"/>
    <w:p>
      <w:pPr>
        <w:pStyle w:val="Heading4"/>
      </w:pPr>
      <w:r>
        <w:t xml:space="preserve">FDS-05-031 — LOT Computed Quantities (TotalInProcess, InventoryAvailable) —</w:t>
      </w:r>
      <w:r>
        <w:t xml:space="preserve"> </w:t>
      </w:r>
      <w:r>
        <w:rPr>
          <w:rStyle w:val="VerbatimChar"/>
        </w:rPr>
        <w:t xml:space="preserve">MVP</w:t>
      </w:r>
    </w:p>
    <w:p>
      <w:pPr>
        <w:pStyle w:val="FirstParagraph"/>
      </w:pPr>
      <w:r>
        <w:t xml:space="preserve">The Lot Details screen SHALL surface two derived quantities in the header:</w:t>
      </w:r>
    </w:p>
    <w:p>
      <w:pPr>
        <w:pStyle w:val="Compact"/>
        <w:numPr>
          <w:ilvl w:val="0"/>
          <w:numId w:val="1020"/>
        </w:numPr>
      </w:pPr>
      <w:r>
        <w:rPr>
          <w:b/>
          <w:bCs/>
        </w:rPr>
        <w:t xml:space="preserve">TotalInProcess</w:t>
      </w:r>
      <w:r>
        <w:t xml:space="preserve"> </w:t>
      </w:r>
      <w:r>
        <w:t xml:space="preserve">— sum of pieces currently held at all non-terminal workstations (pieces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20"/>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SHALL be computed via a</w:t>
      </w:r>
      <w:r>
        <w:t xml:space="preserve"> </w:t>
      </w:r>
      <w:r>
        <w:rPr>
          <w:b/>
          <w:bCs/>
        </w:rPr>
        <w:t xml:space="preserve">SQL view</w:t>
      </w:r>
      <w:r>
        <w:rPr>
          <w:b/>
          <w:bCs/>
        </w:rPr>
        <w:t xml:space="preserve"> </w:t>
      </w:r>
      <w:r>
        <w:rPr>
          <w:rStyle w:val="VerbatimChar"/>
          <w:b/>
          <w:bCs/>
        </w:rPr>
        <w:t xml:space="preserve">Lots.v_LotDerivedQuantities</w:t>
      </w:r>
      <w:r>
        <w:t xml:space="preserve">, not materialized columns on</w:t>
      </w:r>
      <w:r>
        <w:t xml:space="preserve"> </w:t>
      </w:r>
      <w:r>
        <w:rPr>
          <w:rStyle w:val="VerbatimChar"/>
        </w:rPr>
        <w:t xml:space="preserve">Lots.Lot</w:t>
      </w:r>
      <w:r>
        <w:t xml:space="preserve">. The view projects</w:t>
      </w:r>
      <w:r>
        <w:t xml:space="preserve"> </w:t>
      </w:r>
      <w:r>
        <w:rPr>
          <w:rStyle w:val="VerbatimChar"/>
        </w:rPr>
        <w:t xml:space="preserve">(LotId, TotalInProcess, InventoryAvailable)</w:t>
      </w:r>
      <w:r>
        <w:t xml:space="preserve"> </w:t>
      </w:r>
      <w:r>
        <w:t xml:space="preserve">by joining</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 and</w:t>
      </w:r>
      <w:r>
        <w:t xml:space="preserve"> </w:t>
      </w:r>
      <w:r>
        <w:rPr>
          <w:rStyle w:val="VerbatimChar"/>
        </w:rPr>
        <w:t xml:space="preserve">Workorder.ConsumptionEvent</w:t>
      </w:r>
      <w:r>
        <w:t xml:space="preserve"> </w:t>
      </w:r>
      <w:r>
        <w:t xml:space="preserve">(consumed quantities). Read procs (e.g.,</w:t>
      </w:r>
      <w:r>
        <w:t xml:space="preserve"> </w:t>
      </w:r>
      <w:r>
        <w:rPr>
          <w:rStyle w:val="VerbatimChar"/>
        </w:rPr>
        <w:t xml:space="preserve">Lots.Lot_Get</w:t>
      </w:r>
      <w:r>
        <w:t xml:space="preserve">, Lot Details screen queries) SHALL join the view to the base</w:t>
      </w:r>
      <w:r>
        <w:t xml:space="preserve"> </w:t>
      </w:r>
      <w:r>
        <w:rPr>
          <w:rStyle w:val="VerbatimChar"/>
        </w:rPr>
        <w:t xml:space="preserve">Lots.Lot</w:t>
      </w:r>
      <w:r>
        <w:t xml:space="preserve"> </w:t>
      </w:r>
      <w:r>
        <w:t xml:space="preserve">table at read time.</w:t>
      </w:r>
    </w:p>
    <w:p>
      <w:pPr>
        <w:pStyle w:val="BodyText"/>
      </w:pPr>
      <w:r>
        <w:t xml:space="preserve">Rationale: view-based derivation keeps a single source of truth — the event tables — and eliminates drift between stored aggregates and the underlying events. No on-write maintenance code paths on every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mutation. If query performance becomes an issue post-MVP, the view MAY be replaced by an indexed view or materialized table without changing caller contracts.</w:t>
      </w:r>
    </w:p>
    <w:p>
      <w:pPr>
        <w:pStyle w:val="BodyText"/>
      </w:pPr>
      <w:r>
        <w:t xml:space="preserve">Legacy Flexware exposes these as header fields on its Lot Details screen.</w:t>
      </w:r>
    </w:p>
    <w:bookmarkEnd w:id="109"/>
    <w:bookmarkEnd w:id="110"/>
    <w:bookmarkStart w:id="114" w:name="lot-creation-workflows"/>
    <w:p>
      <w:pPr>
        <w:pStyle w:val="Heading3"/>
      </w:pPr>
      <w:r>
        <w:t xml:space="preserve">5.2 LOT Creation Workflows</w:t>
      </w:r>
    </w:p>
    <w:bookmarkStart w:id="111" w:name="X73ad30121c973d5d75ac3c447af18b3e31abffc"/>
    <w:p>
      <w:pPr>
        <w:pStyle w:val="Heading4"/>
      </w:pPr>
      <w:r>
        <w:t xml:space="preserve">FDS-05-004 — Manufactured LOT Creation (Die Cast)</w:t>
      </w:r>
    </w:p>
    <w:p>
      <w:pPr>
        <w:pStyle w:val="FirstParagraph"/>
      </w:pPr>
      <w:r>
        <w:t xml:space="preserve">At Die Cast, the operator SHALL:</w:t>
      </w:r>
    </w:p>
    <w:p>
      <w:pPr>
        <w:pStyle w:val="Compact"/>
        <w:numPr>
          <w:ilvl w:val="0"/>
          <w:numId w:val="1021"/>
        </w:numPr>
      </w:pPr>
      <w:r>
        <w:t xml:space="preserve">Fill a basket with parts from the active cavity of the die cast machine.</w:t>
      </w:r>
    </w:p>
    <w:p>
      <w:pPr>
        <w:pStyle w:val="Compact"/>
        <w:numPr>
          <w:ilvl w:val="0"/>
          <w:numId w:val="1021"/>
        </w:numPr>
      </w:pPr>
      <w:r>
        <w:t xml:space="preserve">Attach a</w:t>
      </w:r>
      <w:r>
        <w:t xml:space="preserve"> </w:t>
      </w:r>
      <w:r>
        <w:rPr>
          <w:b/>
          <w:bCs/>
        </w:rPr>
        <w:t xml:space="preserve">pre-printed LTT barcode sticker</w:t>
      </w:r>
      <w:r>
        <w:t xml:space="preserve"> </w:t>
      </w:r>
      <w:r>
        <w:t xml:space="preserve">to the basket (LTTs are printed in batches outside the MES per FRS 2.2.1).</w:t>
      </w:r>
    </w:p>
    <w:p>
      <w:pPr>
        <w:pStyle w:val="Compact"/>
        <w:numPr>
          <w:ilvl w:val="0"/>
          <w:numId w:val="1021"/>
        </w:numPr>
      </w:pPr>
      <w:r>
        <w:t xml:space="preserve">Scan the LTT barcode at the MES terminal — this scan creates the LOT record; the physical label already exists.</w:t>
      </w:r>
    </w:p>
    <w:p>
      <w:pPr>
        <w:pStyle w:val="Compact"/>
        <w:numPr>
          <w:ilvl w:val="0"/>
          <w:numId w:val="1021"/>
        </w:numPr>
      </w:pPr>
      <w:r>
        <w:t xml:space="preserve">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p>
    <w:p>
      <w:pPr>
        <w:pStyle w:val="Compact"/>
        <w:numPr>
          <w:ilvl w:val="0"/>
          <w:numId w:val="1021"/>
        </w:numPr>
      </w:pPr>
      <w:r>
        <w:t xml:space="preserve">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Operator SHALL select the produced</w:t>
      </w:r>
      <w:r>
        <w:t xml:space="preserve"> </w:t>
      </w:r>
      <w:r>
        <w:rPr>
          <w:rStyle w:val="VerbatimChar"/>
        </w:rPr>
        <w:t xml:space="preserve">ItemId</w:t>
      </w:r>
      <w:r>
        <w:t xml:space="preserve"> </w:t>
      </w:r>
      <w:r>
        <w:t xml:space="preserve">from a dropdown constrained to Items eligible at this Cell per FDS-02-012 (typically a short list at Die Cast). Piece count is operator-entered.</w:t>
      </w:r>
    </w:p>
    <w:p>
      <w:pPr>
        <w:pStyle w:val="Compact"/>
        <w:numPr>
          <w:ilvl w:val="0"/>
          <w:numId w:val="1021"/>
        </w:numPr>
      </w:pPr>
      <w:r>
        <w:t xml:space="preserve">The MES SHALL validate: piece count ≤</w:t>
      </w:r>
      <w:r>
        <w:t xml:space="preserve"> </w:t>
      </w:r>
      <w:r>
        <w:rPr>
          <w:rStyle w:val="VerbatimChar"/>
        </w:rPr>
        <w:t xml:space="preserve">Item.MaxLotSize</w:t>
      </w:r>
      <w:r>
        <w:t xml:space="preserve"> </w:t>
      </w:r>
      <w:r>
        <w:t xml:space="preserve">(now labeled</w:t>
      </w:r>
      <w:r>
        <w:t xml:space="preserve"> </w:t>
      </w:r>
      <w:r>
        <w:rPr>
          <w:rStyle w:val="VerbatimChar"/>
        </w:rPr>
        <w:t xml:space="preserve">PartsPerBasket</w:t>
      </w:r>
      <w:r>
        <w:t xml:space="preserve"> </w:t>
      </w:r>
      <w:r>
        <w:t xml:space="preserve">— basket capacity), part is eligible on this Cell, Tool + Cavity per FDS-05-034.</w:t>
      </w:r>
    </w:p>
    <w:p>
      <w:pPr>
        <w:pStyle w:val="Compact"/>
        <w:numPr>
          <w:ilvl w:val="0"/>
          <w:numId w:val="1021"/>
        </w:numPr>
      </w:pPr>
      <w:r>
        <w:t xml:space="preserve">The MES SHALL create the LOT with origin type Manufactured, status Good,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p>
    <w:p>
      <w:pPr>
        <w:pStyle w:val="Compact"/>
        <w:numPr>
          <w:ilvl w:val="0"/>
          <w:numId w:val="1021"/>
        </w:numPr>
      </w:pPr>
      <w:r>
        <w:t xml:space="preserve">The MES SHALL write a</w:t>
      </w:r>
      <w:r>
        <w:t xml:space="preserve"> </w:t>
      </w:r>
      <w:r>
        <w:rPr>
          <w:rStyle w:val="VerbatimChar"/>
        </w:rPr>
        <w:t xml:space="preserve">Workorder.ProductionEvent</w:t>
      </w:r>
      <w:r>
        <w:t xml:space="preserve"> </w:t>
      </w:r>
      <w:r>
        <w:t xml:space="preserve">checkpoint row with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as-of-this-basket-close (per FDS-03-017a checkpoint shape).</w:t>
      </w:r>
    </w:p>
    <w:p>
      <w:pPr>
        <w:pStyle w:val="Compact"/>
        <w:numPr>
          <w:ilvl w:val="0"/>
          <w:numId w:val="1021"/>
        </w:numPr>
      </w:pPr>
      <w:r>
        <w:t xml:space="preserve">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p>
    <w:p>
      <w:pPr>
        <w:pStyle w:val="Compact"/>
        <w:numPr>
          <w:ilvl w:val="0"/>
          <w:numId w:val="1021"/>
        </w:numPr>
      </w:pPr>
      <w:r>
        <w:t xml:space="preserve">The MES SHALL log the creation to</w:t>
      </w:r>
      <w:r>
        <w:t xml:space="preserve"> </w:t>
      </w:r>
      <w:r>
        <w:rPr>
          <w:rStyle w:val="VerbatimChar"/>
        </w:rPr>
        <w:t xml:space="preserve">Audit.OperationLog</w:t>
      </w:r>
      <w:r>
        <w:t xml:space="preserve">.</w:t>
      </w:r>
    </w:p>
    <w:p>
      <w:pPr>
        <w:pStyle w:val="FirstParagraph"/>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w:t>
      </w:r>
    </w:p>
    <w:p>
      <w:pPr>
        <w:pStyle w:val="BodyText"/>
      </w:pPr>
      <w:r>
        <w:t xml:space="preserve">LTT tags at Die Cast are pre-printed in batches by MPP per FRS 2.2.1; the first scan creates the LOT record. The MES does not print at Die Cast LOT creation.</w:t>
      </w:r>
    </w:p>
    <w:bookmarkEnd w:id="111"/>
    <w:bookmarkStart w:id="112" w:name="X8c84fe94cf4f62f853ccfc28bc3e6bc23c1cb30"/>
    <w:p>
      <w:pPr>
        <w:pStyle w:val="Heading4"/>
      </w:pPr>
      <w:r>
        <w:t xml:space="preserve">FDS-05-005 — Received LOT Creation (Pass-Through Parts)</w:t>
      </w:r>
    </w:p>
    <w:p>
      <w:pPr>
        <w:pStyle w:val="FirstParagraph"/>
      </w:pPr>
      <w:r>
        <w:t xml:space="preserve">At the Receiving Dock, the operator SHALL:</w:t>
      </w:r>
    </w:p>
    <w:p>
      <w:pPr>
        <w:pStyle w:val="Compact"/>
        <w:numPr>
          <w:ilvl w:val="0"/>
          <w:numId w:val="1022"/>
        </w:numPr>
      </w:pPr>
      <w:r>
        <w:t xml:space="preserve">Scan or manually enter the vendor reference (PO number, packing slip, etc.)</w:t>
      </w:r>
    </w:p>
    <w:p>
      <w:pPr>
        <w:pStyle w:val="Compact"/>
        <w:numPr>
          <w:ilvl w:val="0"/>
          <w:numId w:val="1022"/>
        </w:numPr>
      </w:pPr>
      <w:r>
        <w:t xml:space="preserve">Enter: part number, vendor lot number, piece count</w:t>
      </w:r>
    </w:p>
    <w:p>
      <w:pPr>
        <w:pStyle w:val="Compact"/>
        <w:numPr>
          <w:ilvl w:val="0"/>
          <w:numId w:val="1022"/>
        </w:numPr>
      </w:pPr>
      <w:r>
        <w:t xml:space="preserve">The MES SHALL create the LOT with origin type Received, status Good, location = Receiving Dock</w:t>
      </w:r>
    </w:p>
    <w:p>
      <w:pPr>
        <w:pStyle w:val="Compact"/>
        <w:numPr>
          <w:ilvl w:val="0"/>
          <w:numId w:val="1022"/>
        </w:numPr>
      </w:pPr>
      <w:r>
        <w:t xml:space="preserve">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p>
    <w:p>
      <w:pPr>
        <w:pStyle w:val="Compact"/>
        <w:numPr>
          <w:ilvl w:val="0"/>
          <w:numId w:val="1022"/>
        </w:numPr>
      </w:pPr>
      <w:r>
        <w:t xml:space="preserve">The operator SHALL affix the printed label to the basket/container</w:t>
      </w:r>
    </w:p>
    <w:p>
      <w:pPr>
        <w:pStyle w:val="Compact"/>
        <w:numPr>
          <w:ilvl w:val="0"/>
          <w:numId w:val="1022"/>
        </w:numPr>
      </w:pPr>
      <w:r>
        <w:t xml:space="preserve">Once created, the received LOT SHALL behave identically to a manufactured LOT for all downstream operations (movement, consumption, holds, genealogy)</w:t>
      </w:r>
    </w:p>
    <w:p>
      <w:pPr>
        <w:pStyle w:val="FirstParagraph"/>
      </w:pPr>
      <w:r>
        <w:t xml:space="preserve">(FRS 2.1.1, 2.1.12)</w:t>
      </w:r>
    </w:p>
    <w:bookmarkEnd w:id="112"/>
    <w:bookmarkStart w:id="113"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13"/>
    <w:bookmarkEnd w:id="114"/>
    <w:bookmarkStart w:id="121" w:name="lot-movement"/>
    <w:p>
      <w:pPr>
        <w:pStyle w:val="Heading3"/>
      </w:pPr>
      <w:r>
        <w:t xml:space="preserve">5.3 LOT Movement</w:t>
      </w:r>
    </w:p>
    <w:bookmarkStart w:id="115"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15"/>
    <w:bookmarkStart w:id="116"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23"/>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23"/>
        </w:numPr>
      </w:pPr>
      <w:r>
        <w:rPr>
          <w:b/>
          <w:bCs/>
        </w:rPr>
        <w:t xml:space="preserve">Set destination Cell</w:t>
      </w:r>
      <w:r>
        <w:t xml:space="preserve"> </w:t>
      </w:r>
      <w:r>
        <w:t xml:space="preserve">— On a dedicated terminal the destination defaults to the terminal’s parent Cell (FDS-02-009) and is read-only. On a shared terminal the operator selects the destination Cell by scan or dropdown (constrained to descendant Cells of the terminal’s parent Location). Either path resolves to a</w:t>
      </w:r>
      <w:r>
        <w:t xml:space="preserve"> </w:t>
      </w:r>
      <w:r>
        <w:rPr>
          <w:rStyle w:val="VerbatimChar"/>
        </w:rPr>
        <w:t xml:space="preserve">Location.Id</w:t>
      </w:r>
      <w:r>
        <w:t xml:space="preserve"> </w:t>
      </w:r>
      <w:r>
        <w:t xml:space="preserve">and SHALL verify the destination is a valid production context (Cell-tier, appropriate definition).</w:t>
      </w:r>
    </w:p>
    <w:p>
      <w:pPr>
        <w:pStyle w:val="Compact"/>
        <w:numPr>
          <w:ilvl w:val="0"/>
          <w:numId w:val="1023"/>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23"/>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23"/>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16"/>
    <w:bookmarkStart w:id="117" w:name="Xa9e8d7359e125426c3dee9443c7190e3997ebf4"/>
    <w:p>
      <w:pPr>
        <w:pStyle w:val="Heading4"/>
      </w:pPr>
      <w:r>
        <w:t xml:space="preserve">FDS-05-036 — Lazy, Operator-Driven LOT Creation —</w:t>
      </w:r>
      <w:r>
        <w:t xml:space="preserve"> </w:t>
      </w:r>
      <w:r>
        <w:rPr>
          <w:rStyle w:val="VerbatimChar"/>
        </w:rPr>
        <w:t xml:space="preserve">MVP</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bookmarkEnd w:id="117"/>
    <w:bookmarkStart w:id="118" w:name="fds-05-037-lot-close-semantics-mvp"/>
    <w:p>
      <w:pPr>
        <w:pStyle w:val="Heading4"/>
      </w:pPr>
      <w:r>
        <w:t xml:space="preserve">FDS-05-037 — LOT Close Semantics —</w:t>
      </w:r>
      <w:r>
        <w:t xml:space="preserve"> </w:t>
      </w:r>
      <w:r>
        <w:rPr>
          <w:rStyle w:val="VerbatimChar"/>
        </w:rPr>
        <w:t xml:space="preserve">MVP</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bookmarkEnd w:id="118"/>
    <w:bookmarkStart w:id="119"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MVP rollout.</w:t>
      </w:r>
    </w:p>
    <w:bookmarkEnd w:id="119"/>
    <w:bookmarkStart w:id="120" w:name="Xddf4bced57afefd7bddf1c98f3b65028d70461a"/>
    <w:p>
      <w:pPr>
        <w:pStyle w:val="Heading4"/>
      </w:pPr>
      <w:r>
        <w:t xml:space="preserve">FDS-05-038 — Pausable LOT at Workstation —</w:t>
      </w:r>
      <w:r>
        <w:t xml:space="preserve"> </w:t>
      </w:r>
      <w:r>
        <w:rPr>
          <w:rStyle w:val="VerbatimChar"/>
        </w:rPr>
        <w:t xml:space="preserve">MVP</w:t>
      </w:r>
    </w:p>
    <w:p>
      <w:pPr>
        <w:pStyle w:val="FirstParagraph"/>
      </w:pPr>
      <w:r>
        <w:rPr>
          <w:b/>
          <w:bCs/>
        </w:rPr>
        <w:t xml:space="preserve">Concept.</w:t>
      </w:r>
      <w:r>
        <w:t xml:space="preserve"> </w:t>
      </w:r>
      <w:r>
        <w:t xml:space="preserve">Pause is a</w:t>
      </w:r>
      <w:r>
        <w:t xml:space="preserve"> </w:t>
      </w:r>
      <w:r>
        <w:rPr>
          <w:rStyle w:val="VerbatimChar"/>
        </w:rPr>
        <w:t xml:space="preserve">(Lot, Location)</w:t>
      </w:r>
      <w:r>
        <w:t xml:space="preserve"> </w:t>
      </w:r>
      <w:r>
        <w:t xml:space="preserve">lifecycle event capturing operator focus shift. A partially-progressed LOT at a Cell MAY be paused so the operator may attend to a different LOT at the same Cell. The paused LOT remains in-process at the original Cell with its prior partial-start state intact (FDS-05-032); the operator MAY freely run other LOTs at that same Cell while the pause is open.</w:t>
      </w:r>
    </w:p>
    <w:p>
      <w:pPr>
        <w:pStyle w:val="BodyText"/>
      </w:pPr>
      <w:r>
        <w:rPr>
          <w:b/>
          <w:bCs/>
        </w:rPr>
        <w:t xml:space="preserve">Storage.</w:t>
      </w:r>
      <w:r>
        <w:t xml:space="preserve"> </w:t>
      </w:r>
      <w:r>
        <w:t xml:space="preserve">Pauses SHALL be recorded in the append-only</w:t>
      </w:r>
      <w:r>
        <w:t xml:space="preserve"> </w:t>
      </w:r>
      <w:r>
        <w:rPr>
          <w:rStyle w:val="VerbatimChar"/>
        </w:rPr>
        <w:t xml:space="preserve">Lots.PauseEvent</w:t>
      </w:r>
      <w:r>
        <w:t xml:space="preserve"> </w:t>
      </w:r>
      <w:r>
        <w:t xml:space="preserve">table — open + close lifecycle, mirroring</w:t>
      </w:r>
      <w:r>
        <w:t xml:space="preserve"> </w:t>
      </w:r>
      <w:r>
        <w:rPr>
          <w:rStyle w:val="VerbatimChar"/>
        </w:rPr>
        <w:t xml:space="preserve">Quality.HoldEvent</w:t>
      </w:r>
      <w:r>
        <w:t xml:space="preserve">.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no</w:t>
      </w:r>
      <w:r>
        <w:t xml:space="preserve"> </w:t>
      </w:r>
      <w:r>
        <w:rPr>
          <w:rStyle w:val="VerbatimChar"/>
        </w:rPr>
        <w:t xml:space="preserve">Paused</w:t>
      </w:r>
      <w:r>
        <w:t xml:space="preserve"> </w:t>
      </w:r>
      <w:r>
        <w:t xml:space="preserve">row SHALL be added to any of those code tables. Pause SHALL NOT write a</w:t>
      </w:r>
      <w:r>
        <w:t xml:space="preserve"> </w:t>
      </w:r>
      <w:r>
        <w:rPr>
          <w:rStyle w:val="VerbatimChar"/>
        </w:rPr>
        <w:t xml:space="preserve">Oee.DowntimeEvent</w:t>
      </w:r>
      <w:r>
        <w:t xml:space="preserve"> </w:t>
      </w:r>
      <w:r>
        <w:t xml:space="preserve">— the Cell is not down (another LOT may be running there).</w:t>
      </w:r>
    </w:p>
    <w:p>
      <w:pPr>
        <w:pStyle w:val="BodyText"/>
      </w:pPr>
      <w:r>
        <w:rPr>
          <w:b/>
          <w:bCs/>
        </w:rPr>
        <w:t xml:space="preserve">Cross-location concurrency.</w:t>
      </w:r>
      <w:r>
        <w:t xml:space="preserve"> </w:t>
      </w:r>
      <w:r>
        <w:t xml:space="preserve">The same LOT MAY be paused at multiple Cells simultaneously (e.g., a Machining LOT mid-progress at one Cell, paused there to handle Assembly work at another Cell). The schema-level filtered UNIQUE on</w:t>
      </w:r>
      <w:r>
        <w:t xml:space="preserve"> </w:t>
      </w:r>
      <w:r>
        <w:rPr>
          <w:rStyle w:val="VerbatimChar"/>
        </w:rPr>
        <w:t xml:space="preserve">Lots.PauseEvent (LotId,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multiple Locations are independent.</w:t>
      </w:r>
    </w:p>
    <w:p>
      <w:pPr>
        <w:pStyle w:val="BodyText"/>
      </w:pPr>
      <w:r>
        <w:rPr>
          <w:b/>
          <w:bCs/>
        </w:rPr>
        <w:t xml:space="preserve">Operator UX — 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(Rationale: Assembly auto-loads the next LOT from upstream Machining FIFO; an unconditional resume prompt would interrupt the normal flow.) The operator initiates a resume explicitly via the Paused-LOT indicator (below).</w:t>
      </w:r>
    </w:p>
    <w:p>
      <w:pPr>
        <w:pStyle w:val="BodyText"/>
      </w:pPr>
      <w:r>
        <w:rPr>
          <w:b/>
          <w:bCs/>
        </w:rPr>
        <w:t xml:space="preserve">Operator UX — Paused-LOT indicator.</w:t>
      </w:r>
      <w:r>
        <w:t xml:space="preserve"> </w:t>
      </w:r>
      <w:r>
        <w:t xml:space="preserve">Every workstation screen at a Cell SHALL surface a Paused-LOT indicator showing the count of currently-open pauses at that Cell. Tapping the indicator SHALL open a list view (</w:t>
      </w:r>
      <w:r>
        <w:rPr>
          <w:rStyle w:val="VerbatimChar"/>
        </w:rPr>
        <w:t xml:space="preserve">LotName</w:t>
      </w:r>
      <w:r>
        <w:t xml:space="preserve">, Part code,</w:t>
      </w:r>
      <w:r>
        <w:t xml:space="preserve"> </w:t>
      </w:r>
      <w:r>
        <w:rPr>
          <w:rStyle w:val="VerbatimChar"/>
        </w:rPr>
        <w:t xml:space="preserve">PausedAt</w:t>
      </w:r>
      <w:r>
        <w:t xml:space="preserve">,</w:t>
      </w:r>
      <w:r>
        <w:t xml:space="preserve"> </w:t>
      </w:r>
      <w:r>
        <w:rPr>
          <w:rStyle w:val="VerbatimChar"/>
        </w:rPr>
        <w:t xml:space="preserve">PausedByUserId</w:t>
      </w:r>
      <w:r>
        <w:t xml:space="preserve">) backed by</w:t>
      </w:r>
      <w:r>
        <w:t xml:space="preserve"> </w:t>
      </w:r>
      <w:r>
        <w:rPr>
          <w:rStyle w:val="VerbatimChar"/>
        </w:rPr>
        <w:t xml:space="preserve">Lots.LotPause_GetByLocation @LocationId</w:t>
      </w:r>
      <w:r>
        <w:t xml:space="preserve">. Selecting a LOT from that list and confirming SHALL invoke</w:t>
      </w:r>
      <w:r>
        <w:t xml:space="preserve"> </w:t>
      </w:r>
      <w:r>
        <w:rPr>
          <w:rStyle w:val="VerbatimChar"/>
        </w:rPr>
        <w:t xml:space="preserve">Lots.LotPause_Resume</w:t>
      </w:r>
      <w:r>
        <w:t xml:space="preserve">, transitioning the operator’s active context to the resumed LOT. Resume MAY be performed by a different operator from the one who paused — the resume row records</w:t>
      </w:r>
      <w:r>
        <w:t xml:space="preserve"> </w:t>
      </w:r>
      <w:r>
        <w:rPr>
          <w:rStyle w:val="VerbatimChar"/>
        </w:rPr>
        <w:t xml:space="preserve">ResumedByUserId</w:t>
      </w:r>
      <w:r>
        <w:t xml:space="preserve"> </w:t>
      </w:r>
      <w:r>
        <w:t xml:space="preserve">independently of</w:t>
      </w:r>
      <w:r>
        <w:t xml:space="preserve"> </w:t>
      </w:r>
      <w:r>
        <w:rPr>
          <w:rStyle w:val="VerbatimChar"/>
        </w:rPr>
        <w:t xml:space="preserve">PausedByUserId</w:t>
      </w:r>
      <w:r>
        <w:t xml:space="preserve">.</w:t>
      </w:r>
    </w:p>
    <w:p>
      <w:pPr>
        <w:pStyle w:val="BodyText"/>
      </w:pPr>
      <w:r>
        <w:rPr>
          <w:b/>
          <w:bCs/>
        </w:rPr>
        <w:t xml:space="preserve">No TTL.</w:t>
      </w:r>
      <w:r>
        <w:t xml:space="preserve"> </w:t>
      </w:r>
      <w:r>
        <w:t xml:space="preserve">Paused LOTs SHALL NOT be auto-resumed or auto-cancelled by the system. Paused LOTs MAY persist across shifts, operator changes, or extended periods. Cleanup of stale pauses is an operational concern, not a system rule. (Reports MAY surface</w:t>
      </w:r>
      <w:r>
        <w:t xml:space="preserve"> </w:t>
      </w:r>
      <w:r>
        <w:t xml:space="preserve">“long-paused LOTs”</w:t>
      </w:r>
      <w:r>
        <w:t xml:space="preserve"> </w:t>
      </w:r>
      <w:r>
        <w:t xml:space="preserve">for supervisor review without changing the underlying state.)</w:t>
      </w:r>
    </w:p>
    <w:p>
      <w:pPr>
        <w:pStyle w:val="BodyText"/>
      </w:pPr>
      <w:r>
        <w:rPr>
          <w:b/>
          <w:bCs/>
        </w:rPr>
        <w:t xml:space="preserve">Optional reason / remarks.</w:t>
      </w:r>
      <w:r>
        <w:t xml:space="preserve"> </w:t>
      </w:r>
      <w:r>
        <w:rPr>
          <w:rStyle w:val="VerbatimChar"/>
        </w:rPr>
        <w:t xml:space="preserve">PauseEvent.PausedReason</w:t>
      </w:r>
      <w:r>
        <w:t xml:space="preserve"> </w:t>
      </w:r>
      <w:r>
        <w:t xml:space="preserve">is optional — operators MAY pause without entering a reason.</w:t>
      </w:r>
      <w:r>
        <w:t xml:space="preserve"> </w:t>
      </w:r>
      <w:r>
        <w:rPr>
          <w:rStyle w:val="VerbatimChar"/>
        </w:rPr>
        <w:t xml:space="preserve">PauseEvent.ResumedRemarks</w:t>
      </w:r>
      <w:r>
        <w:t xml:space="preserve"> </w:t>
      </w:r>
      <w:r>
        <w:t xml:space="preserve">is also optional.</w:t>
      </w:r>
    </w:p>
    <w:p>
      <w:pPr>
        <w:pStyle w:val="BodyText"/>
      </w:pPr>
      <w:r>
        <w:rPr>
          <w:b/>
          <w:bCs/>
        </w:rPr>
        <w:t xml:space="preserve">Procs.</w:t>
      </w:r>
      <w:r>
        <w:t xml:space="preserve"> </w:t>
      </w:r>
      <w:r>
        <w:t xml:space="preserve">The proc layer SHALL provide:</w:t>
      </w:r>
    </w:p>
    <w:p>
      <w:pPr>
        <w:pStyle w:val="Compact"/>
        <w:numPr>
          <w:ilvl w:val="0"/>
          <w:numId w:val="1024"/>
        </w:numPr>
      </w:pPr>
      <w:r>
        <w:rPr>
          <w:rStyle w:val="VerbatimChar"/>
        </w:rPr>
        <w:t xml:space="preserve">Lots.LotPause_Place(@LotId, @LocationId, @PausedByUserId, @PausedReason NVARCHAR(500) = NULL)</w:t>
      </w:r>
      <w:r>
        <w:t xml:space="preserve"> </w:t>
      </w:r>
      <w:r>
        <w:t xml:space="preserve">— opens a pause; rejects with a clear message if</w:t>
      </w:r>
      <w:r>
        <w:t xml:space="preserve"> </w:t>
      </w:r>
      <w:r>
        <w:rPr>
          <w:rStyle w:val="VerbatimChar"/>
        </w:rPr>
        <w:t xml:space="preserve">(LotId, LocationId)</w:t>
      </w:r>
      <w:r>
        <w:t xml:space="preserve"> </w:t>
      </w:r>
      <w:r>
        <w:t xml:space="preserve">already has an open pause.</w:t>
      </w:r>
    </w:p>
    <w:p>
      <w:pPr>
        <w:pStyle w:val="Compact"/>
        <w:numPr>
          <w:ilvl w:val="0"/>
          <w:numId w:val="1024"/>
        </w:numPr>
      </w:pPr>
      <w:r>
        <w:rPr>
          <w:rStyle w:val="VerbatimChar"/>
        </w:rPr>
        <w:t xml:space="preserve">Lots.LotPause_Resume(@LotId, @LocationId, @ResumedByUserId, @ResumedRemarks NVARCHAR(500) = NULL)</w:t>
      </w:r>
      <w:r>
        <w:t xml:space="preserve"> </w:t>
      </w:r>
      <w:r>
        <w:t xml:space="preserve">— closes the open pause; rejects if no open pause exists.</w:t>
      </w:r>
    </w:p>
    <w:p>
      <w:pPr>
        <w:pStyle w:val="Compact"/>
        <w:numPr>
          <w:ilvl w:val="0"/>
          <w:numId w:val="1024"/>
        </w:numPr>
      </w:pPr>
      <w:r>
        <w:rPr>
          <w:rStyle w:val="VerbatimChar"/>
        </w:rPr>
        <w:t xml:space="preserve">Lots.LotPause_GetByLocation(@LocationId)</w:t>
      </w:r>
      <w:r>
        <w:t xml:space="preserve"> </w:t>
      </w:r>
      <w:r>
        <w:t xml:space="preserve">— single result set:</w:t>
      </w:r>
      <w:r>
        <w:t xml:space="preserve"> </w:t>
      </w:r>
      <w:r>
        <w:rPr>
          <w:rStyle w:val="VerbatimChar"/>
        </w:rPr>
        <w:t xml:space="preserve">(LotId, LotName, ItemId, PartCode, PausedByUserId, PausedAt, PausedReason)</w:t>
      </w:r>
      <w:r>
        <w:t xml:space="preserve"> </w:t>
      </w:r>
      <w:r>
        <w:t xml:space="preserve">for currently-paused LOTs at this Cell. Joined to</w:t>
      </w:r>
      <w:r>
        <w:t xml:space="preserve"> </w:t>
      </w:r>
      <w:r>
        <w:rPr>
          <w:rStyle w:val="VerbatimChar"/>
        </w:rPr>
        <w:t xml:space="preserve">Lots.v_LotDerivedQuantities</w:t>
      </w:r>
      <w:r>
        <w:t xml:space="preserve"> </w:t>
      </w:r>
      <w:r>
        <w:t xml:space="preserve">so the detail list can show in-process counts at a glance.</w:t>
      </w:r>
    </w:p>
    <w:p>
      <w:pPr>
        <w:pStyle w:val="Compact"/>
        <w:numPr>
          <w:ilvl w:val="0"/>
          <w:numId w:val="1024"/>
        </w:numPr>
      </w:pPr>
      <w:r>
        <w:rPr>
          <w:rStyle w:val="VerbatimChar"/>
        </w:rPr>
        <w:t xml:space="preserve">Lots.LotPause_GetCountsByLocation</w:t>
      </w:r>
      <w:r>
        <w:t xml:space="preserve"> </w:t>
      </w:r>
      <w:r>
        <w:t xml:space="preserve">— single result set:</w:t>
      </w:r>
      <w:r>
        <w:t xml:space="preserve"> </w:t>
      </w:r>
      <w:r>
        <w:rPr>
          <w:rStyle w:val="VerbatimChar"/>
        </w:rPr>
        <w:t xml:space="preserve">(LocationId, OpenPauseCount)</w:t>
      </w:r>
      <w:r>
        <w:t xml:space="preserve"> </w:t>
      </w:r>
      <w:r>
        <w:t xml:space="preserve">across all Cells for wallboard / indicator binding.</w:t>
      </w:r>
    </w:p>
    <w:p>
      <w:pPr>
        <w:pStyle w:val="FirstParagraph"/>
      </w:pPr>
      <w:r>
        <w:t xml:space="preserve">All four procs follow the FDS-11-011 single-result-set convention. Mutations write to</w:t>
      </w:r>
      <w:r>
        <w:t xml:space="preserve"> </w:t>
      </w:r>
      <w:r>
        <w:rPr>
          <w:rStyle w:val="VerbatimChar"/>
        </w:rPr>
        <w:t xml:space="preserve">Audit.OperationLog</w:t>
      </w:r>
      <w:r>
        <w:t xml:space="preserve">; the</w:t>
      </w:r>
      <w:r>
        <w:t xml:space="preserve"> </w:t>
      </w:r>
      <w:r>
        <w:rPr>
          <w:rStyle w:val="VerbatimChar"/>
        </w:rPr>
        <w:t xml:space="preserve">PauseEvent</w:t>
      </w:r>
      <w:r>
        <w:t xml:space="preserve"> </w:t>
      </w:r>
      <w:r>
        <w:rPr>
          <w:rStyle w:val="VerbatimChar"/>
        </w:rPr>
        <w:t xml:space="preserve">Audit.LogEntityType</w:t>
      </w:r>
      <w:r>
        <w:t xml:space="preserve"> </w:t>
      </w:r>
      <w:r>
        <w:t xml:space="preserve">row is added when the Lots schema is created.</w:t>
      </w:r>
    </w:p>
    <w:bookmarkEnd w:id="120"/>
    <w:bookmarkEnd w:id="121"/>
    <w:bookmarkStart w:id="127" w:name="sub-lot-splitting"/>
    <w:p>
      <w:pPr>
        <w:pStyle w:val="Heading3"/>
      </w:pPr>
      <w:r>
        <w:t xml:space="preserve">5.4 Sub-LOT Splitting</w:t>
      </w:r>
    </w:p>
    <w:p>
      <w:pPr>
        <w:pStyle w:val="FirstParagraph"/>
      </w:pPr>
      <w:r>
        <w:t xml:space="preserve">The MES distinguishes two LOT-multiplication patterns. Only the second is a true sublot pattern; the first is peer creation.</w:t>
      </w:r>
    </w:p>
    <w:p>
      <w:pPr>
        <w:pStyle w:val="Compact"/>
        <w:numPr>
          <w:ilvl w:val="0"/>
          <w:numId w:val="1025"/>
        </w:numPr>
      </w:pP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and closes independently. There is no parent/child FK between cavity peers. One LTT barcode per LOT. Genealogy is flat at Die Cast. See §5.2 FDS-05-004 for creation flow.</w:t>
      </w:r>
    </w:p>
    <w:p>
      <w:pPr>
        <w:pStyle w:val="Compact"/>
        <w:numPr>
          <w:ilvl w:val="0"/>
          <w:numId w:val="1025"/>
        </w:numPr>
      </w:pPr>
      <w:r>
        <w:rPr>
          <w:b/>
          <w:bCs/>
        </w:rPr>
        <w:t xml:space="preserve">Machining sub-LOT split IS a sublot pattern.</w:t>
      </w:r>
      <w:r>
        <w:t xml:space="preserve"> </w:t>
      </w:r>
      <w:r>
        <w:t xml:space="preserve">The workflow below (FDS-05-022, -024, -009..011) is authoritative for Machining OUT — parent FK, split genealogy, sublot labels.</w:t>
      </w:r>
    </w:p>
    <w:p>
      <w:pPr>
        <w:pStyle w:val="Compact"/>
        <w:numPr>
          <w:ilvl w:val="0"/>
          <w:numId w:val="1025"/>
        </w:numPr>
      </w:pPr>
      <w:r>
        <w:rPr>
          <w:b/>
          <w:bCs/>
        </w:rPr>
        <w:t xml:space="preserve">Basket-level sublots</w:t>
      </w:r>
      <w:r>
        <w:t xml:space="preserve"> </w:t>
      </w:r>
      <w:r>
        <w:t xml:space="preserve">are absorbed by the two patterns above: at Die Cast, one basket = one cavity-parallel LOT = one label; at Machining, basket-level splitting is the Machining sub-LOT pattern.</w:t>
      </w:r>
    </w:p>
    <w:bookmarkStart w:id="122"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22"/>
    <w:bookmarkStart w:id="123"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23"/>
    <w:bookmarkStart w:id="124" w:name="Xb286f154a790d38a8c0b2eaa15d494e71010825"/>
    <w:p>
      <w:pPr>
        <w:pStyle w:val="Heading4"/>
      </w:pPr>
      <w:r>
        <w:t xml:space="preserve">FDS-05-009 — Trim → Machining Sub-LOT Split Workflow</w:t>
      </w:r>
    </w:p>
    <w:p>
      <w:pPr>
        <w:pStyle w:val="BlockText"/>
      </w:pPr>
      <w:r>
        <w:t xml:space="preserve">🔶</w:t>
      </w:r>
      <w:r>
        <w:t xml:space="preserve"> </w:t>
      </w:r>
      <w:r>
        <w:rPr>
          <w:b/>
          <w:bCs/>
        </w:rPr>
        <w:t xml:space="preserve">PENDING INTERNAL REVIEW — UJ-03:</w:t>
      </w:r>
      <w:r>
        <w:t xml:space="preserve"> </w:t>
      </w:r>
      <w:r>
        <w:t xml:space="preserve">Even-split default vs. alternative defaults still needs review with Ben.</w:t>
      </w:r>
    </w:p>
    <w:p>
      <w:pPr>
        <w:pStyle w:val="FirstParagraph"/>
      </w:pPr>
      <w:r>
        <w:t xml:space="preserve">The sub-LOT split that distributes a trimmed cast LOT across multiple Machining Cells SHALL happen at</w:t>
      </w:r>
      <w:r>
        <w:t xml:space="preserve"> </w:t>
      </w:r>
      <w:r>
        <w:rPr>
          <w:b/>
          <w:bCs/>
        </w:rPr>
        <w:t xml:space="preserve">Trim OUT</w:t>
      </w:r>
      <w:r>
        <w:t xml:space="preserve"> </w:t>
      </w:r>
      <w:r>
        <w:t xml:space="preserve">(not Machining IN). The mechanics:</w:t>
      </w:r>
    </w:p>
    <w:p>
      <w:pPr>
        <w:pStyle w:val="Compact"/>
        <w:numPr>
          <w:ilvl w:val="0"/>
          <w:numId w:val="1026"/>
        </w:numPr>
      </w:pPr>
      <w:r>
        <w:t xml:space="preserve">When the operator completes Trim work on a parent LOT and triggers Trim OUT (FDS-06-006), the system SHALL present a sub-LOT split confirmation dialog.</w:t>
      </w:r>
    </w:p>
    <w:p>
      <w:pPr>
        <w:pStyle w:val="Compact"/>
        <w:numPr>
          <w:ilvl w:val="0"/>
          <w:numId w:val="1026"/>
        </w:numPr>
      </w:pPr>
      <w:r>
        <w:t xml:space="preserve">Calculate an even N-way split of the parent LOT’s piece count (default N=2; e.g., 50 → 25/25; 51 → 26/25). The operator MAY adjust the number of sublots and per-sublot quantities; the total SHALL equal the parent’s piece count.</w:t>
      </w:r>
    </w:p>
    <w:p>
      <w:pPr>
        <w:pStyle w:val="Compact"/>
        <w:numPr>
          <w:ilvl w:val="0"/>
          <w:numId w:val="1026"/>
        </w:numPr>
      </w:pPr>
      <w:r>
        <w:t xml:space="preserve">For each sub-LOT, the operator SHALL select the destination Machining Cell (scan or dropdown per FDS-02-009) — this writes the sub-LOT into that Cell’s FIFO queue.</w:t>
      </w:r>
    </w:p>
    <w:p>
      <w:pPr>
        <w:pStyle w:val="Compact"/>
        <w:numPr>
          <w:ilvl w:val="0"/>
          <w:numId w:val="1026"/>
        </w:numPr>
      </w:pPr>
      <w:r>
        <w:t xml:space="preserve">On confirmation, create N child LOT records per FDS-05-022 (sublot pattern). Each sub-LOT inherits the parent’s</w:t>
      </w:r>
      <w:r>
        <w:t xml:space="preserve"> </w:t>
      </w:r>
      <w:r>
        <w:rPr>
          <w:rStyle w:val="VerbatimChar"/>
        </w:rPr>
        <w:t xml:space="preserve">ItemId</w:t>
      </w:r>
      <w:r>
        <w:t xml:space="preserve"> </w:t>
      </w:r>
      <w:r>
        <w:t xml:space="preserve">(the cast/trim Item — the</w:t>
      </w:r>
      <w:r>
        <w:t xml:space="preserve"> </w:t>
      </w:r>
      <w:r>
        <w:rPr>
          <w:b/>
          <w:bCs/>
        </w:rPr>
        <w:t xml:space="preserve">Trim → Machining rename does not happen yet</w:t>
      </w:r>
      <w:r>
        <w:t xml:space="preserve">; that fires at Machining IN per FDS-05-033). Each child requires a fresh LTT barcode scan.</w:t>
      </w:r>
    </w:p>
    <w:p>
      <w:pPr>
        <w:pStyle w:val="Compact"/>
        <w:numPr>
          <w:ilvl w:val="0"/>
          <w:numId w:val="1026"/>
        </w:numPr>
      </w:pPr>
      <w:r>
        <w:t xml:space="preserve">Decrement the parent LOT’s piece count by the total pieces split off; close the parent if all pieces moved (</w:t>
      </w:r>
      <w:r>
        <w:rPr>
          <w:rStyle w:val="VerbatimChar"/>
        </w:rPr>
        <w:t xml:space="preserve">LotStatusCode = Closed</w:t>
      </w:r>
      <w:r>
        <w:t xml:space="preserve">).</w:t>
      </w:r>
    </w:p>
    <w:p>
      <w:pPr>
        <w:pStyle w:val="Compact"/>
        <w:numPr>
          <w:ilvl w:val="0"/>
          <w:numId w:val="1026"/>
        </w:numPr>
      </w:pPr>
      <w:r>
        <w:t xml:space="preserve">Write</w:t>
      </w:r>
      <w:r>
        <w:t xml:space="preserve"> </w:t>
      </w:r>
      <w:r>
        <w:rPr>
          <w:rStyle w:val="VerbatimChar"/>
        </w:rPr>
        <w:t xml:space="preserve">LotGenealogy</w:t>
      </w:r>
      <w:r>
        <w:t xml:space="preserve"> </w:t>
      </w:r>
      <w:r>
        <w:t xml:space="preserve">records with</w:t>
      </w:r>
      <w:r>
        <w:t xml:space="preserve"> </w:t>
      </w:r>
      <w:r>
        <w:rPr>
          <w:rStyle w:val="VerbatimChar"/>
        </w:rPr>
        <w:t xml:space="preserve">RelationshipType = Split</w:t>
      </w:r>
      <w:r>
        <w:t xml:space="preserve"> </w:t>
      </w:r>
      <w:r>
        <w:t xml:space="preserve">for each parent→child link.</w:t>
      </w:r>
    </w:p>
    <w:p>
      <w:pPr>
        <w:pStyle w:val="Compact"/>
        <w:numPr>
          <w:ilvl w:val="0"/>
          <w:numId w:val="1026"/>
        </w:numPr>
      </w:pPr>
      <w:r>
        <w:t xml:space="preserve">Write a</w:t>
      </w:r>
      <w:r>
        <w:t xml:space="preserve"> </w:t>
      </w:r>
      <w:r>
        <w:rPr>
          <w:rStyle w:val="VerbatimChar"/>
        </w:rPr>
        <w:t xml:space="preserve">LotMovement</w:t>
      </w:r>
      <w:r>
        <w:t xml:space="preserve"> </w:t>
      </w:r>
      <w:r>
        <w:t xml:space="preserve">for each sub-LOT moving from the Trim Cell to the destination Machining Cell.</w:t>
      </w:r>
    </w:p>
    <w:p>
      <w:pPr>
        <w:pStyle w:val="Compact"/>
        <w:numPr>
          <w:ilvl w:val="0"/>
          <w:numId w:val="1026"/>
        </w:numPr>
      </w:pPr>
      <w:r>
        <w:t xml:space="preserve">Print LTT labels for each child sublot — labels follow the FDS-05-024 parent-reference rule.</w:t>
      </w:r>
    </w:p>
    <w:p>
      <w:pPr>
        <w:pStyle w:val="Compact"/>
        <w:numPr>
          <w:ilvl w:val="0"/>
          <w:numId w:val="1026"/>
        </w:numPr>
      </w:pPr>
      <w:r>
        <w:t xml:space="preserve">Log all operations to</w:t>
      </w:r>
      <w:r>
        <w:t xml:space="preserve"> </w:t>
      </w:r>
      <w:r>
        <w:rPr>
          <w:rStyle w:val="VerbatimChar"/>
        </w:rPr>
        <w:t xml:space="preserve">Audit.OperationLog</w:t>
      </w:r>
      <w:r>
        <w:t xml:space="preserve">.</w:t>
      </w:r>
    </w:p>
    <w:p>
      <w:pPr>
        <w:pStyle w:val="FirstParagraph"/>
      </w:pPr>
      <w:r>
        <w:t xml:space="preserve">The operator MAY cancel the split and process the LOT as a single sub-LOT routed to one Machining Cell. (FRS 2.1.4, 2.2.5, 3.9.12)</w:t>
      </w:r>
    </w:p>
    <w:bookmarkEnd w:id="124"/>
    <w:bookmarkStart w:id="125"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25"/>
    <w:bookmarkStart w:id="126"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26"/>
    <w:bookmarkEnd w:id="127"/>
    <w:bookmarkStart w:id="135" w:name="lot-merging-mvp"/>
    <w:p>
      <w:pPr>
        <w:pStyle w:val="Heading3"/>
      </w:pPr>
      <w:r>
        <w:t xml:space="preserve">5.5 LOT Merging —</w:t>
      </w:r>
      <w:r>
        <w:t xml:space="preserve"> </w:t>
      </w:r>
      <w:r>
        <w:rPr>
          <w:rStyle w:val="VerbatimChar"/>
        </w:rPr>
        <w:t xml:space="preserve">MVP</w:t>
      </w:r>
    </w:p>
    <w:p>
      <w:pPr>
        <w:pStyle w:val="FirstParagraph"/>
      </w:pPr>
      <w:r>
        <w:t xml:space="preserve">LOT merge rules are concrete and enforced at the proc layer (see FDS-05-025 through FDS-05-030 below for the per-rule requirements):</w:t>
      </w:r>
    </w:p>
    <w:p>
      <w:pPr>
        <w:pStyle w:val="Compact"/>
        <w:numPr>
          <w:ilvl w:val="0"/>
          <w:numId w:val="1027"/>
        </w:numPr>
      </w:pPr>
      <w:r>
        <w:t xml:space="preserve">Merges SHALL be allowed only</w:t>
      </w:r>
      <w:r>
        <w:t xml:space="preserve"> </w:t>
      </w:r>
      <w:r>
        <w:rPr>
          <w:b/>
          <w:bCs/>
        </w:rPr>
        <w:t xml:space="preserve">after sort is complete</w:t>
      </w:r>
      <w:r>
        <w:t xml:space="preserve"> </w:t>
      </w:r>
      <w:r>
        <w:t xml:space="preserve">(post-inspection stage; Sort Cage output merges are not permitted — see FDS-07-019).</w:t>
      </w:r>
    </w:p>
    <w:p>
      <w:pPr>
        <w:pStyle w:val="Compact"/>
        <w:numPr>
          <w:ilvl w:val="0"/>
          <w:numId w:val="1027"/>
        </w:numPr>
      </w:pPr>
      <w:r>
        <w:t xml:space="preserve">Same</w:t>
      </w:r>
      <w:r>
        <w:t xml:space="preserve"> </w:t>
      </w:r>
      <w:r>
        <w:rPr>
          <w:b/>
          <w:bCs/>
        </w:rPr>
        <w:t xml:space="preserve">part number</w:t>
      </w:r>
      <w:r>
        <w:t xml:space="preserve"> </w:t>
      </w:r>
      <w:r>
        <w:t xml:space="preserve">SHALL be required.</w:t>
      </w:r>
    </w:p>
    <w:p>
      <w:pPr>
        <w:pStyle w:val="Compact"/>
        <w:numPr>
          <w:ilvl w:val="0"/>
          <w:numId w:val="1027"/>
        </w:numPr>
      </w:pPr>
      <w:r>
        <w:t xml:space="preserve">Same</w:t>
      </w:r>
      <w:r>
        <w:t xml:space="preserve"> </w:t>
      </w:r>
      <w:r>
        <w:rPr>
          <w:b/>
          <w:bCs/>
        </w:rPr>
        <w:t xml:space="preserve">die</w:t>
      </w:r>
      <w:r>
        <w:t xml:space="preserve"> </w:t>
      </w:r>
      <w:r>
        <w:t xml:space="preserve">→ merge proceeds.</w:t>
      </w:r>
    </w:p>
    <w:p>
      <w:pPr>
        <w:pStyle w:val="Compact"/>
        <w:numPr>
          <w:ilvl w:val="0"/>
          <w:numId w:val="1027"/>
        </w:numPr>
      </w:pPr>
      <w:r>
        <w:t xml:space="preserve">Different dies → merge proceeds only when the pair’s rank is compatible per</w:t>
      </w:r>
      <w:r>
        <w:t xml:space="preserve"> </w:t>
      </w:r>
      <w:r>
        <w:rPr>
          <w:rStyle w:val="VerbatimChar"/>
        </w:rPr>
        <w:t xml:space="preserve">Tools.DieRankCompatibility</w:t>
      </w:r>
      <w:r>
        <w:t xml:space="preserve">.</w:t>
      </w:r>
    </w:p>
    <w:p>
      <w:pPr>
        <w:pStyle w:val="Compact"/>
        <w:numPr>
          <w:ilvl w:val="0"/>
          <w:numId w:val="1027"/>
        </w:numPr>
      </w:pPr>
      <w:r>
        <w:rPr>
          <w:b/>
          <w:bCs/>
        </w:rPr>
        <w:t xml:space="preserve">Machining</w:t>
      </w:r>
      <w:r>
        <w:t xml:space="preserve"> </w:t>
      </w:r>
      <w:r>
        <w:t xml:space="preserve">is FIFO-by-cavity — not a merge operation.</w:t>
      </w:r>
    </w:p>
    <w:p>
      <w:pPr>
        <w:pStyle w:val="Compact"/>
        <w:numPr>
          <w:ilvl w:val="0"/>
          <w:numId w:val="1027"/>
        </w:numPr>
      </w:pPr>
      <w:r>
        <w:t xml:space="preserve">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p>
    <w:p>
      <w:pPr>
        <w:pStyle w:val="Compact"/>
        <w:numPr>
          <w:ilvl w:val="0"/>
          <w:numId w:val="1027"/>
        </w:numPr>
      </w:pPr>
      <w:r>
        <w:t xml:space="preserve">Piece counts SHALL be additive; merged LOTs SHALL NOT be un-mergeable.</w:t>
      </w:r>
    </w:p>
    <w:p>
      <w:pPr>
        <w:pStyle w:val="FirstParagraph"/>
      </w:pPr>
      <w:r>
        <w:t xml:space="preserve">Supervisor AD elevation (FDS-04-007) unlocks merges that would otherwise be rejected. The full die-rank compatibility matrix is owed by MPP Quality — until delivered, cross-die merges are rejected with a clear message and the supervisor override is the only path.</w:t>
      </w:r>
    </w:p>
    <w:bookmarkStart w:id="128"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28"/>
    <w:bookmarkStart w:id="129"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(FRS 3.13.1)</w:t>
      </w:r>
    </w:p>
    <w:bookmarkEnd w:id="129"/>
    <w:bookmarkStart w:id="130"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(FRS 3.9.13)</w:t>
      </w:r>
    </w:p>
    <w:bookmarkEnd w:id="130"/>
    <w:bookmarkStart w:id="131"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28"/>
        </w:numPr>
      </w:pPr>
      <w:r>
        <w:t xml:space="preserve">Resolve each source LOT’s die via</w:t>
      </w:r>
      <w:r>
        <w:t xml:space="preserve"> </w:t>
      </w:r>
      <w:r>
        <w:rPr>
          <w:rStyle w:val="VerbatimChar"/>
        </w:rPr>
        <w:t xml:space="preserve">Lots.Lot.ToolId</w:t>
      </w:r>
      <w:r>
        <w:t xml:space="preserve"> </w:t>
      </w:r>
      <w:r>
        <w:t xml:space="preserve">(FK →</w:t>
      </w:r>
      <w:r>
        <w:t xml:space="preserve"> </w:t>
      </w:r>
      <w:r>
        <w:rPr>
          <w:rStyle w:val="VerbatimChar"/>
        </w:rPr>
        <w:t xml:space="preserve">Tools.Tool.Id</w:t>
      </w:r>
      <w:r>
        <w:t xml:space="preserve">, populated at die-cast LOT create per FDS-05-034).</w:t>
      </w:r>
    </w:p>
    <w:p>
      <w:pPr>
        <w:pStyle w:val="Compact"/>
        <w:numPr>
          <w:ilvl w:val="0"/>
          <w:numId w:val="1028"/>
        </w:numPr>
      </w:pPr>
      <w:r>
        <w:t xml:space="preserve">If all source LOTs share the same die, the compatibility check is bypassed; proceed to FDS-05-028 (Quality Status Gating).</w:t>
      </w:r>
    </w:p>
    <w:p>
      <w:pPr>
        <w:pStyle w:val="Compact"/>
        <w:numPr>
          <w:ilvl w:val="0"/>
          <w:numId w:val="1028"/>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28"/>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28"/>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w:t>
      </w:r>
    </w:p>
    <w:bookmarkEnd w:id="131"/>
    <w:bookmarkStart w:id="132"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w:t>
      </w:r>
    </w:p>
    <w:bookmarkEnd w:id="132"/>
    <w:bookmarkStart w:id="133"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(FRS 3.13.1)</w:t>
      </w:r>
    </w:p>
    <w:bookmarkEnd w:id="133"/>
    <w:bookmarkStart w:id="134" w:name="X1a784363e196330460a687662f29d941b1ae6e9"/>
    <w:p>
      <w:pPr>
        <w:pStyle w:val="Heading4"/>
      </w:pPr>
      <w:r>
        <w:t xml:space="preserve">FDS-05-030 — Post-Merge LOT Has NULL Tool / Cavity —</w:t>
      </w:r>
      <w:r>
        <w:t xml:space="preserve"> </w:t>
      </w:r>
      <w:r>
        <w:rPr>
          <w:rStyle w:val="VerbatimChar"/>
        </w:rPr>
        <w:t xml:space="preserve">MVP</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w:t>
      </w:r>
    </w:p>
    <w:bookmarkEnd w:id="134"/>
    <w:bookmarkEnd w:id="135"/>
    <w:bookmarkStart w:id="139" w:name="lot-status-transitions"/>
    <w:p>
      <w:pPr>
        <w:pStyle w:val="Heading3"/>
      </w:pPr>
      <w:r>
        <w:t xml:space="preserve">5.6 LOT Status Transitions</w:t>
      </w:r>
    </w:p>
    <w:bookmarkStart w:id="136"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36"/>
    <w:bookmarkStart w:id="137"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37"/>
    <w:bookmarkStart w:id="138"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38"/>
    <w:bookmarkEnd w:id="139"/>
    <w:bookmarkStart w:id="143" w:name="genealogy"/>
    <w:p>
      <w:pPr>
        <w:pStyle w:val="Heading3"/>
      </w:pPr>
      <w:r>
        <w:t xml:space="preserve">5.7 Genealogy</w:t>
      </w:r>
    </w:p>
    <w:bookmarkStart w:id="140"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40"/>
    <w:bookmarkStart w:id="141"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41"/>
    <w:bookmarkStart w:id="142"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42"/>
    <w:bookmarkEnd w:id="143"/>
    <w:bookmarkStart w:id="146" w:name="lot-label-management"/>
    <w:p>
      <w:pPr>
        <w:pStyle w:val="Heading3"/>
      </w:pPr>
      <w:r>
        <w:t xml:space="preserve">5.8 LOT Label Management</w:t>
      </w:r>
    </w:p>
    <w:bookmarkStart w:id="144"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44"/>
    <w:bookmarkStart w:id="145"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odyText"/>
      </w:pPr>
      <w:r>
        <w:t xml:space="preserve">Die Cast LOTs do NOT trigger an</w:t>
      </w:r>
      <w:r>
        <w:t xml:space="preserve"> </w:t>
      </w:r>
      <w:r>
        <w:rPr>
          <w:rStyle w:val="VerbatimChar"/>
        </w:rPr>
        <w:t xml:space="preserve">Initial</w:t>
      </w:r>
      <w:r>
        <w:t xml:space="preserve"> </w:t>
      </w:r>
      <w:r>
        <w:t xml:space="preserve">print event in the MES. LTT tags at Die Cast are pre-printed in batches by MPP per FRS 2.2.1 — the physical label is already on the basket when the operator scans it to create the LOT record. The first scan creates the LOT; the MES does not print the label because the label already exists.</w:t>
      </w:r>
    </w:p>
    <w:p>
      <w:pPr>
        <w:pStyle w:val="BodyText"/>
      </w:pPr>
      <w:r>
        <w:t xml:space="preserve">The</w:t>
      </w:r>
      <w:r>
        <w:t xml:space="preserve"> </w:t>
      </w:r>
      <w:r>
        <w:rPr>
          <w:rStyle w:val="VerbatimChar"/>
        </w:rPr>
        <w:t xml:space="preserve">Initial</w:t>
      </w:r>
      <w:r>
        <w:t xml:space="preserve"> </w:t>
      </w:r>
      <w:r>
        <w:t xml:space="preserve">print reason still applies to:</w:t>
      </w:r>
    </w:p>
    <w:p>
      <w:pPr>
        <w:pStyle w:val="Compact"/>
        <w:numPr>
          <w:ilvl w:val="0"/>
          <w:numId w:val="1029"/>
        </w:numPr>
      </w:pPr>
      <w:r>
        <w:rPr>
          <w:b/>
          <w:bCs/>
        </w:rPr>
        <w:t xml:space="preserve">Received LOTs</w:t>
      </w:r>
      <w:r>
        <w:t xml:space="preserve"> </w:t>
      </w:r>
      <w:r>
        <w:t xml:space="preserve">(pass-through parts): no pre-printed tag exists for vendor material, so the MES generates and prints an LTT at receiving time</w:t>
      </w:r>
    </w:p>
    <w:p>
      <w:pPr>
        <w:pStyle w:val="Compact"/>
        <w:numPr>
          <w:ilvl w:val="0"/>
          <w:numId w:val="1029"/>
        </w:numPr>
      </w:pPr>
      <w:r>
        <w:rPr>
          <w:b/>
          <w:bCs/>
        </w:rPr>
        <w:t xml:space="preserve">Off-site receiving</w:t>
      </w:r>
      <w:r>
        <w:t xml:space="preserve">: same as above</w:t>
      </w:r>
    </w:p>
    <w:p>
      <w:pPr>
        <w:pStyle w:val="Compact"/>
        <w:numPr>
          <w:ilvl w:val="0"/>
          <w:numId w:val="1029"/>
        </w:numPr>
      </w:pPr>
      <w:r>
        <w:rPr>
          <w:b/>
          <w:bCs/>
        </w:rPr>
        <w:t xml:space="preserve">Any system-generated LOT without a pre-printed tag</w:t>
      </w:r>
      <w:r>
        <w:t xml:space="preserve"> </w:t>
      </w:r>
      <w:r>
        <w:t xml:space="preserve">(edge case — e.g., emergency re-identification)</w:t>
      </w:r>
    </w:p>
    <w:p>
      <w:pPr>
        <w:pStyle w:val="FirstParagraph"/>
      </w:pPr>
      <w:r>
        <w:t xml:space="preserve">(FRS 3.13.1, 2.2.1)</w:t>
      </w:r>
    </w:p>
    <w:bookmarkEnd w:id="145"/>
    <w:bookmarkEnd w:id="146"/>
    <w:bookmarkStart w:id="148" w:name="lot-attribute-auditing"/>
    <w:p>
      <w:pPr>
        <w:pStyle w:val="Heading3"/>
      </w:pPr>
      <w:r>
        <w:t xml:space="preserve">5.9 LOT Attribute Auditing</w:t>
      </w:r>
    </w:p>
    <w:bookmarkStart w:id="147"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47"/>
    <w:bookmarkEnd w:id="148"/>
    <w:bookmarkStart w:id="150" w:name="X39583a7f0cda023775c723f8ac9bdff0554bcaa"/>
    <w:p>
      <w:pPr>
        <w:pStyle w:val="Heading3"/>
      </w:pPr>
      <w:r>
        <w:t xml:space="preserve">5.10 Part Identity Change — Trim to Machining —</w:t>
      </w:r>
      <w:r>
        <w:t xml:space="preserve"> </w:t>
      </w:r>
      <w:r>
        <w:rPr>
          <w:rStyle w:val="VerbatimChar"/>
        </w:rPr>
        <w:t xml:space="preserve">MVP</w:t>
      </w:r>
    </w:p>
    <w:p>
      <w:pPr>
        <w:pStyle w:val="FirstParagraph"/>
      </w:pPr>
      <w:r>
        <w:t xml:space="preserve">Per MPP Engineering: a part</w:t>
      </w:r>
      <w:r>
        <w:t xml:space="preserve"> </w:t>
      </w:r>
      <w:r>
        <w:rPr>
          <w:b/>
          <w:bCs/>
        </w:rPr>
        <w:t xml:space="preserve">changes identity</w:t>
      </w:r>
      <w:r>
        <w:t xml:space="preserve"> </w:t>
      </w:r>
      <w:r>
        <w:t xml:space="preserve">as it crosses from the Trim Shop into Machining — the physical piece is the same but carries a different part number on each side of the boundary. Within Casting and Trim the LOT keeps a single cast-part identity (Trim is sprue removal and deburr; yield losses are recorded as</w:t>
      </w:r>
      <w:r>
        <w:t xml:space="preserve"> </w:t>
      </w:r>
      <w:r>
        <w:rPr>
          <w:rStyle w:val="VerbatimChar"/>
        </w:rPr>
        <w:t xml:space="preserve">RejectEvent</w:t>
      </w:r>
      <w:r>
        <w:t xml:space="preserve"> </w:t>
      </w:r>
      <w:r>
        <w:t xml:space="preserve">rows on the same LOT, not as a rename). The rename happens only when Machining begins. Honda genealogy queries MUST resolve across this rename so a shipped part traces back to its cast origin.</w:t>
      </w:r>
    </w:p>
    <w:p>
      <w:pPr>
        <w:pStyle w:val="BodyText"/>
      </w:pPr>
      <w:r>
        <w:t xml:space="preserve">The Trim → Machining boundary is modeled as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 no dedicated</w:t>
      </w:r>
      <w:r>
        <w:t xml:space="preserve"> </w:t>
      </w:r>
      <w:r>
        <w:rPr>
          <w:rStyle w:val="VerbatimChar"/>
        </w:rPr>
        <w:t xml:space="preserve">Parts.ItemTransform</w:t>
      </w:r>
      <w:r>
        <w:t xml:space="preserve"> </w:t>
      </w:r>
      <w:r>
        <w:t xml:space="preserve">bridge table is needed.</w:t>
      </w:r>
    </w:p>
    <w:bookmarkStart w:id="149" w:name="X3879e7ea167e8756e3f5974d01dafaeb937a716"/>
    <w:p>
      <w:pPr>
        <w:pStyle w:val="Heading4"/>
      </w:pPr>
      <w:r>
        <w:t xml:space="preserve">FDS-05-033 — Trim → Machining Rename via 1-Line BOM —</w:t>
      </w:r>
      <w:r>
        <w:t xml:space="preserve"> </w:t>
      </w:r>
      <w:r>
        <w:rPr>
          <w:rStyle w:val="VerbatimChar"/>
        </w:rPr>
        <w:t xml:space="preserve">MVP</w:t>
      </w:r>
    </w:p>
    <w:p>
      <w:pPr>
        <w:pStyle w:val="FirstParagraph"/>
      </w:pPr>
      <w:r>
        <w:t xml:space="preserve">The machining-side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trim-side</w:t>
      </w:r>
      <w:r>
        <w:t xml:space="preserve"> </w:t>
      </w:r>
      <w:r>
        <w:rPr>
          <w:rStyle w:val="VerbatimChar"/>
        </w:rPr>
        <w:t xml:space="preserve">Item</w:t>
      </w:r>
      <w:r>
        <w:t xml:space="preserve"> </w:t>
      </w:r>
      <w:r>
        <w:t xml:space="preserve">(the cast part as it exits Trim) at</w:t>
      </w:r>
      <w:r>
        <w:t xml:space="preserve"> </w:t>
      </w:r>
      <w:r>
        <w:rPr>
          <w:rStyle w:val="VerbatimChar"/>
        </w:rPr>
        <w:t xml:space="preserve">QtyPer = 1</w:t>
      </w:r>
      <w:r>
        <w:t xml:space="preserve">. At the first Machining Cell, when an operator scans a trim-side LOT into the Cell, the MES SHALL:</w:t>
      </w:r>
    </w:p>
    <w:p>
      <w:pPr>
        <w:pStyle w:val="Compact"/>
        <w:numPr>
          <w:ilvl w:val="0"/>
          <w:numId w:val="1030"/>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30"/>
        </w:numPr>
      </w:pPr>
      <w:r>
        <w:t xml:space="preserve">For each such item, check whether its BOM’s single line references the scanned LOT’s Item. The matching machined item is the destination part.</w:t>
      </w:r>
    </w:p>
    <w:p>
      <w:pPr>
        <w:pStyle w:val="Compact"/>
        <w:numPr>
          <w:ilvl w:val="0"/>
          <w:numId w:val="1030"/>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30"/>
        </w:numPr>
      </w:pPr>
      <w:r>
        <w:t xml:space="preserve">On</w:t>
      </w:r>
      <w:r>
        <w:t xml:space="preserve"> </w:t>
      </w:r>
      <w:r>
        <w:rPr>
          <w:b/>
          <w:bCs/>
        </w:rPr>
        <w:t xml:space="preserve">Yes</w:t>
      </w:r>
      <w:r>
        <w:t xml:space="preserve">: create a new destination LOT under the machined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trim</w:t>
      </w:r>
      <w:r>
        <w:t xml:space="preserve">,</w:t>
      </w:r>
      <w:r>
        <w:t xml:space="preserve"> </w:t>
      </w:r>
      <w:r>
        <w:rPr>
          <w:rStyle w:val="VerbatimChar"/>
        </w:rPr>
        <w:t xml:space="preserve">ProducedItemId = machined</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30"/>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a shipped machined LOT (or any LOT downstream of Machining) recovers the trim/cast LOT via the</w:t>
      </w:r>
      <w:r>
        <w:t xml:space="preserve"> </w:t>
      </w:r>
      <w:r>
        <w:rPr>
          <w:rStyle w:val="VerbatimChar"/>
        </w:rPr>
        <w:t xml:space="preserve">Consumption</w:t>
      </w:r>
      <w:r>
        <w:t xml:space="preserve"> </w:t>
      </w:r>
      <w:r>
        <w:t xml:space="preserve">edge written at Machining IN. Because Casting and Trim are the same</w:t>
      </w:r>
      <w:r>
        <w:t xml:space="preserve"> </w:t>
      </w:r>
      <w:r>
        <w:rPr>
          <w:rStyle w:val="VerbatimChar"/>
        </w:rPr>
        <w:t xml:space="preserve">LotId</w:t>
      </w:r>
      <w:r>
        <w:t xml:space="preserve">, the trim/cast LOT carries the original Die Cast</w:t>
      </w:r>
      <w:r>
        <w:t xml:space="preserve"> </w:t>
      </w:r>
      <w:r>
        <w:rPr>
          <w:rStyle w:val="VerbatimChar"/>
        </w:rPr>
        <w:t xml:space="preserve">ProductionEvent</w:t>
      </w:r>
      <w:r>
        <w:t xml:space="preserve"> </w:t>
      </w:r>
      <w:r>
        <w:t xml:space="preserve">rows directly — the cast machine, die, cavity, operator, and timestamp are reachable in one read against that same LOT. No special join or ItemTransform lookup — trace works exactly as for any assembly consumption.</w:t>
      </w:r>
    </w:p>
    <w:p>
      <w:pPr>
        <w:pStyle w:val="BodyText"/>
      </w:pPr>
      <w:r>
        <w:rPr>
          <w:b/>
          <w:bCs/>
        </w:rPr>
        <w:t xml:space="preserve">Why this is enough:</w:t>
      </w:r>
      <w:r>
        <w:t xml:space="preserve"> </w:t>
      </w:r>
      <w:r>
        <w:t xml:space="preserve">the machined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49"/>
    <w:bookmarkEnd w:id="150"/>
    <w:bookmarkEnd w:id="151"/>
    <w:bookmarkStart w:id="192" w:name="production-execution-mvp-expanded"/>
    <w:p>
      <w:pPr>
        <w:pStyle w:val="Heading2"/>
      </w:pPr>
      <w:r>
        <w:t xml:space="preserve">6. Production Execution —</w:t>
      </w:r>
      <w:r>
        <w:t xml:space="preserve"> </w:t>
      </w:r>
      <w:r>
        <w:rPr>
          <w:rStyle w:val="VerbatimChar"/>
        </w:rPr>
        <w:t xml:space="preserve">MVP-EXPANDED</w:t>
      </w:r>
    </w:p>
    <w:bookmarkStart w:id="152"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52"/>
    <w:bookmarkStart w:id="156" w:name="die-cast-workflow"/>
    <w:p>
      <w:pPr>
        <w:pStyle w:val="Heading3"/>
      </w:pPr>
      <w:r>
        <w:t xml:space="preserve">6.2 Die Cast Workflow</w:t>
      </w:r>
    </w:p>
    <w:bookmarkStart w:id="153"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53"/>
    <w:bookmarkStart w:id="154"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54"/>
    <w:bookmarkStart w:id="155" w:name="fds-06-003-die-cast-production-event"/>
    <w:p>
      <w:pPr>
        <w:pStyle w:val="Heading4"/>
      </w:pPr>
      <w:r>
        <w:t xml:space="preserve">FDS-06-003 — Die Cast Production Event</w:t>
      </w:r>
    </w:p>
    <w:p>
      <w:pPr>
        <w:pStyle w:val="FirstParagraph"/>
      </w:pPr>
      <w:r>
        <w:t xml:space="preserve">On operator submission at a Die Cast checkpoint (e.g., basket close, end-of-shift handoff, scrap-from-location action), the system SHALL (per FDS-03-017a, in one transaction):</w:t>
      </w:r>
    </w:p>
    <w:p>
      <w:pPr>
        <w:pStyle w:val="Compact"/>
        <w:numPr>
          <w:ilvl w:val="0"/>
          <w:numId w:val="1031"/>
        </w:numPr>
      </w:pPr>
      <w:r>
        <w:t xml:space="preserve">Write an immutable</w:t>
      </w:r>
      <w:r>
        <w:t xml:space="preserve"> </w:t>
      </w:r>
      <w:r>
        <w:rPr>
          <w:rStyle w:val="VerbatimChar"/>
        </w:rPr>
        <w:t xml:space="preserve">Workorder.ProductionEvent</w:t>
      </w:r>
      <w:r>
        <w:t xml:space="preserve"> </w:t>
      </w:r>
      <w:r>
        <w:t xml:space="preserve">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optional</w:t>
      </w:r>
      <w:r>
        <w:t xml:space="preserve"> </w:t>
      </w:r>
      <w:r>
        <w:rPr>
          <w:rStyle w:val="VerbatimChar"/>
        </w:rPr>
        <w:t xml:space="preserve">ScrapSourceId</w:t>
      </w:r>
      <w:r>
        <w:t xml:space="preserve"> </w:t>
      </w:r>
      <w:r>
        <w:t xml:space="preserve">(non-NULL only when this checkpoint is a scrap-driving action),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p>
    <w:p>
      <w:pPr>
        <w:pStyle w:val="Compact"/>
        <w:numPr>
          <w:ilvl w:val="0"/>
          <w:numId w:val="1031"/>
        </w:numPr>
      </w:pPr>
      <w:r>
        <w:t xml:space="preserve">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p>
    <w:p>
      <w:pPr>
        <w:pStyle w:val="Compact"/>
        <w:numPr>
          <w:ilvl w:val="0"/>
          <w:numId w:val="1031"/>
        </w:numPr>
      </w:pPr>
      <w:r>
        <w:t xml:space="preserve">Update the LOT’s</w:t>
      </w:r>
      <w:r>
        <w:t xml:space="preserve"> </w:t>
      </w:r>
      <w:r>
        <w:rPr>
          <w:rStyle w:val="VerbatimChar"/>
        </w:rPr>
        <w:t xml:space="preserve">PieceCount</w:t>
      </w:r>
      <w:r>
        <w:t xml:space="preserve"> </w:t>
      </w:r>
      <w:r>
        <w:t xml:space="preserve">to reflect the current good count (derivation:</w:t>
      </w:r>
      <w:r>
        <w:t xml:space="preserve"> </w:t>
      </w:r>
      <w:r>
        <w:rPr>
          <w:rStyle w:val="VerbatimChar"/>
        </w:rPr>
        <w:t xml:space="preserve">ShotCount - ScrapCount</w:t>
      </w:r>
      <w:r>
        <w:t xml:space="preserve"> </w:t>
      </w:r>
      <w:r>
        <w:t xml:space="preserve">since last event, plus any adjustments).</w:t>
      </w:r>
    </w:p>
    <w:p>
      <w:pPr>
        <w:pStyle w:val="Compact"/>
        <w:numPr>
          <w:ilvl w:val="0"/>
          <w:numId w:val="1031"/>
        </w:numPr>
      </w:pPr>
      <w:r>
        <w:t xml:space="preserve">Log to</w:t>
      </w:r>
      <w:r>
        <w:t xml:space="preserve"> </w:t>
      </w:r>
      <w:r>
        <w:rPr>
          <w:rStyle w:val="VerbatimChar"/>
        </w:rPr>
        <w:t xml:space="preserve">Audit.OperationLog</w:t>
      </w:r>
      <w:r>
        <w:t xml:space="preserve">.</w:t>
      </w:r>
    </w:p>
    <w:p>
      <w:pPr>
        <w:pStyle w:val="FirstParagraph"/>
      </w:pPr>
      <w:r>
        <w:t xml:space="preserve">Reports that need per-event good-count deltas SHALL compute</w:t>
      </w:r>
      <w:r>
        <w:t xml:space="preserve"> </w:t>
      </w:r>
      <w:r>
        <w:rPr>
          <w:rStyle w:val="VerbatimChar"/>
        </w:rPr>
        <w:t xml:space="preserve">ShotsSinceLast = ShotCount - LAG(ShotCount) OVER (PARTITION BY LotId ORDER BY EventAt)</w:t>
      </w:r>
      <w:r>
        <w:t xml:space="preserve">.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ProductionEvent.LotId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odyText"/>
      </w:pPr>
      <w:r>
        <w:t xml:space="preserve">Warm-up shots are tracked as a downtime sub-category rather than on the production event. The Die Cast operator SHALL log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w:t>
      </w:r>
      <w:r>
        <w:t xml:space="preserve"> </w:t>
      </w:r>
      <w:r>
        <w:rPr>
          <w:rStyle w:val="VerbatimChar"/>
        </w:rPr>
        <w:t xml:space="preserve">Setup</w:t>
      </w:r>
      <w:r>
        <w:t xml:space="preserve"> </w:t>
      </w:r>
      <w:r>
        <w:t xml:space="preserve">and SHALL record the warm-up shot count in the</w:t>
      </w:r>
      <w:r>
        <w:t xml:space="preserve"> </w:t>
      </w:r>
      <w:r>
        <w:rPr>
          <w:rStyle w:val="VerbatimChar"/>
        </w:rPr>
        <w:t xml:space="preserve">ShotCount</w:t>
      </w:r>
      <w:r>
        <w:t xml:space="preserve"> </w:t>
      </w:r>
      <w:r>
        <w:t xml:space="preserve">column on that downtime event. Good and bad production shot counts remain on the</w:t>
      </w:r>
      <w:r>
        <w:t xml:space="preserve"> </w:t>
      </w:r>
      <w:r>
        <w:rPr>
          <w:rStyle w:val="VerbatimChar"/>
        </w:rPr>
        <w:t xml:space="preserve">ProductionEvent</w:t>
      </w:r>
      <w:r>
        <w:t xml:space="preserve">. This separates warm-up activity (time and shots wasted) from production activity (good parts made).</w:t>
      </w:r>
    </w:p>
    <w:bookmarkEnd w:id="155"/>
    <w:bookmarkEnd w:id="156"/>
    <w:bookmarkStart w:id="160" w:name="trim-shop-workflow"/>
    <w:p>
      <w:pPr>
        <w:pStyle w:val="Heading3"/>
      </w:pPr>
      <w:r>
        <w:t xml:space="preserve">6.3 Trim Shop Workflow</w:t>
      </w:r>
    </w:p>
    <w:p>
      <w:pPr>
        <w:pStyle w:val="FirstParagraph"/>
      </w:pPr>
      <w:r>
        <w:t xml:space="preserve">The Trim Shop deburrs and sprues cast pieces. The LOT keeps its original cast</w:t>
      </w:r>
      <w:r>
        <w:t xml:space="preserve"> </w:t>
      </w:r>
      <w:r>
        <w:rPr>
          <w:rStyle w:val="VerbatimChar"/>
        </w:rPr>
        <w:t xml:space="preserve">ItemId</w:t>
      </w:r>
      <w:r>
        <w:t xml:space="preserve"> </w:t>
      </w:r>
      <w:r>
        <w:t xml:space="preserve">throughout Trim — sprue removal is yield loss recorded as</w:t>
      </w:r>
      <w:r>
        <w:t xml:space="preserve"> </w:t>
      </w:r>
      <w:r>
        <w:rPr>
          <w:rStyle w:val="VerbatimChar"/>
        </w:rPr>
        <w:t xml:space="preserve">RejectEvent</w:t>
      </w:r>
      <w:r>
        <w:t xml:space="preserve"> </w:t>
      </w:r>
      <w:r>
        <w:t xml:space="preserve">rows on the same LOT (per FDS-06-019), not a part-identity change. The Trim → Machining rename happens at Machining IN per FDS-05-033, not at Trim OUT. What does happen at Trim OUT is a sub-LOT split that distributes the trimmed pieces across multiple Machining Cells.</w:t>
      </w:r>
    </w:p>
    <w:bookmarkStart w:id="157" w:name="fds-06-004-trim-in"/>
    <w:p>
      <w:pPr>
        <w:pStyle w:val="Heading4"/>
      </w:pPr>
      <w:r>
        <w:t xml:space="preserve">FDS-06-004 — Trim IN</w:t>
      </w:r>
    </w:p>
    <w:p>
      <w:pPr>
        <w:pStyle w:val="FirstParagraph"/>
      </w:pPr>
      <w:r>
        <w:t xml:space="preserve">When a LOT arrives at the Trim Shop, the operator SHALL scan the LTT barcode (or pick from FIFO if the operator workflow surfaces a queue). The system SHALL record a</w:t>
      </w:r>
      <w:r>
        <w:t xml:space="preserve"> </w:t>
      </w:r>
      <w:r>
        <w:rPr>
          <w:rStyle w:val="VerbatimChar"/>
        </w:rPr>
        <w:t xml:space="preserve">LotMovement</w:t>
      </w:r>
      <w:r>
        <w:t xml:space="preserve"> </w:t>
      </w:r>
      <w:r>
        <w:t xml:space="preserve">to the Trim Cell. (FRS 2.2.3)</w:t>
      </w:r>
    </w:p>
    <w:bookmarkEnd w:id="157"/>
    <w:bookmarkStart w:id="158"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p>
    <w:p>
      <w:pPr>
        <w:pStyle w:val="Compact"/>
        <w:numPr>
          <w:ilvl w:val="0"/>
          <w:numId w:val="1032"/>
        </w:numPr>
      </w:pPr>
      <w:r>
        <w:t xml:space="preserve">Operator reads the basket weight from the scale (manual entry or OmniServer integration)</w:t>
      </w:r>
    </w:p>
    <w:p>
      <w:pPr>
        <w:pStyle w:val="Compact"/>
        <w:numPr>
          <w:ilvl w:val="0"/>
          <w:numId w:val="1032"/>
        </w:numPr>
      </w:pPr>
      <w:r>
        <w:t xml:space="preserve">The system SHALL calculate a theoretical piece count:</w:t>
      </w:r>
      <w:r>
        <w:t xml:space="preserve"> </w:t>
      </w:r>
      <w:r>
        <w:rPr>
          <w:rStyle w:val="VerbatimChar"/>
        </w:rPr>
        <w:t xml:space="preserve">Weight / Item.UnitWeight</w:t>
      </w:r>
    </w:p>
    <w:p>
      <w:pPr>
        <w:pStyle w:val="Compact"/>
        <w:numPr>
          <w:ilvl w:val="0"/>
          <w:numId w:val="1032"/>
        </w:numPr>
      </w:pPr>
      <w:r>
        <w:t xml:space="preserve">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p>
    <w:p>
      <w:pPr>
        <w:pStyle w:val="Compact"/>
        <w:numPr>
          <w:ilvl w:val="0"/>
          <w:numId w:val="1032"/>
        </w:numPr>
      </w:pPr>
      <w:r>
        <w:t xml:space="preserve">The system SHALL NOT block production if the count changes — it logs the adjustment (FRS 2.2.3:</w:t>
      </w:r>
      <w:r>
        <w:t xml:space="preserve"> </w:t>
      </w:r>
      <w:r>
        <w:t xml:space="preserve">“MES takes no specific action if the LOT quantity has changed”</w:t>
      </w:r>
      <w:r>
        <w:t xml:space="preserve">)</w:t>
      </w:r>
    </w:p>
    <w:p>
      <w:pPr>
        <w:pStyle w:val="Compact"/>
        <w:numPr>
          <w:ilvl w:val="0"/>
          <w:numId w:val="1032"/>
        </w:numPr>
      </w:pPr>
      <w:r>
        <w:t xml:space="preserve">Any count adjustment SHALL be recorded in</w:t>
      </w:r>
      <w:r>
        <w:t xml:space="preserve"> </w:t>
      </w:r>
      <w:r>
        <w:rPr>
          <w:rStyle w:val="VerbatimChar"/>
        </w:rPr>
        <w:t xml:space="preserve">LotAttributeChange</w:t>
      </w:r>
    </w:p>
    <w:bookmarkEnd w:id="158"/>
    <w:bookmarkStart w:id="159" w:name="X0abcde688e68142d0235717555864a4c699c026"/>
    <w:p>
      <w:pPr>
        <w:pStyle w:val="Heading4"/>
      </w:pPr>
      <w:r>
        <w:t xml:space="preserve">FDS-06-006 — Trim OUT (ProductionEvent + Sub-LOT Split to Machining FIFO)</w:t>
      </w:r>
    </w:p>
    <w:p>
      <w:pPr>
        <w:pStyle w:val="FirstParagraph"/>
      </w:pPr>
      <w:r>
        <w:t xml:space="preserve">When Trim work completes, the operator SHALL trigger Trim OUT for the LOT. The system SHALL, in one transaction:</w:t>
      </w:r>
    </w:p>
    <w:p>
      <w:pPr>
        <w:pStyle w:val="Compact"/>
        <w:numPr>
          <w:ilvl w:val="0"/>
          <w:numId w:val="1033"/>
        </w:numPr>
      </w:pPr>
      <w:r>
        <w:t xml:space="preserve">Write a</w:t>
      </w:r>
      <w:r>
        <w:t xml:space="preserve"> </w:t>
      </w:r>
      <w:r>
        <w:rPr>
          <w:rStyle w:val="VerbatimChar"/>
        </w:rPr>
        <w:t xml:space="preserve">Workorder.ProductionEvent</w:t>
      </w:r>
      <w:r>
        <w:t xml:space="preserve"> </w:t>
      </w:r>
      <w:r>
        <w:t xml:space="preserve">checkpoint row recording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for the Trim operation. Per-piece scrap (sprue removal yield loss) is captured in the cumulative</w:t>
      </w:r>
      <w:r>
        <w:t xml:space="preserve"> </w:t>
      </w:r>
      <w:r>
        <w:rPr>
          <w:rStyle w:val="VerbatimChar"/>
        </w:rPr>
        <w:t xml:space="preserve">ScrapCount</w:t>
      </w:r>
      <w:r>
        <w:t xml:space="preserve"> </w:t>
      </w:r>
      <w:r>
        <w:t xml:space="preserve">delta; defective trim outputs use</w:t>
      </w:r>
      <w:r>
        <w:t xml:space="preserve"> </w:t>
      </w:r>
      <w:r>
        <w:rPr>
          <w:rStyle w:val="VerbatimChar"/>
        </w:rPr>
        <w:t xml:space="preserve">RejectEvent</w:t>
      </w:r>
      <w:r>
        <w:t xml:space="preserve"> </w:t>
      </w:r>
      <w:r>
        <w:t xml:space="preserve">per FDS-06-019.</w:t>
      </w:r>
    </w:p>
    <w:p>
      <w:pPr>
        <w:pStyle w:val="Compact"/>
        <w:numPr>
          <w:ilvl w:val="0"/>
          <w:numId w:val="1033"/>
        </w:numPr>
      </w:pPr>
      <w:r>
        <w:t xml:space="preserve">Invoke the sub-LOT split workflow per FDS-05-009 — N child sub-LOTs are created, each inheriting the parent’s cast/trim</w:t>
      </w:r>
      <w:r>
        <w:t xml:space="preserve"> </w:t>
      </w:r>
      <w:r>
        <w:rPr>
          <w:rStyle w:val="VerbatimChar"/>
        </w:rPr>
        <w:t xml:space="preserve">ItemId</w:t>
      </w:r>
      <w:r>
        <w:t xml:space="preserve">, each routed to a Machining Cell selected by the operator (scan or dropdown per FDS-02-009).</w:t>
      </w:r>
    </w:p>
    <w:p>
      <w:pPr>
        <w:pStyle w:val="Compact"/>
        <w:numPr>
          <w:ilvl w:val="0"/>
          <w:numId w:val="1033"/>
        </w:numPr>
      </w:pPr>
      <w:r>
        <w:t xml:space="preserve">The split operation deposits each sub-LOT into the destination Machining Cell’s FIFO queue (visible at FDS-06-007). The parent LOT closes when all pieces are split off (</w:t>
      </w:r>
      <w:r>
        <w:rPr>
          <w:rStyle w:val="VerbatimChar"/>
        </w:rPr>
        <w:t xml:space="preserve">LotStatusCode = Closed</w:t>
      </w:r>
      <w:r>
        <w:t xml:space="preserve">); a partial parent may persist if the operator splits off only some pieces and resumes later.</w:t>
      </w:r>
    </w:p>
    <w:p>
      <w:pPr>
        <w:pStyle w:val="FirstParagraph"/>
      </w:pPr>
      <w:r>
        <w:t xml:space="preserve">A LOT with only one Machining destination MAY skip the multi-way split — the operator selects a single destination Cell and the LOT moves there as a single (degenerate) sub-LOT, retaining its cast/trim</w:t>
      </w:r>
      <w:r>
        <w:t xml:space="preserve"> </w:t>
      </w:r>
      <w:r>
        <w:rPr>
          <w:rStyle w:val="VerbatimChar"/>
        </w:rPr>
        <w:t xml:space="preserve">ItemId</w:t>
      </w:r>
      <w:r>
        <w:t xml:space="preserve"> </w:t>
      </w:r>
      <w:r>
        <w:t xml:space="preserve">until Machining IN.</w:t>
      </w:r>
    </w:p>
    <w:bookmarkEnd w:id="159"/>
    <w:bookmarkEnd w:id="160"/>
    <w:bookmarkStart w:id="164" w:name="machining-workflow"/>
    <w:p>
      <w:pPr>
        <w:pStyle w:val="Heading3"/>
      </w:pPr>
      <w:r>
        <w:t xml:space="preserve">6.4 Machining Workflow</w:t>
      </w:r>
    </w:p>
    <w:p>
      <w:pPr>
        <w:pStyle w:val="FirstParagraph"/>
      </w:pPr>
      <w:r>
        <w:t xml:space="preserve">Machining receives sub-LOTs from Trim OUT (FDS-06-006), processes them, and feeds the machined output directly to a coupled Assembly Cell. The Machining → Assembly hand-off is automatic — operators do not scan or move LOTs out of Machining.</w:t>
      </w:r>
    </w:p>
    <w:bookmarkStart w:id="161" w:name="Xa06ebf60d9998385cd34a20d5e7b0ce49b62663"/>
    <w:p>
      <w:pPr>
        <w:pStyle w:val="Heading4"/>
      </w:pPr>
      <w:r>
        <w:t xml:space="preserve">FDS-06-007 — Machining IN (FIFO Pick + Trim → Machining Rename)</w:t>
      </w:r>
    </w:p>
    <w:p>
      <w:pPr>
        <w:pStyle w:val="FirstParagraph"/>
      </w:pPr>
      <w:r>
        <w:t xml:space="preserve">Each Machining Cell SHALL surface a FIFO queue of cast/trim sub-LOTs that have been routed to it via Trim OUT (FDS-06-006). The queue is ordered by arrival time (</w:t>
      </w:r>
      <w:r>
        <w:rPr>
          <w:rStyle w:val="VerbatimChar"/>
        </w:rPr>
        <w:t xml:space="preserve">LotMovement.MovedAt</w:t>
      </w:r>
      <w:r>
        <w:t xml:space="preserve"> </w:t>
      </w:r>
      <w:r>
        <w:t xml:space="preserve">of the most recent move into this Cell). Operators MAY override queue order (FRS 2.2.4).</w:t>
      </w:r>
    </w:p>
    <w:p>
      <w:pPr>
        <w:pStyle w:val="BodyText"/>
      </w:pPr>
      <w:r>
        <w:t xml:space="preserve">When the operator picks the next sub-LOT (or the system advances to it automatically when the prior LOT completes), the MES SHALL:</w:t>
      </w:r>
    </w:p>
    <w:p>
      <w:pPr>
        <w:pStyle w:val="Compact"/>
        <w:numPr>
          <w:ilvl w:val="0"/>
          <w:numId w:val="1034"/>
        </w:numPr>
      </w:pPr>
      <w:r>
        <w:t xml:space="preserve">Apply the</w:t>
      </w:r>
      <w:r>
        <w:t xml:space="preserve"> </w:t>
      </w:r>
      <w:r>
        <w:rPr>
          <w:b/>
          <w:bCs/>
        </w:rPr>
        <w:t xml:space="preserve">Trim → Machining rename</w:t>
      </w:r>
      <w:r>
        <w:t xml:space="preserve"> </w:t>
      </w:r>
      <w:r>
        <w:t xml:space="preserve">per FDS-05-033 — write a</w:t>
      </w:r>
      <w:r>
        <w:t xml:space="preserve"> </w:t>
      </w:r>
      <w:r>
        <w:rPr>
          <w:rStyle w:val="VerbatimChar"/>
        </w:rPr>
        <w:t xml:space="preserve">Workorder.ConsumptionEvent</w:t>
      </w:r>
      <w:r>
        <w:t xml:space="preserve"> </w:t>
      </w:r>
      <w:r>
        <w:t xml:space="preserve">consuming the cast/trim sub-LOT and producing a new machined LOT under the destination Item (the machined-side</w:t>
      </w:r>
      <w:r>
        <w:t xml:space="preserve"> </w:t>
      </w:r>
      <w:r>
        <w:rPr>
          <w:rStyle w:val="VerbatimChar"/>
        </w:rPr>
        <w:t xml:space="preserve">Parts.Item</w:t>
      </w:r>
      <w:r>
        <w:t xml:space="preserve"> </w:t>
      </w:r>
      <w:r>
        <w:t xml:space="preserve">whose 1-line BOM matches the picked sub-LOT’s</w:t>
      </w:r>
      <w:r>
        <w:t xml:space="preserve"> </w:t>
      </w:r>
      <w:r>
        <w:rPr>
          <w:rStyle w:val="VerbatimChar"/>
        </w:rPr>
        <w:t xml:space="preserve">ItemId</w:t>
      </w:r>
      <w:r>
        <w:t xml:space="preserve">). The operator scans a fresh LTT for the new machined LOT.</w:t>
      </w:r>
    </w:p>
    <w:p>
      <w:pPr>
        <w:pStyle w:val="Compact"/>
        <w:numPr>
          <w:ilvl w:val="0"/>
          <w:numId w:val="1034"/>
        </w:numPr>
      </w:pPr>
      <w:r>
        <w:t xml:space="preserve">Set the new machined LOT’s</w:t>
      </w:r>
      <w:r>
        <w:t xml:space="preserve"> </w:t>
      </w:r>
      <w:r>
        <w:rPr>
          <w:rStyle w:val="VerbatimChar"/>
        </w:rPr>
        <w:t xml:space="preserve">CurrentLocationId</w:t>
      </w:r>
      <w:r>
        <w:t xml:space="preserve"> </w:t>
      </w:r>
      <w:r>
        <w:t xml:space="preserve">to this Machining Cell.</w:t>
      </w:r>
    </w:p>
    <w:p>
      <w:pPr>
        <w:pStyle w:val="Compact"/>
        <w:numPr>
          <w:ilvl w:val="0"/>
          <w:numId w:val="1034"/>
        </w:numPr>
      </w:pPr>
      <w:r>
        <w:t xml:space="preserve">Write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Consumption</w:t>
      </w:r>
      <w:r>
        <w:t xml:space="preserve"> </w:t>
      </w:r>
      <w:r>
        <w:t xml:space="preserve">linking the cast/trim sub-LOT to the new machined LOT.</w:t>
      </w:r>
    </w:p>
    <w:p>
      <w:pPr>
        <w:pStyle w:val="Compact"/>
        <w:numPr>
          <w:ilvl w:val="0"/>
          <w:numId w:val="1034"/>
        </w:numPr>
      </w:pPr>
      <w:r>
        <w:t xml:space="preserve">Display the LOT’s current piece count and Item details for operator confirmation.</w:t>
      </w:r>
    </w:p>
    <w:p>
      <w:pPr>
        <w:pStyle w:val="FirstParagraph"/>
      </w:pPr>
      <w:r>
        <w:t xml:space="preserve">No separate</w:t>
      </w:r>
      <w:r>
        <w:t xml:space="preserve"> </w:t>
      </w:r>
      <w:r>
        <w:t xml:space="preserve">“scan LTT to receive at Machining”</w:t>
      </w:r>
      <w:r>
        <w:t xml:space="preserve"> </w:t>
      </w:r>
      <w:r>
        <w:t xml:space="preserve">step exists — the sub-LOT was already placed in this Cell’s queue at Trim OUT, and the rename + machined-LOT creation are the receive event.</w:t>
      </w:r>
    </w:p>
    <w:bookmarkEnd w:id="161"/>
    <w:bookmarkStart w:id="162" w:name="Xb2e3b22e3625857a62af72b283cf7f26aa88596"/>
    <w:p>
      <w:pPr>
        <w:pStyle w:val="Heading4"/>
      </w:pPr>
      <w:r>
        <w:t xml:space="preserve">FDS-06-008 — Machining OUT (Auto-Completion + Auto-Move to Coupled Assembly Cell)</w:t>
      </w:r>
    </w:p>
    <w:p>
      <w:pPr>
        <w:pStyle w:val="FirstParagraph"/>
      </w:pPr>
      <w:r>
        <w:t xml:space="preserve">Machining OUT SHALL be event-driven, not operator-initiated. When the machine signals completion of the Machining operation on a LOT (via PLC integration per §10), the MES SHALL:</w:t>
      </w:r>
    </w:p>
    <w:p>
      <w:pPr>
        <w:pStyle w:val="Compact"/>
        <w:numPr>
          <w:ilvl w:val="0"/>
          <w:numId w:val="1035"/>
        </w:numPr>
      </w:pPr>
      <w:r>
        <w:t xml:space="preserve">Write a</w:t>
      </w:r>
      <w:r>
        <w:t xml:space="preserve"> </w:t>
      </w:r>
      <w:r>
        <w:rPr>
          <w:rStyle w:val="VerbatimChar"/>
        </w:rPr>
        <w:t xml:space="preserve">Workorder.ProductionEvent</w:t>
      </w:r>
      <w:r>
        <w:t xml:space="preserve"> </w:t>
      </w:r>
      <w:r>
        <w:t xml:space="preserve">checkpoint row for the Machining operation — cumulative counters, defect codes via</w:t>
      </w:r>
      <w:r>
        <w:t xml:space="preserve"> </w:t>
      </w:r>
      <w:r>
        <w:rPr>
          <w:rStyle w:val="VerbatimChar"/>
        </w:rPr>
        <w:t xml:space="preserve">RejectEvent</w:t>
      </w:r>
      <w:r>
        <w:t xml:space="preserve"> </w:t>
      </w:r>
      <w:r>
        <w:t xml:space="preserve">if any, operator, timestamp.</w:t>
      </w:r>
    </w:p>
    <w:p>
      <w:pPr>
        <w:pStyle w:val="Compact"/>
        <w:numPr>
          <w:ilvl w:val="0"/>
          <w:numId w:val="1035"/>
        </w:numPr>
      </w:pPr>
      <w:r>
        <w:t xml:space="preserve">Auto-write a</w:t>
      </w:r>
      <w:r>
        <w:t xml:space="preserve"> </w:t>
      </w:r>
      <w:r>
        <w:rPr>
          <w:rStyle w:val="VerbatimChar"/>
        </w:rPr>
        <w:t xml:space="preserve">LotMovement</w:t>
      </w:r>
      <w:r>
        <w:t xml:space="preserve"> </w:t>
      </w:r>
      <w:r>
        <w:t xml:space="preserve">from this Machining Cell to the</w:t>
      </w:r>
      <w:r>
        <w:t xml:space="preserve"> </w:t>
      </w:r>
      <w:r>
        <w:rPr>
          <w:b/>
          <w:bCs/>
        </w:rPr>
        <w:t xml:space="preserve">coupled downstream Cell</w:t>
      </w:r>
      <w:r>
        <w:t xml:space="preserve"> </w:t>
      </w:r>
      <w:r>
        <w:t xml:space="preserve">(typically the paired Assembly Cell within the same WorkCenter). No operator scan or confirmation is required.</w:t>
      </w:r>
    </w:p>
    <w:p>
      <w:pPr>
        <w:pStyle w:val="Compact"/>
        <w:numPr>
          <w:ilvl w:val="0"/>
          <w:numId w:val="1035"/>
        </w:numPr>
      </w:pPr>
      <w:r>
        <w:t xml:space="preserve">Update the machined LOT’s</w:t>
      </w:r>
      <w:r>
        <w:t xml:space="preserve"> </w:t>
      </w:r>
      <w:r>
        <w:rPr>
          <w:rStyle w:val="VerbatimChar"/>
        </w:rPr>
        <w:t xml:space="preserve">CurrentLocationId</w:t>
      </w:r>
      <w:r>
        <w:t xml:space="preserve"> </w:t>
      </w:r>
      <w:r>
        <w:t xml:space="preserve">to the coupled downstream Cell.</w:t>
      </w:r>
    </w:p>
    <w:p>
      <w:pPr>
        <w:pStyle w:val="FirstParagraph"/>
      </w:pPr>
      <w:r>
        <w:rPr>
          <w:b/>
          <w:bCs/>
        </w:rPr>
        <w:t xml:space="preserve">Coupling configuration.</w:t>
      </w:r>
      <w:r>
        <w:t xml:space="preserve"> </w:t>
      </w:r>
      <w:r>
        <w:t xml:space="preserve">Each Machining Cell that is coupled to a specific downstream Cell SHALL carry a</w:t>
      </w:r>
      <w:r>
        <w:t xml:space="preserve"> </w:t>
      </w:r>
      <w:r>
        <w:rPr>
          <w:rStyle w:val="VerbatimChar"/>
        </w:rPr>
        <w:t xml:space="preserve">CoupledDownstreamCellLocationId</w:t>
      </w:r>
      <w:r>
        <w:t xml:space="preserve"> </w:t>
      </w:r>
      <w:r>
        <w:rPr>
          <w:rStyle w:val="VerbatimChar"/>
        </w:rPr>
        <w:t xml:space="preserve">LocationAttribute</w:t>
      </w:r>
      <w:r>
        <w:t xml:space="preserve"> </w:t>
      </w:r>
      <w:r>
        <w:t xml:space="preserve">referencing that Cell. When non-NULL, completion fires the auto-move described above. When NULL, completion writes the</w:t>
      </w:r>
      <w:r>
        <w:t xml:space="preserve"> </w:t>
      </w:r>
      <w:r>
        <w:rPr>
          <w:rStyle w:val="VerbatimChar"/>
        </w:rPr>
        <w:t xml:space="preserve">ProductionEvent</w:t>
      </w:r>
      <w:r>
        <w:t xml:space="preserve"> </w:t>
      </w:r>
      <w:r>
        <w:t xml:space="preserve">only — the LOT stays at the Machining Cell awaiting an explicit operator-driven movement (the legacy / uncoupled path).</w:t>
      </w:r>
    </w:p>
    <w:p>
      <w:pPr>
        <w:pStyle w:val="BodyText"/>
      </w:pPr>
      <w:r>
        <w:t xml:space="preserve">The pairing is configured at deployment via the Configuration Tool’s Location admin screens. Typical setup: a paired Machining + Assembly WorkCenter has a Machining Cell whose</w:t>
      </w:r>
      <w:r>
        <w:t xml:space="preserve"> </w:t>
      </w:r>
      <w:r>
        <w:rPr>
          <w:rStyle w:val="VerbatimChar"/>
        </w:rPr>
        <w:t xml:space="preserve">CoupledDownstreamCellLocationId</w:t>
      </w:r>
      <w:r>
        <w:t xml:space="preserve"> </w:t>
      </w:r>
      <w:r>
        <w:t xml:space="preserve">points at the sibling Assembly Cell — see §2.5 example of paired terminals. (FRS 2.2.5)</w:t>
      </w:r>
    </w:p>
    <w:bookmarkEnd w:id="162"/>
    <w:bookmarkStart w:id="163"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63"/>
    <w:bookmarkEnd w:id="164"/>
    <w:bookmarkStart w:id="168" w:name="assembly-workflow-serialized-lines"/>
    <w:p>
      <w:pPr>
        <w:pStyle w:val="Heading3"/>
      </w:pPr>
      <w:r>
        <w:t xml:space="preserve">6.5 Assembly Workflow — Serialized Lines</w:t>
      </w:r>
    </w:p>
    <w:bookmarkStart w:id="165"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p>
    <w:p>
      <w:pPr>
        <w:pStyle w:val="Compact"/>
        <w:numPr>
          <w:ilvl w:val="0"/>
          <w:numId w:val="1036"/>
        </w:numPr>
      </w:pPr>
      <w:r>
        <w:t xml:space="preserve">The PLC signals</w:t>
      </w:r>
      <w:r>
        <w:t xml:space="preserve"> </w:t>
      </w:r>
      <w:r>
        <w:rPr>
          <w:rStyle w:val="VerbatimChar"/>
        </w:rPr>
        <w:t xml:space="preserve">DataReady=1</w:t>
      </w:r>
    </w:p>
    <w:p>
      <w:pPr>
        <w:pStyle w:val="Compact"/>
        <w:numPr>
          <w:ilvl w:val="0"/>
          <w:numId w:val="1036"/>
        </w:numPr>
      </w:pPr>
      <w:r>
        <w:t xml:space="preserve">The MES reads the serial number from</w:t>
      </w:r>
      <w:r>
        <w:t xml:space="preserve"> </w:t>
      </w:r>
      <w:r>
        <w:rPr>
          <w:rStyle w:val="VerbatimChar"/>
        </w:rPr>
        <w:t xml:space="preserve">PartSN</w:t>
      </w:r>
    </w:p>
    <w:p>
      <w:pPr>
        <w:pStyle w:val="Compact"/>
        <w:numPr>
          <w:ilvl w:val="0"/>
          <w:numId w:val="1036"/>
        </w:numPr>
      </w:pPr>
      <w:r>
        <w:t xml:space="preserve">The MES validates: serial number is not a duplicate, format is correct, source LOT is not on HOLD</w:t>
      </w:r>
    </w:p>
    <w:p>
      <w:pPr>
        <w:pStyle w:val="Compact"/>
        <w:numPr>
          <w:ilvl w:val="0"/>
          <w:numId w:val="1036"/>
        </w:numPr>
      </w:pPr>
      <w:r>
        <w:t xml:space="preserve">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p>
    <w:p>
      <w:pPr>
        <w:pStyle w:val="Compact"/>
        <w:numPr>
          <w:ilvl w:val="0"/>
          <w:numId w:val="1036"/>
        </w:numPr>
      </w:pPr>
      <w:r>
        <w:t xml:space="preserve">On success, the MES SHALL:</w:t>
      </w:r>
    </w:p>
    <w:p>
      <w:pPr>
        <w:pStyle w:val="Compact"/>
        <w:numPr>
          <w:ilvl w:val="1"/>
          <w:numId w:val="1037"/>
        </w:numPr>
      </w:pPr>
      <w:r>
        <w:t xml:space="preserve">Write a</w:t>
      </w:r>
      <w:r>
        <w:t xml:space="preserve"> </w:t>
      </w:r>
      <w:r>
        <w:rPr>
          <w:rStyle w:val="VerbatimChar"/>
        </w:rPr>
        <w:t xml:space="preserve">ConsumptionEvent</w:t>
      </w:r>
      <w:r>
        <w:t xml:space="preserve"> </w:t>
      </w:r>
      <w:r>
        <w:t xml:space="preserve">(source LOT(s) → produced serial number)</w:t>
      </w:r>
    </w:p>
    <w:p>
      <w:pPr>
        <w:pStyle w:val="Compact"/>
        <w:numPr>
          <w:ilvl w:val="1"/>
          <w:numId w:val="1037"/>
        </w:numPr>
      </w:pPr>
      <w:r>
        <w:t xml:space="preserve">Create a</w:t>
      </w:r>
      <w:r>
        <w:t xml:space="preserve"> </w:t>
      </w:r>
      <w:r>
        <w:rPr>
          <w:rStyle w:val="VerbatimChar"/>
        </w:rPr>
        <w:t xml:space="preserve">SerializedPart</w:t>
      </w:r>
      <w:r>
        <w:t xml:space="preserve"> </w:t>
      </w:r>
      <w:r>
        <w:t xml:space="preserve">record linking the serial to its source LOT and item</w:t>
      </w:r>
    </w:p>
    <w:p>
      <w:pPr>
        <w:pStyle w:val="Compact"/>
        <w:numPr>
          <w:ilvl w:val="1"/>
          <w:numId w:val="1037"/>
        </w:numPr>
      </w:pPr>
      <w:r>
        <w:t xml:space="preserve">Decrement the source LOT(s) piece count(s) per the BOM</w:t>
      </w:r>
    </w:p>
    <w:p>
      <w:pPr>
        <w:pStyle w:val="Compact"/>
        <w:numPr>
          <w:ilvl w:val="1"/>
          <w:numId w:val="1037"/>
        </w:numPr>
      </w:pPr>
      <w:r>
        <w:t xml:space="preserve">Place the serial into the current container tray (</w:t>
      </w:r>
      <w:r>
        <w:rPr>
          <w:rStyle w:val="VerbatimChar"/>
        </w:rPr>
        <w:t xml:space="preserve">ContainerSerial</w:t>
      </w:r>
      <w:r>
        <w:t xml:space="preserve"> </w:t>
      </w:r>
      <w:r>
        <w:t xml:space="preserve">record)</w:t>
      </w:r>
    </w:p>
    <w:p>
      <w:pPr>
        <w:pStyle w:val="Compact"/>
        <w:numPr>
          <w:ilvl w:val="1"/>
          <w:numId w:val="1037"/>
        </w:numPr>
      </w:pPr>
      <w:r>
        <w:t xml:space="preserve">Write a</w:t>
      </w:r>
      <w:r>
        <w:t xml:space="preserve"> </w:t>
      </w:r>
      <w:r>
        <w:rPr>
          <w:rStyle w:val="VerbatimChar"/>
        </w:rPr>
        <w:t xml:space="preserve">LotGenealogy</w:t>
      </w:r>
      <w:r>
        <w:t xml:space="preserve"> </w:t>
      </w:r>
      <w:r>
        <w:t xml:space="preserve">record with relationship type CONSUMPTION</w:t>
      </w:r>
    </w:p>
    <w:p>
      <w:pPr>
        <w:pStyle w:val="FirstParagraph"/>
      </w:pPr>
      <w:r>
        <w:t xml:space="preserve">(FRS 2.1.7, 2.1.10; Touchpoint Agreement Section 1.4)</w:t>
      </w:r>
    </w:p>
    <w:bookmarkEnd w:id="165"/>
    <w:bookmarkStart w:id="166"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odyText"/>
      </w:pPr>
      <w:r>
        <w:t xml:space="preserve">Strict BOM check is the default — wrong-part scans are rejected. When a substitute is genuinely required (rare; right part not available), a supervisor SHALL be able to authorize a one-shot override via FDS-04-007 elevation (AD prompt for</w:t>
      </w:r>
      <w:r>
        <w:t xml:space="preserve"> </w:t>
      </w:r>
      <w:r>
        <w:t xml:space="preserve">“BOM substitute override”</w:t>
      </w:r>
      <w:r>
        <w:t xml:space="preserve">). On successful elevation:</w:t>
      </w:r>
    </w:p>
    <w:p>
      <w:pPr>
        <w:pStyle w:val="Compact"/>
        <w:numPr>
          <w:ilvl w:val="0"/>
          <w:numId w:val="1038"/>
        </w:numPr>
      </w:pPr>
      <w:r>
        <w:t xml:space="preserve">The system SHALL accept the scanned LOT despite the BOM mismatch.</w:t>
      </w:r>
    </w:p>
    <w:p>
      <w:pPr>
        <w:pStyle w:val="Compact"/>
        <w:numPr>
          <w:ilvl w:val="0"/>
          <w:numId w:val="1038"/>
        </w:numPr>
      </w:pPr>
      <w:r>
        <w:t xml:space="preserve">The system SHALL write an</w:t>
      </w:r>
      <w:r>
        <w:t xml:space="preserve"> </w:t>
      </w:r>
      <w:r>
        <w:rPr>
          <w:rStyle w:val="VerbatimChar"/>
        </w:rPr>
        <w:t xml:space="preserve">Audit.OperationLog</w:t>
      </w:r>
      <w:r>
        <w:t xml:space="preserve"> </w:t>
      </w:r>
      <w:r>
        <w:t xml:space="preserve">row with the override event — capturing the original BOM expectation, the substitute scanned, the supervisor’s</w:t>
      </w:r>
      <w:r>
        <w:t xml:space="preserve"> </w:t>
      </w:r>
      <w:r>
        <w:rPr>
          <w:rStyle w:val="VerbatimChar"/>
        </w:rPr>
        <w:t xml:space="preserve">AppUserId</w:t>
      </w:r>
      <w:r>
        <w:t xml:space="preserve">, the operator’s</w:t>
      </w:r>
      <w:r>
        <w:t xml:space="preserve"> </w:t>
      </w:r>
      <w:r>
        <w:rPr>
          <w:rStyle w:val="VerbatimChar"/>
        </w:rPr>
        <w:t xml:space="preserve">AppUserId</w:t>
      </w:r>
      <w:r>
        <w:t xml:space="preserve">, the terminal, and the timestamp.</w:t>
      </w:r>
    </w:p>
    <w:p>
      <w:pPr>
        <w:pStyle w:val="Compact"/>
        <w:numPr>
          <w:ilvl w:val="0"/>
          <w:numId w:val="1038"/>
        </w:numPr>
      </w:pPr>
      <w:r>
        <w:t xml:space="preserve">The system SHALL proceed with normal consumption recording (FDS-06-010 step 5).</w:t>
      </w:r>
    </w:p>
    <w:p>
      <w:pPr>
        <w:pStyle w:val="FirstParagraph"/>
      </w:pPr>
      <w:r>
        <w:t xml:space="preserve">Permanent substitutes — recurring or planned — SHALL be handled via BOM revision (</w:t>
      </w:r>
      <w:r>
        <w:rPr>
          <w:rStyle w:val="VerbatimChar"/>
        </w:rPr>
        <w:t xml:space="preserve">Bom_CreateNewVersion</w:t>
      </w:r>
      <w:r>
        <w:t xml:space="preserve"> </w:t>
      </w:r>
      <w:r>
        <w:t xml:space="preserve">→ edit</w:t>
      </w:r>
      <w:r>
        <w:t xml:space="preserve"> </w:t>
      </w:r>
      <w:r>
        <w:rPr>
          <w:rStyle w:val="VerbatimChar"/>
        </w:rPr>
        <w:t xml:space="preserve">BomLine</w:t>
      </w:r>
      <w:r>
        <w:t xml:space="preserve"> </w:t>
      </w:r>
      <w:r>
        <w:t xml:space="preserve">→</w:t>
      </w:r>
      <w:r>
        <w:t xml:space="preserve"> </w:t>
      </w:r>
      <w:r>
        <w:rPr>
          <w:rStyle w:val="VerbatimChar"/>
        </w:rPr>
        <w:t xml:space="preserve">Bom_Publish</w:t>
      </w:r>
      <w:r>
        <w:t xml:space="preserve">), NOT via repeated supervisor overrides. Engineering / Quality is the BOM author; operators consuming overrides at scale is an engineering signal that the BOM needs updating.</w:t>
      </w:r>
    </w:p>
    <w:bookmarkEnd w:id="166"/>
    <w:bookmarkStart w:id="167"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p>
    <w:p>
      <w:pPr>
        <w:pStyle w:val="Compact"/>
        <w:numPr>
          <w:ilvl w:val="0"/>
          <w:numId w:val="1039"/>
        </w:numPr>
      </w:pPr>
      <w:r>
        <w:t xml:space="preserve">Still record the production event</w:t>
      </w:r>
    </w:p>
    <w:p>
      <w:pPr>
        <w:pStyle w:val="Compact"/>
        <w:numPr>
          <w:ilvl w:val="0"/>
          <w:numId w:val="1039"/>
        </w:numPr>
      </w:pPr>
      <w:r>
        <w:t xml:space="preserve">Log the</w:t>
      </w:r>
      <w:r>
        <w:t xml:space="preserve"> </w:t>
      </w:r>
      <w:r>
        <w:rPr>
          <w:rStyle w:val="VerbatimChar"/>
        </w:rPr>
        <w:t xml:space="preserve">NoRead</w:t>
      </w:r>
      <w:r>
        <w:t xml:space="preserve"> </w:t>
      </w:r>
      <w:r>
        <w:t xml:space="preserve">serial as a flag for quality review</w:t>
      </w:r>
    </w:p>
    <w:p>
      <w:pPr>
        <w:pStyle w:val="Compact"/>
        <w:numPr>
          <w:ilvl w:val="0"/>
          <w:numId w:val="1039"/>
        </w:numPr>
      </w:pPr>
      <w:r>
        <w:t xml:space="preserve">Set</w:t>
      </w:r>
      <w:r>
        <w:t xml:space="preserve"> </w:t>
      </w:r>
      <w:r>
        <w:rPr>
          <w:rStyle w:val="VerbatimChar"/>
        </w:rPr>
        <w:t xml:space="preserve">Lots.ContainerSerial.HardwareInterlockBypassed = 1</w:t>
      </w:r>
      <w:r>
        <w:t xml:space="preserve"> </w:t>
      </w:r>
      <w:r>
        <w:t xml:space="preserve">to record that serial validation was skipped for that specific serial assignment</w:t>
      </w:r>
    </w:p>
    <w:p>
      <w:pPr>
        <w:pStyle w:val="Compact"/>
        <w:numPr>
          <w:ilvl w:val="0"/>
          <w:numId w:val="1039"/>
        </w:numPr>
      </w:pPr>
      <w:r>
        <w:t xml:space="preserve">NOT block production — this is a valid operating mode, not an error condition</w:t>
      </w:r>
    </w:p>
    <w:bookmarkEnd w:id="167"/>
    <w:bookmarkEnd w:id="168"/>
    <w:bookmarkStart w:id="171" w:name="assembly-workflow-non-serialized-lines"/>
    <w:p>
      <w:pPr>
        <w:pStyle w:val="Heading3"/>
      </w:pPr>
      <w:r>
        <w:t xml:space="preserve">6.6 Assembly Workflow — Non-Serialized Lines</w:t>
      </w:r>
    </w:p>
    <w:bookmarkStart w:id="169" w:name="fds-06-013-non-serialized-assembly"/>
    <w:p>
      <w:pPr>
        <w:pStyle w:val="Heading4"/>
      </w:pPr>
      <w:r>
        <w:t xml:space="preserve">FDS-06-013 — Non-Serialized Assembly</w:t>
      </w:r>
    </w:p>
    <w:p>
      <w:pPr>
        <w:pStyle w:val="FirstParagraph"/>
      </w:pPr>
      <w:r>
        <w:t xml:space="preserve">On non-serialized lines (e.g., 6B2 Cam Holder, RPY Assembly Sets), the operator SHALL:</w:t>
      </w:r>
    </w:p>
    <w:p>
      <w:pPr>
        <w:pStyle w:val="Compact"/>
        <w:numPr>
          <w:ilvl w:val="0"/>
          <w:numId w:val="1040"/>
        </w:numPr>
      </w:pPr>
      <w:r>
        <w:t xml:space="preserve">Identify source LOT(s) by scanning LTT barcodes (consumption sources for the BOM).</w:t>
      </w:r>
    </w:p>
    <w:p>
      <w:pPr>
        <w:pStyle w:val="Compact"/>
        <w:numPr>
          <w:ilvl w:val="0"/>
          <w:numId w:val="1040"/>
        </w:numPr>
      </w:pPr>
      <w:r>
        <w:t xml:space="preserve">Place parts into the open</w:t>
      </w:r>
      <w:r>
        <w:t xml:space="preserve"> </w:t>
      </w:r>
      <w:r>
        <w:rPr>
          <w:b/>
          <w:bCs/>
        </w:rPr>
        <w:t xml:space="preserve">tray</w:t>
      </w:r>
      <w:r>
        <w:t xml:space="preserve">. The tray is the validation unit — its closure is gated by</w:t>
      </w:r>
      <w:r>
        <w:t xml:space="preserve"> </w:t>
      </w:r>
      <w:r>
        <w:rPr>
          <w:rStyle w:val="VerbatimChar"/>
        </w:rPr>
        <w:t xml:space="preserve">Parts.ContainerConfig.ClosureMethod</w:t>
      </w:r>
      <w:r>
        <w:t xml:space="preserve"> </w:t>
      </w:r>
      <w:r>
        <w:t xml:space="preserve">(</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per FDS-06-014).</w:t>
      </w:r>
    </w:p>
    <w:p>
      <w:pPr>
        <w:pStyle w:val="Compact"/>
        <w:numPr>
          <w:ilvl w:val="0"/>
          <w:numId w:val="1040"/>
        </w:numPr>
      </w:pPr>
      <w:r>
        <w:t xml:space="preserve">On each tray pass, the MES SHALL write a</w:t>
      </w:r>
      <w:r>
        <w:t xml:space="preserve"> </w:t>
      </w:r>
      <w:r>
        <w:rPr>
          <w:rStyle w:val="VerbatimChar"/>
        </w:rPr>
        <w:t xml:space="preserve">Workorder.ConsumptionEvent</w:t>
      </w:r>
      <w:r>
        <w:t xml:space="preserve"> </w:t>
      </w:r>
      <w:r>
        <w:t xml:space="preserve">decrementing source LOT piece counts by</w:t>
      </w:r>
      <w:r>
        <w:t xml:space="preserve"> </w:t>
      </w:r>
      <w:r>
        <w:rPr>
          <w:rStyle w:val="VerbatimChar"/>
        </w:rPr>
        <w:t xml:space="preserve">PartsPerTray × BomLine.QtyPer</w:t>
      </w:r>
      <w:r>
        <w:t xml:space="preserve"> </w:t>
      </w:r>
      <w:r>
        <w:t xml:space="preserve">per source, increment the container’s running parts count by</w:t>
      </w:r>
      <w:r>
        <w:t xml:space="preserve"> </w:t>
      </w:r>
      <w:r>
        <w:rPr>
          <w:rStyle w:val="VerbatimChar"/>
        </w:rPr>
        <w:t xml:space="preserve">PartsPerTray</w:t>
      </w:r>
      <w:r>
        <w:t xml:space="preserve">, and open the next tray.</w:t>
      </w:r>
    </w:p>
    <w:p>
      <w:pPr>
        <w:pStyle w:val="Compact"/>
        <w:numPr>
          <w:ilvl w:val="0"/>
          <w:numId w:val="1040"/>
        </w:numPr>
      </w:pPr>
      <w:r>
        <w:t xml:space="preserve">The container closes automatically when its running count reaches capacity (FDS-06-014). If WO auto-finish is enabled (FDS-06-028), the WO close cascades from there.</w:t>
      </w:r>
    </w:p>
    <w:p>
      <w:pPr>
        <w:pStyle w:val="FirstParagraph"/>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tray validation without individual serial tracking.</w:t>
      </w:r>
    </w:p>
    <w:bookmarkEnd w:id="169"/>
    <w:bookmarkStart w:id="170" w:name="X61234cc60e3f749bf47676b6195df70b630b6b1"/>
    <w:p>
      <w:pPr>
        <w:pStyle w:val="Heading4"/>
      </w:pPr>
      <w:r>
        <w:t xml:space="preserve">FDS-06-014 — Tray Validation + Container Accumulation</w:t>
      </w:r>
    </w:p>
    <w:p>
      <w:pPr>
        <w:pStyle w:val="FirstParagraph"/>
      </w:pPr>
      <w:r>
        <w:t xml:space="preserve">Non-serialized assembly fills containers</w:t>
      </w:r>
      <w:r>
        <w:t xml:space="preserve"> </w:t>
      </w:r>
      <w:r>
        <w:rPr>
          <w:b/>
          <w:bCs/>
        </w:rPr>
        <w:t xml:space="preserve">one tray at a time</w:t>
      </w:r>
      <w:r>
        <w:t xml:space="preserve">. The validation gate is the tray; the container’s full count is the accumulation of validated trays.</w:t>
      </w:r>
      <w:r>
        <w:t xml:space="preserve"> </w:t>
      </w:r>
      <w:r>
        <w:rPr>
          <w:rStyle w:val="VerbatimChar"/>
        </w:rPr>
        <w:t xml:space="preserve">Parts.ContainerConfig.ClosureMethod</w:t>
      </w:r>
      <w:r>
        <w:t xml:space="preserve"> </w:t>
      </w:r>
      <w:r>
        <w:t xml:space="preserve">selects the</w:t>
      </w:r>
      <w:r>
        <w:t xml:space="preserve"> </w:t>
      </w:r>
      <w:r>
        <w:rPr>
          <w:b/>
          <w:bCs/>
        </w:rPr>
        <w:t xml:space="preserve">tray-level</w:t>
      </w:r>
      <w:r>
        <w:t xml:space="preserve"> </w:t>
      </w:r>
      <w:r>
        <w:t xml:space="preserve">closure trigger.</w:t>
      </w:r>
    </w:p>
    <w:p>
      <w:pPr>
        <w:pStyle w:val="BodyText"/>
      </w:pPr>
      <w:r>
        <w:rPr>
          <w:b/>
          <w:bCs/>
        </w:rPr>
        <w:t xml:space="preserve">Per-tray closure trigger: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ClosureMethod</w:t>
            </w:r>
          </w:p>
        </w:tc>
        <w:tc>
          <w:tcPr>
            <w:shd w:val="clear" w:color="auto" w:fill="1F4E79"/>
          </w:tcPr>
          <w:tcPr/>
          <w:p>
            <w:pPr>
              <w:pStyle w:val="Compact"/>
            </w:pPr>
            <w:r>
              <w:rPr>
                <w:b/>
                <w:color w:val="FFFFFF"/>
              </w:rPr>
              <w:t xml:space="preserve">Tray-level trigger</w:t>
            </w:r>
          </w:p>
        </w:tc>
        <w:tc>
          <w:tcPr>
            <w:shd w:val="clear" w:color="auto" w:fill="1F4E79"/>
          </w:tcPr>
          <w:tcPr/>
          <w:p>
            <w:pPr>
              <w:pStyle w:val="Compact"/>
            </w:pPr>
            <w:r>
              <w:rPr>
                <w:b/>
                <w:color w:val="FFFFFF"/>
              </w:rPr>
              <w:t xml:space="preserve">Required Config</w:t>
            </w:r>
          </w:p>
        </w:tc>
        <w:tc>
          <w:tcPr>
            <w:shd w:val="clear" w:color="auto" w:fill="1F4E79"/>
          </w:tcPr>
          <w:tcPr/>
          <w:p>
            <w:pPr>
              <w:pStyle w:val="Compact"/>
            </w:pPr>
            <w:r>
              <w:rPr>
                <w:b/>
                <w:color w:val="FFFFFF"/>
              </w:rPr>
              <w:t xml:space="preserve">Signal Source</w:t>
            </w:r>
          </w:p>
        </w:tc>
      </w:tr>
      <w:tr>
        <w:tc>
          <w:tcPr/>
          <w:p>
            <w:pPr>
              <w:pStyle w:val="Compact"/>
            </w:pPr>
            <w:r>
              <w:rPr>
                <w:rStyle w:val="VerbatimChar"/>
                <w:b/>
                <w:bCs/>
              </w:rPr>
              <w:t xml:space="preserve">ByCount</w:t>
            </w:r>
          </w:p>
        </w:tc>
        <w:tc>
          <w:tcPr/>
          <w:p>
            <w:pPr>
              <w:pStyle w:val="Compact"/>
            </w:pPr>
            <w:r>
              <w:t xml:space="preserve">Operator confirms the tray’s quantity matches</w:t>
            </w:r>
            <w:r>
              <w:t xml:space="preserve"> </w:t>
            </w:r>
            <w:r>
              <w:rPr>
                <w:rStyle w:val="VerbatimChar"/>
              </w:rPr>
              <w:t xml:space="preserve">PartsPerTray</w:t>
            </w:r>
            <w:r>
              <w:t xml:space="preserve">.</w:t>
            </w:r>
          </w:p>
        </w:tc>
        <w:tc>
          <w:tcPr/>
          <w:p>
            <w:pPr>
              <w:pStyle w:val="Compact"/>
            </w:pPr>
            <w:r>
              <w:rPr>
                <w:rStyle w:val="VerbatimChar"/>
              </w:rPr>
              <w:t xml:space="preserve">PartsPerTray</w:t>
            </w:r>
          </w:p>
        </w:tc>
        <w:tc>
          <w:tcPr/>
          <w:p>
            <w:pPr>
              <w:pStyle w:val="Compact"/>
            </w:pPr>
            <w:r>
              <w:t xml:space="preserve">Operator submission via the workstation screen — no PLC signal required.</w:t>
            </w:r>
          </w:p>
        </w:tc>
      </w:tr>
      <w:tr>
        <w:tc>
          <w:tcPr>
            <w:shd w:val="clear" w:color="auto" w:fill="F2F2F2"/>
          </w:tcPr>
          <w:tcPr/>
          <w:p>
            <w:pPr>
              <w:pStyle w:val="Compact"/>
            </w:pPr>
            <w:r>
              <w:rPr>
                <w:rStyle w:val="VerbatimChar"/>
                <w:b/>
                <w:bCs/>
              </w:rPr>
              <w:t xml:space="preserve">ByWeight</w:t>
            </w:r>
          </w:p>
        </w:tc>
        <w:tc>
          <w:tcPr>
            <w:shd w:val="clear" w:color="auto" w:fill="F2F2F2"/>
          </w:tcPr>
          <w:tcPr/>
          <w:p>
            <w:pPr>
              <w:pStyle w:val="Compact"/>
            </w:pPr>
            <w:r>
              <w:t xml:space="preserve">Scale reports the tray weight has reached the per-tray target.</w:t>
            </w:r>
          </w:p>
        </w:tc>
        <w:tc>
          <w:tcPr>
            <w:shd w:val="clear" w:color="auto" w:fill="F2F2F2"/>
          </w:tcPr>
          <w:tcPr/>
          <w:p>
            <w:pPr>
              <w:pStyle w:val="Compact"/>
            </w:pPr>
            <w:r>
              <w:rPr>
                <w:rStyle w:val="VerbatimChar"/>
              </w:rPr>
              <w:t xml:space="preserve">TargetWeight</w:t>
            </w:r>
            <w:r>
              <w:t xml:space="preserve"> </w:t>
            </w:r>
            <w:r>
              <w:t xml:space="preserve">per tray (+ optional tolerance)</w:t>
            </w:r>
          </w:p>
        </w:tc>
        <w:tc>
          <w:tcPr>
            <w:shd w:val="clear" w:color="auto" w:fill="F2F2F2"/>
          </w:tcPr>
          <w:tcPr/>
          <w:p>
            <w:pPr>
              <w:pStyle w:val="Compact"/>
            </w:pPr>
            <w:r>
              <w:t xml:space="preserve">OPC tags</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assert when the per-tray target is met.</w:t>
            </w:r>
          </w:p>
        </w:tc>
      </w:tr>
      <w:tr>
        <w:tc>
          <w:tcPr/>
          <w:p>
            <w:pPr>
              <w:pStyle w:val="Compact"/>
            </w:pPr>
            <w:r>
              <w:rPr>
                <w:rStyle w:val="VerbatimChar"/>
                <w:b/>
                <w:bCs/>
              </w:rPr>
              <w:t xml:space="preserve">ByVision</w:t>
            </w:r>
          </w:p>
        </w:tc>
        <w:tc>
          <w:tcPr/>
          <w:p>
            <w:pPr>
              <w:pStyle w:val="Compact"/>
            </w:pPr>
            <w:r>
              <w:t xml:space="preserve">Camera scans the</w:t>
            </w:r>
            <w:r>
              <w:t xml:space="preserve"> </w:t>
            </w:r>
            <w:r>
              <w:rPr>
                <w:b/>
                <w:bCs/>
              </w:rPr>
              <w:t xml:space="preserve">full tray as a single image</w:t>
            </w:r>
            <w:r>
              <w:t xml:space="preserve"> </w:t>
            </w:r>
            <w:r>
              <w:t xml:space="preserve">once it is presented for inspection — one validation event per tray, not per piece. On pass, the PLC asserts</w:t>
            </w:r>
            <w:r>
              <w:t xml:space="preserve"> </w:t>
            </w:r>
            <w:r>
              <w:rPr>
                <w:rStyle w:val="VerbatimChar"/>
              </w:rPr>
              <w:t xml:space="preserve">TrayFullFlag</w:t>
            </w:r>
            <w:r>
              <w:t xml:space="preserve">; on fail, the camera fault is surfaced to the operator who corrects the tray (re-place parts, remove invalid items) and re-presents it for re-scan. A four-tray container therefore yields exactly four passing tray-scan events when complete.</w:t>
            </w:r>
          </w:p>
        </w:tc>
        <w:tc>
          <w:tcPr/>
          <w:p>
            <w:pPr>
              <w:pStyle w:val="Compact"/>
            </w:pPr>
            <w:r>
              <w:rPr>
                <w:rStyle w:val="VerbatimChar"/>
              </w:rPr>
              <w:t xml:space="preserve">PartsPerTray</w:t>
            </w:r>
            <w:r>
              <w:t xml:space="preserve"> </w:t>
            </w:r>
            <w:r>
              <w:t xml:space="preserve">(informs the camera’s expected position count and the per-tray ConsumptionEvent). No weight target.</w:t>
            </w:r>
          </w:p>
        </w:tc>
        <w:tc>
          <w:tcPr/>
          <w:p>
            <w:pPr>
              <w:pStyle w:val="Compact"/>
            </w:pPr>
            <w:r>
              <w:t xml:space="preserve">OPC tags fed by the PLC —</w:t>
            </w:r>
            <w:r>
              <w:t xml:space="preserve"> </w:t>
            </w:r>
            <w:r>
              <w:rPr>
                <w:rStyle w:val="VerbatimChar"/>
              </w:rPr>
              <w:t xml:space="preserve">TrayPresent</w:t>
            </w:r>
            <w:r>
              <w:t xml:space="preserve"> </w:t>
            </w:r>
            <w:r>
              <w:t xml:space="preserve">(operator has positioned a full tray for scan),</w:t>
            </w:r>
            <w:r>
              <w:t xml:space="preserve"> </w:t>
            </w:r>
            <w:r>
              <w:rPr>
                <w:rStyle w:val="VerbatimChar"/>
              </w:rPr>
              <w:t xml:space="preserve">TrayValidationResult</w:t>
            </w:r>
            <w:r>
              <w:t xml:space="preserve"> </w:t>
            </w:r>
            <w:r>
              <w:t xml:space="preserve">(Pass / Fail),</w:t>
            </w:r>
            <w:r>
              <w:t xml:space="preserve"> </w:t>
            </w:r>
            <w:r>
              <w:rPr>
                <w:rStyle w:val="VerbatimChar"/>
              </w:rPr>
              <w:t xml:space="preserve">TrayFullFlag</w:t>
            </w:r>
            <w:r>
              <w:t xml:space="preserve"> </w:t>
            </w:r>
            <w:r>
              <w:t xml:space="preserve">(asserts on Pass). Tag names TBD by integration team; reserved on the Machine Integration Panel.</w:t>
            </w:r>
          </w:p>
        </w:tc>
      </w:tr>
    </w:tbl>
    <w:p>
      <w:pPr>
        <w:pStyle w:val="BodyText"/>
      </w:pPr>
      <w:r>
        <w:t xml:space="preserve">For</w:t>
      </w:r>
      <w:r>
        <w:t xml:space="preserve"> </w:t>
      </w:r>
      <w:r>
        <w:rPr>
          <w:rStyle w:val="VerbatimChar"/>
        </w:rPr>
        <w:t xml:space="preserve">ByVision</w:t>
      </w:r>
      <w:r>
        <w:t xml:space="preserve"> </w:t>
      </w:r>
      <w:r>
        <w:t xml:space="preserve">and</w:t>
      </w:r>
      <w:r>
        <w:t xml:space="preserve"> </w:t>
      </w:r>
      <w:r>
        <w:rPr>
          <w:rStyle w:val="VerbatimChar"/>
        </w:rPr>
        <w:t xml:space="preserve">ByWeight</w:t>
      </w:r>
      <w:r>
        <w:t xml:space="preserve"> </w:t>
      </w:r>
      <w:r>
        <w:t xml:space="preserve">the MES SHALL NOT fire tray close on the running count alone — the PLC’s</w:t>
      </w:r>
      <w:r>
        <w:t xml:space="preserve"> </w:t>
      </w:r>
      <w:r>
        <w:rPr>
          <w:rStyle w:val="VerbatimChar"/>
        </w:rPr>
        <w:t xml:space="preserve">TrayFullFlag</w:t>
      </w:r>
      <w:r>
        <w:t xml:space="preserve"> </w:t>
      </w:r>
      <w:r>
        <w:t xml:space="preserve">(or</w:t>
      </w:r>
      <w:r>
        <w:t xml:space="preserve"> </w:t>
      </w:r>
      <w:r>
        <w:rPr>
          <w:rStyle w:val="VerbatimChar"/>
        </w:rPr>
        <w:t xml:space="preserve">TargetWeightMetFlag</w:t>
      </w:r>
      <w:r>
        <w:t xml:space="preserve">) is authoritative. Specifically for</w:t>
      </w:r>
      <w:r>
        <w:t xml:space="preserve"> </w:t>
      </w:r>
      <w:r>
        <w:rPr>
          <w:rStyle w:val="VerbatimChar"/>
        </w:rPr>
        <w:t xml:space="preserve">ByVision</w:t>
      </w:r>
      <w:r>
        <w:t xml:space="preserve">: the camera produces</w:t>
      </w:r>
      <w:r>
        <w:t xml:space="preserve"> </w:t>
      </w:r>
      <w:r>
        <w:rPr>
          <w:b/>
          <w:bCs/>
        </w:rPr>
        <w:t xml:space="preserve">one validation event per tray</w:t>
      </w:r>
      <w:r>
        <w:t xml:space="preserve">, and exactly one</w:t>
      </w:r>
      <w:r>
        <w:t xml:space="preserve"> </w:t>
      </w:r>
      <w:r>
        <w:rPr>
          <w:rStyle w:val="VerbatimChar"/>
        </w:rPr>
        <w:t xml:space="preserve">Workorder.ConsumptionEvent</w:t>
      </w:r>
      <w:r>
        <w:t xml:space="preserve"> </w:t>
      </w:r>
      <w:r>
        <w:t xml:space="preserve">SHALL be written per BOM component per validated tray (not per piece).</w:t>
      </w:r>
    </w:p>
    <w:p>
      <w:pPr>
        <w:pStyle w:val="BodyText"/>
      </w:pPr>
      <w:r>
        <w:rPr>
          <w:b/>
          <w:bCs/>
        </w:rPr>
        <w:t xml:space="preserve">Container accumulation:</w:t>
      </w:r>
    </w:p>
    <w:p>
      <w:pPr>
        <w:pStyle w:val="Compact"/>
        <w:numPr>
          <w:ilvl w:val="0"/>
          <w:numId w:val="1041"/>
        </w:numPr>
      </w:pPr>
      <w:r>
        <w:t xml:space="preserve">On each tray close, the MES SHALL increment the container’s running parts count by</w:t>
      </w:r>
      <w:r>
        <w:t xml:space="preserve"> </w:t>
      </w:r>
      <w:r>
        <w:rPr>
          <w:rStyle w:val="VerbatimChar"/>
        </w:rPr>
        <w:t xml:space="preserve">PartsPerTray</w:t>
      </w:r>
      <w:r>
        <w:t xml:space="preserve"> </w:t>
      </w:r>
      <w:r>
        <w:t xml:space="preserve">(or by the operator-confirmed count when</w:t>
      </w:r>
      <w:r>
        <w:t xml:space="preserve"> </w:t>
      </w:r>
      <w:r>
        <w:rPr>
          <w:rStyle w:val="VerbatimChar"/>
        </w:rPr>
        <w:t xml:space="preserve">ClosureMethod = ByCount</w:t>
      </w:r>
      <w:r>
        <w:t xml:space="preserve">).</w:t>
      </w:r>
    </w:p>
    <w:p>
      <w:pPr>
        <w:pStyle w:val="Compact"/>
        <w:numPr>
          <w:ilvl w:val="0"/>
          <w:numId w:val="1041"/>
        </w:numPr>
      </w:pPr>
      <w:r>
        <w:t xml:space="preserve">The container is</w:t>
      </w:r>
      <w:r>
        <w:t xml:space="preserve"> </w:t>
      </w:r>
      <w:r>
        <w:rPr>
          <w:b/>
          <w:bCs/>
        </w:rPr>
        <w:t xml:space="preserve">full</w:t>
      </w:r>
      <w:r>
        <w:t xml:space="preserve"> </w:t>
      </w:r>
      <w:r>
        <w:t xml:space="preserve">when its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w:t>
      </w:r>
    </w:p>
    <w:p>
      <w:pPr>
        <w:pStyle w:val="Compact"/>
        <w:numPr>
          <w:ilvl w:val="0"/>
          <w:numId w:val="1041"/>
        </w:numPr>
      </w:pPr>
      <w:r>
        <w:t xml:space="preserve">On container-full, the MES SHALL fire the container-close transaction — writes the</w:t>
      </w:r>
      <w:r>
        <w:t xml:space="preserve"> </w:t>
      </w:r>
      <w:r>
        <w:rPr>
          <w:rStyle w:val="VerbatimChar"/>
        </w:rPr>
        <w:t xml:space="preserve">Lots.LotContainer</w:t>
      </w:r>
      <w:r>
        <w:t xml:space="preserve"> </w:t>
      </w:r>
      <w:r>
        <w:t xml:space="preserve">row, claims an AIM Shipper ID from the local pool per §7.4, dispatches the shipping label print per FDS-07-006a, and (when configured per FDS-06-028) advances toward WO auto-finish.</w:t>
      </w:r>
    </w:p>
    <w:p>
      <w:pPr>
        <w:pStyle w:val="FirstParagraph"/>
      </w:pPr>
      <w:r>
        <w:t xml:space="preserve">Container-fill is derived in MES from accumulated tray closes; no separate</w:t>
      </w:r>
      <w:r>
        <w:t xml:space="preserve"> </w:t>
      </w:r>
      <w:r>
        <w:rPr>
          <w:rStyle w:val="VerbatimChar"/>
        </w:rPr>
        <w:t xml:space="preserve">ContainerFullFlag</w:t>
      </w:r>
      <w:r>
        <w:t xml:space="preserve"> </w:t>
      </w:r>
      <w:r>
        <w:t xml:space="preserve">PLC tag is required. (Each tray pass is the authoritative fact; the container is just the running sum.)</w:t>
      </w:r>
    </w:p>
    <w:p>
      <w:pPr>
        <w:pStyle w:val="BodyText"/>
      </w:pPr>
      <w:r>
        <w:rPr>
          <w:b/>
          <w:bCs/>
        </w:rPr>
        <w:t xml:space="preserve">Three-tier signal chain</w:t>
      </w:r>
      <w:r>
        <w:t xml:space="preserve"> </w:t>
      </w:r>
      <w:r>
        <w:t xml:space="preserve">— tray pass → container fill → WO auto-finish. The PLC asserts BITs for the tier(s) it owns (</w:t>
      </w:r>
      <w:r>
        <w:rPr>
          <w:rStyle w:val="VerbatimChar"/>
        </w:rPr>
        <w:t xml:space="preserve">TrayFullFlag</w:t>
      </w:r>
      <w:r>
        <w:t xml:space="preserve"> </w:t>
      </w:r>
      <w:r>
        <w:t xml:space="preserve">per tray, optional</w:t>
      </w:r>
      <w:r>
        <w:t xml:space="preserve"> </w:t>
      </w:r>
      <w:r>
        <w:rPr>
          <w:rStyle w:val="VerbatimChar"/>
        </w:rPr>
        <w:t xml:space="preserve">CompletionConfirmed</w:t>
      </w:r>
      <w:r>
        <w:t xml:space="preserve"> </w:t>
      </w:r>
      <w:r>
        <w:t xml:space="preserve">per WO under FDS-06-028); the MES owns the container-fill derivation in between.</w:t>
      </w:r>
    </w:p>
    <w:bookmarkEnd w:id="170"/>
    <w:bookmarkEnd w:id="171"/>
    <w:bookmarkStart w:id="174" w:name="production-events"/>
    <w:p>
      <w:pPr>
        <w:pStyle w:val="Heading3"/>
      </w:pPr>
      <w:r>
        <w:t xml:space="preserve">6.7 Production Events</w:t>
      </w:r>
    </w:p>
    <w:bookmarkStart w:id="172"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72"/>
    <w:bookmarkStart w:id="173"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73"/>
    <w:bookmarkEnd w:id="174"/>
    <w:bookmarkStart w:id="179" w:name="reject-events-and-scrap-handling"/>
    <w:p>
      <w:pPr>
        <w:pStyle w:val="Heading3"/>
      </w:pPr>
      <w:r>
        <w:t xml:space="preserve">6.8 Reject Events and Scrap Handling</w:t>
      </w:r>
    </w:p>
    <w:bookmarkStart w:id="175"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75"/>
    <w:bookmarkStart w:id="176"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76"/>
    <w:bookmarkStart w:id="177"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42"/>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42"/>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43"/>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43"/>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77"/>
    <w:bookmarkStart w:id="178"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44"/>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44"/>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78"/>
    <w:bookmarkEnd w:id="179"/>
    <w:bookmarkStart w:id="182" w:name="consumption-events"/>
    <w:p>
      <w:pPr>
        <w:pStyle w:val="Heading3"/>
      </w:pPr>
      <w:r>
        <w:t xml:space="preserve">6.9 Consumption Events</w:t>
      </w:r>
    </w:p>
    <w:bookmarkStart w:id="180"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80"/>
    <w:bookmarkStart w:id="181"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81"/>
    <w:bookmarkEnd w:id="182"/>
    <w:bookmarkStart w:id="191"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FirstParagraph"/>
      </w:pP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auto-generated on LOT start and invisible to operators (MVP-LITE bookkeeping). Under MPP’s WO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WO types neither of which is being built in this project. The</w:t>
      </w:r>
      <w:r>
        <w:t xml:space="preserve"> </w:t>
      </w:r>
      <w:r>
        <w:rPr>
          <w:rStyle w:val="VerbatimChar"/>
        </w:rPr>
        <w:t xml:space="preserve">Workorder.WorkOrderType</w:t>
      </w:r>
      <w:r>
        <w:t xml:space="preserve"> </w:t>
      </w:r>
      <w:r>
        <w:t xml:space="preserve">code table is retained as a future hook so the maintenance-engine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and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is retained as the Maintenance-targets-a-tool hook. There is no Recipe WO concept.</w:t>
      </w:r>
    </w:p>
    <w:bookmarkStart w:id="183"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83"/>
    <w:bookmarkStart w:id="184"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45"/>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45"/>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45"/>
        </w:numPr>
      </w:pPr>
      <w:r>
        <w:rPr>
          <w:rStyle w:val="VerbatimChar"/>
        </w:rPr>
        <w:t xml:space="preserve">RouteTemplateId</w:t>
      </w:r>
      <w:r>
        <w:t xml:space="preserve"> </w:t>
      </w:r>
      <w:r>
        <w:t xml:space="preserve">— FK to the route template version active at creation</w:t>
      </w:r>
    </w:p>
    <w:p>
      <w:pPr>
        <w:pStyle w:val="Compact"/>
        <w:numPr>
          <w:ilvl w:val="0"/>
          <w:numId w:val="1045"/>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45"/>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84"/>
    <w:bookmarkStart w:id="185"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85"/>
    <w:bookmarkStart w:id="186"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Create-proc defaults SHALL set</w:t>
      </w:r>
      <w:r>
        <w:t xml:space="preserve"> </w:t>
      </w:r>
      <w:r>
        <w:rPr>
          <w:rStyle w:val="VerbatimChar"/>
        </w:rPr>
        <w:t xml:space="preserve">WorkOrderTypeId = Production</w:t>
      </w:r>
      <w:r>
        <w:t xml:space="preserve"> </w:t>
      </w:r>
      <w:r>
        <w:t xml:space="preserve">for any caller that doesn’t supply one explicitly.</w:t>
      </w:r>
    </w:p>
    <w:bookmarkEnd w:id="186"/>
    <w:bookmarkStart w:id="187"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46"/>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46"/>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bookmarkEnd w:id="187"/>
    <w:bookmarkStart w:id="188" w:name="Xc917cf2fbcd1ec5e9572aa9ee317a9ee4730972"/>
    <w:p>
      <w:pPr>
        <w:pStyle w:val="Heading4"/>
      </w:pPr>
      <w:r>
        <w:t xml:space="preserve">FDS-06-028 — Auto-Finish on Target (Camera / Scale) —</w:t>
      </w:r>
      <w:r>
        <w:t xml:space="preserve"> </w:t>
      </w:r>
      <w:r>
        <w:rPr>
          <w:rStyle w:val="VerbatimChar"/>
        </w:rPr>
        <w:t xml:space="preserve">MVP</w:t>
      </w:r>
    </w:p>
    <w:p>
      <w:pPr>
        <w:pStyle w:val="FirstParagraph"/>
      </w:pPr>
      <w:r>
        <w:t xml:space="preserve">Production Work Orders SHALL support two automatic-finish modes, configurable per WO:</w:t>
      </w:r>
    </w:p>
    <w:p>
      <w:pPr>
        <w:pStyle w:val="Compact"/>
        <w:numPr>
          <w:ilvl w:val="0"/>
          <w:numId w:val="1047"/>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ProductionEvent.ShotCount</w:t>
      </w:r>
      <w:r>
        <w:t xml:space="preserve"> </w:t>
      </w:r>
      <w:r>
        <w:t xml:space="preserve">−</w:t>
      </w:r>
      <w:r>
        <w:t xml:space="preserve"> </w:t>
      </w:r>
      <w:r>
        <w:rPr>
          <w:rStyle w:val="VerbatimChar"/>
        </w:rPr>
        <w:t xml:space="preserve">ScrapCount</w:t>
      </w:r>
      <w:r>
        <w:t xml:space="preserve"> </w:t>
      </w:r>
      <w:r>
        <w:t xml:space="preserve">(derived via</w:t>
      </w:r>
      <w:r>
        <w:t xml:space="preserve"> </w:t>
      </w:r>
      <w:r>
        <w:rPr>
          <w:rStyle w:val="VerbatimChar"/>
        </w:rPr>
        <w:t xml:space="preserve">LAG()</w:t>
      </w:r>
      <w:r>
        <w:t xml:space="preserve"> </w:t>
      </w:r>
      <w:r>
        <w:t xml:space="preserve">over checkpoint events per FDS-06-003) across all events under the WO is compared against the target on every write. When the cumulative count reaches the target, the</w:t>
      </w:r>
      <w:r>
        <w:t xml:space="preserve"> </w:t>
      </w:r>
      <w:r>
        <w:rPr>
          <w:rStyle w:val="VerbatimChar"/>
        </w:rPr>
        <w:t xml:space="preserve">Workorder.ProductionEvent_Record</w:t>
      </w:r>
      <w:r>
        <w:t xml:space="preserve"> </w:t>
      </w:r>
      <w:r>
        <w:t xml:space="preserve">proc SHALL check the PLC confirmation BIT (per</w:t>
      </w:r>
      <w:r>
        <w:t xml:space="preserve"> </w:t>
      </w:r>
      <w:r>
        <w:rPr>
          <w:b/>
          <w:bCs/>
        </w:rPr>
        <w:t xml:space="preserve">Requirement 1</w:t>
      </w:r>
      <w:r>
        <w:t xml:space="preserve"> </w:t>
      </w:r>
      <w:r>
        <w:t xml:space="preserve">below). If BIT is set, the proc emits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47"/>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(AND PLC confirmation BIT set),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p>
      <w:pPr>
        <w:pStyle w:val="BodyText"/>
      </w:pPr>
      <w:r>
        <w:rPr>
          <w:b/>
          <w:bCs/>
        </w:rPr>
        <w:t xml:space="preserve">Requirement 1 — PLC confirmation BIT (belt-and-suspenders).</w:t>
      </w:r>
      <w:r>
        <w:t xml:space="preserve"> </w:t>
      </w:r>
      <w:r>
        <w:t xml:space="preserve">The PLC SHALL write a confirmation BIT (exact tag address TBD by integration team; reserved name</w:t>
      </w:r>
      <w:r>
        <w:t xml:space="preserve"> </w:t>
      </w:r>
      <w:r>
        <w:rPr>
          <w:rStyle w:val="VerbatimChar"/>
        </w:rPr>
        <w:t xml:space="preserve">CompletionConfirmed</w:t>
      </w:r>
      <w:r>
        <w:t xml:space="preserve"> </w:t>
      </w:r>
      <w:r>
        <w:t xml:space="preserve">on the Machine Integration Panel) when it has itself determined the target was reached (camera count matched or scale target met). The MES Gateway script observing the OPC tags SHALL NOT fire the WO-close solely on the cumulative count crossing — both the count crossing AND the PLC</w:t>
      </w:r>
      <w:r>
        <w:t xml:space="preserve"> </w:t>
      </w:r>
      <w:r>
        <w:rPr>
          <w:rStyle w:val="VerbatimChar"/>
        </w:rPr>
        <w:t xml:space="preserve">CompletionConfirmed</w:t>
      </w:r>
      <w:r>
        <w:t xml:space="preserve"> </w:t>
      </w:r>
      <w:r>
        <w:t xml:space="preserve">BIT SHALL be true. This prevents spurious closes from miscount races or clock drift on event timestamps. If the BIT fails to assert within a configurable window after the count crosses, the Gateway SHALL write</w:t>
      </w:r>
      <w:r>
        <w:t xml:space="preserve"> </w:t>
      </w:r>
      <w:r>
        <w:rPr>
          <w:rStyle w:val="VerbatimChar"/>
        </w:rPr>
        <w:t xml:space="preserve">Audit.InterfaceLog</w:t>
      </w:r>
      <w:r>
        <w:t xml:space="preserve"> </w:t>
      </w:r>
      <w:r>
        <w:t xml:space="preserve">flagging the discrepancy for operator review; no auto-close fires until the BIT asserts.</w:t>
      </w:r>
    </w:p>
    <w:p>
      <w:pPr>
        <w:pStyle w:val="BodyText"/>
      </w:pPr>
      <w:r>
        <w:rPr>
          <w:b/>
          <w:bCs/>
        </w:rPr>
        <w:t xml:space="preserve">Requirement 2 —</w:t>
      </w:r>
      <w:r>
        <w:rPr>
          <w:b/>
          <w:bCs/>
        </w:rPr>
        <w:t xml:space="preserve"> </w:t>
      </w:r>
      <w:r>
        <w:rPr>
          <w:rStyle w:val="VerbatimChar"/>
          <w:b/>
          <w:bCs/>
        </w:rPr>
        <w:t xml:space="preserve">RequiresCompletionConfirm</w:t>
      </w:r>
      <w:r>
        <w:rPr>
          <w:b/>
          <w:bCs/>
        </w:rPr>
        <w:t xml:space="preserve"> </w:t>
      </w:r>
      <w:r>
        <w:rPr>
          <w:b/>
          <w:bCs/>
        </w:rPr>
        <w:t xml:space="preserve">LocationAttribute (per-Terminal UX toggle).</w:t>
      </w:r>
      <w:r>
        <w:t xml:space="preserve"> </w:t>
      </w:r>
      <w:r>
        <w:t xml:space="preserve">A new</w:t>
      </w:r>
      <w:r>
        <w:t xml:space="preserve"> </w:t>
      </w:r>
      <w:r>
        <w:rPr>
          <w:rStyle w:val="VerbatimChar"/>
        </w:rPr>
        <w:t xml:space="preserve">LocationAttributeDefinition</w:t>
      </w:r>
      <w:r>
        <w:t xml:space="preserve"> </w:t>
      </w:r>
      <w:r>
        <w:t xml:space="preserve">SHALL be seeded on the</w:t>
      </w:r>
      <w:r>
        <w:t xml:space="preserve"> </w:t>
      </w:r>
      <w:r>
        <w:rPr>
          <w:rStyle w:val="VerbatimChar"/>
        </w:rPr>
        <w:t xml:space="preserve">Terminal</w:t>
      </w:r>
      <w:r>
        <w:t xml:space="preserve"> </w:t>
      </w:r>
      <w:r>
        <w:rPr>
          <w:rStyle w:val="VerbatimChar"/>
        </w:rPr>
        <w:t xml:space="preserve">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RequiresCompletionConfirm</w:t>
            </w:r>
          </w:p>
        </w:tc>
        <w:tc>
          <w:tcPr/>
          <w:p>
            <w:pPr>
              <w:pStyle w:val="Compact"/>
            </w:pPr>
            <w:r>
              <w:t xml:space="preserve">BIT</w:t>
            </w:r>
          </w:p>
        </w:tc>
        <w:tc>
          <w:tcPr/>
          <w:p>
            <w:pPr>
              <w:pStyle w:val="Compact"/>
            </w:pPr>
            <w:r>
              <w:t xml:space="preserve">When set on a Dedicated (1:1 fixed) Terminal, the Perspective auto-finish completion flow SHALL present a large</w:t>
            </w:r>
            <w:r>
              <w:t xml:space="preserve"> </w:t>
            </w:r>
            <w:r>
              <w:t xml:space="preserve">“Confirm Completion”</w:t>
            </w:r>
            <w:r>
              <w:t xml:space="preserve"> </w:t>
            </w:r>
            <w:r>
              <w:t xml:space="preserve">button the operator must physically press before the WO / Tray / Container close proceeds. When NOT set (or NULL), the flow shows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proceeds without operator gesture.</w:t>
            </w:r>
          </w:p>
        </w:tc>
      </w:tr>
    </w:tbl>
    <w:p>
      <w:pPr>
        <w:pStyle w:val="BodyText"/>
      </w:pPr>
      <w:r>
        <w:t xml:space="preserve">Rationale: some production lines require explicit operator acknowledgement at close moments (MPP’s existing operational habit on specific cells); others don’t. The attribute lets Engineering configure per Terminal. Only meaningful on Dedicated terminals (FDS-02-010) — Shared terminals always require operator interaction per their mode.</w:t>
      </w:r>
    </w:p>
    <w:p>
      <w:pPr>
        <w:pStyle w:val="BodyText"/>
      </w:pPr>
      <w:r>
        <w:rPr>
          <w:b/>
          <w:bCs/>
        </w:rPr>
        <w:t xml:space="preserve">Seed behavior:</w:t>
      </w:r>
      <w:r>
        <w:t xml:space="preserve"> </w:t>
      </w:r>
      <w:r>
        <w:rPr>
          <w:rStyle w:val="VerbatimChar"/>
        </w:rPr>
        <w:t xml:space="preserve">RequiresCompletionConfirm</w:t>
      </w:r>
      <w:r>
        <w:t xml:space="preserve"> </w:t>
      </w:r>
      <w:r>
        <w:t xml:space="preserve">is nullable with NULL semantically equivalent to</w:t>
      </w:r>
      <w:r>
        <w:t xml:space="preserve"> </w:t>
      </w:r>
      <w:r>
        <w:rPr>
          <w:rStyle w:val="VerbatimChar"/>
        </w:rPr>
        <w:t xml:space="preserve">0</w:t>
      </w:r>
      <w:r>
        <w:t xml:space="preserve"> </w:t>
      </w:r>
      <w:r>
        <w:t xml:space="preserve">(no confirm button). Engineering sets it to</w:t>
      </w:r>
      <w:r>
        <w:t xml:space="preserve"> </w:t>
      </w:r>
      <w:r>
        <w:rPr>
          <w:rStyle w:val="VerbatimChar"/>
        </w:rPr>
        <w:t xml:space="preserve">1</w:t>
      </w:r>
      <w:r>
        <w:t xml:space="preserve"> </w:t>
      </w:r>
      <w:r>
        <w:t xml:space="preserve">only where the operational workflow demands acknowledgement.</w:t>
      </w:r>
    </w:p>
    <w:bookmarkEnd w:id="188"/>
    <w:bookmarkStart w:id="189"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odyText"/>
      </w:pPr>
      <w:r>
        <w:rPr>
          <w:b/>
          <w:bCs/>
        </w:rPr>
        <w:t xml:space="preserve">Cumulative GoodCount derivation.</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 via</w:t>
      </w:r>
      <w:r>
        <w:t xml:space="preserve"> </w:t>
      </w:r>
      <w:r>
        <w:rPr>
          <w:rStyle w:val="VerbatimChar"/>
        </w:rPr>
        <w:t xml:space="preserve">WorkOrderOperationId</w:t>
      </w:r>
      <w:r>
        <w:t xml:space="preserve"> </w:t>
      </w:r>
      <w:r>
        <w:t xml:space="preserve">when set, or by LOT-WO matching on</w:t>
      </w:r>
      <w:r>
        <w:t xml:space="preserve"> </w:t>
      </w:r>
      <w:r>
        <w:rPr>
          <w:rStyle w:val="VerbatimChar"/>
        </w:rPr>
        <w:t xml:space="preserve">ItemId</w:t>
      </w:r>
      <w:r>
        <w:t xml:space="preserve"> </w:t>
      </w:r>
      <w:r>
        <w:t xml:space="preserve">+ time window when NULL. There is no per-event</w:t>
      </w:r>
      <w:r>
        <w:t xml:space="preserve"> </w:t>
      </w:r>
      <w:r>
        <w:rPr>
          <w:rStyle w:val="VerbatimChar"/>
        </w:rPr>
        <w:t xml:space="preserve">GoodCount</w:t>
      </w:r>
      <w:r>
        <w:t xml:space="preserve"> </w:t>
      </w:r>
      <w:r>
        <w:t xml:space="preserve">column on</w:t>
      </w:r>
      <w:r>
        <w:t xml:space="preserve"> </w:t>
      </w:r>
      <w:r>
        <w:rPr>
          <w:rStyle w:val="VerbatimChar"/>
        </w:rPr>
        <w:t xml:space="preserve">ProductionEvent</w:t>
      </w:r>
      <w:r>
        <w:t xml:space="preserve">; the value is always derived from the cumulative counters.</w:t>
      </w:r>
    </w:p>
    <w:bookmarkEnd w:id="189"/>
    <w:bookmarkStart w:id="190" w:name="X0baf5328fdeaf5eb26ef06f3177f812d3d04eca"/>
    <w:p>
      <w:pPr>
        <w:pStyle w:val="Heading4"/>
      </w:pPr>
      <w:r>
        <w:t xml:space="preserve">FDS-06-030 — WorkOrder BIT-Flag Enumeration —</w:t>
      </w:r>
      <w:r>
        <w:t xml:space="preserve"> </w:t>
      </w:r>
      <w:r>
        <w:rPr>
          <w:rStyle w:val="VerbatimChar"/>
        </w:rPr>
        <w:t xml:space="preserve">MVP</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Engineering SHALL confirm with MPP which of the following are live in production; live flags become columns on</w:t>
      </w:r>
      <w:r>
        <w:t xml:space="preserve"> </w:t>
      </w:r>
      <w:r>
        <w:rPr>
          <w:rStyle w:val="VerbatimChar"/>
        </w:rPr>
        <w:t xml:space="preserve">Workorder.WorkOrder</w:t>
      </w:r>
      <w:r>
        <w:t xml:space="preserve"> </w:t>
      </w:r>
      <w:r>
        <w:t xml:space="preserve">when the table is created;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90"/>
    <w:bookmarkEnd w:id="191"/>
    <w:bookmarkEnd w:id="192"/>
    <w:bookmarkStart w:id="224" w:name="container-management-shipping-mvp"/>
    <w:p>
      <w:pPr>
        <w:pStyle w:val="Heading2"/>
      </w:pPr>
      <w:r>
        <w:t xml:space="preserve">7. Container Management &amp; Shipping —</w:t>
      </w:r>
      <w:r>
        <w:t xml:space="preserve"> </w:t>
      </w:r>
      <w:r>
        <w:rPr>
          <w:rStyle w:val="VerbatimChar"/>
        </w:rPr>
        <w:t xml:space="preserve">MVP</w:t>
      </w:r>
    </w:p>
    <w:bookmarkStart w:id="193"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93"/>
    <w:bookmarkStart w:id="199" w:name="container-lifecycle"/>
    <w:p>
      <w:pPr>
        <w:pStyle w:val="Heading3"/>
      </w:pPr>
      <w:r>
        <w:t xml:space="preserve">7.2 Container Lifecycle</w:t>
      </w:r>
    </w:p>
    <w:bookmarkStart w:id="194"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94"/>
    <w:bookmarkStart w:id="195"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95"/>
    <w:bookmarkStart w:id="196"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p>
    <w:p>
      <w:pPr>
        <w:pStyle w:val="Compact"/>
        <w:numPr>
          <w:ilvl w:val="0"/>
          <w:numId w:val="1048"/>
        </w:numPr>
      </w:pPr>
      <w:r>
        <w:t xml:space="preserve">Place the</w:t>
      </w:r>
      <w:r>
        <w:t xml:space="preserve"> </w:t>
      </w:r>
      <w:r>
        <w:rPr>
          <w:rStyle w:val="VerbatimChar"/>
        </w:rPr>
        <w:t xml:space="preserve">SerializedPart</w:t>
      </w:r>
      <w:r>
        <w:t xml:space="preserve"> </w:t>
      </w:r>
      <w:r>
        <w:t xml:space="preserve">into the current open container</w:t>
      </w:r>
    </w:p>
    <w:p>
      <w:pPr>
        <w:pStyle w:val="Compact"/>
        <w:numPr>
          <w:ilvl w:val="0"/>
          <w:numId w:val="1048"/>
        </w:numPr>
      </w:pPr>
      <w:r>
        <w:t xml:space="preserve">Create a</w:t>
      </w:r>
      <w:r>
        <w:t xml:space="preserve"> </w:t>
      </w:r>
      <w:r>
        <w:rPr>
          <w:rStyle w:val="VerbatimChar"/>
        </w:rPr>
        <w:t xml:space="preserve">ContainerSerial</w:t>
      </w:r>
      <w:r>
        <w:t xml:space="preserve"> </w:t>
      </w:r>
      <w:r>
        <w:t xml:space="preserve">record with container, tray, serial, and tray position</w:t>
      </w:r>
    </w:p>
    <w:p>
      <w:pPr>
        <w:pStyle w:val="Compact"/>
        <w:numPr>
          <w:ilvl w:val="0"/>
          <w:numId w:val="1048"/>
        </w:numPr>
      </w:pPr>
      <w:r>
        <w:t xml:space="preserve">Increment the current tray’s</w:t>
      </w:r>
      <w:r>
        <w:t xml:space="preserve"> </w:t>
      </w:r>
      <w:r>
        <w:rPr>
          <w:rStyle w:val="VerbatimChar"/>
        </w:rPr>
        <w:t xml:space="preserve">PieceCount</w:t>
      </w:r>
    </w:p>
    <w:p>
      <w:pPr>
        <w:pStyle w:val="Compact"/>
        <w:numPr>
          <w:ilvl w:val="0"/>
          <w:numId w:val="1048"/>
        </w:numPr>
      </w:pPr>
      <w:r>
        <w:t xml:space="preserve">When the tray is full (per</w:t>
      </w:r>
      <w:r>
        <w:t xml:space="preserve"> </w:t>
      </w:r>
      <w:r>
        <w:rPr>
          <w:rStyle w:val="VerbatimChar"/>
        </w:rPr>
        <w:t xml:space="preserve">ContainerConfig.PartsPerTray</w:t>
      </w:r>
      <w:r>
        <w:t xml:space="preserve">), advance to the next tray</w:t>
      </w:r>
    </w:p>
    <w:p>
      <w:pPr>
        <w:pStyle w:val="Compact"/>
        <w:numPr>
          <w:ilvl w:val="0"/>
          <w:numId w:val="1048"/>
        </w:numPr>
      </w:pPr>
      <w:r>
        <w:t xml:space="preserve">When all trays are full (per</w:t>
      </w:r>
      <w:r>
        <w:t xml:space="preserve"> </w:t>
      </w:r>
      <w:r>
        <w:rPr>
          <w:rStyle w:val="VerbatimChar"/>
        </w:rPr>
        <w:t xml:space="preserve">ContainerConfig.TraysPerContainer</w:t>
      </w:r>
      <w:r>
        <w:t xml:space="preserve">), close the container</w:t>
      </w:r>
    </w:p>
    <w:bookmarkEnd w:id="196"/>
    <w:bookmarkStart w:id="197"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p>
    <w:p>
      <w:pPr>
        <w:pStyle w:val="Compact"/>
        <w:numPr>
          <w:ilvl w:val="0"/>
          <w:numId w:val="1049"/>
        </w:numPr>
      </w:pPr>
      <w:r>
        <w:t xml:space="preserve">Create</w:t>
      </w:r>
      <w:r>
        <w:t xml:space="preserve"> </w:t>
      </w:r>
      <w:r>
        <w:rPr>
          <w:rStyle w:val="VerbatimChar"/>
        </w:rPr>
        <w:t xml:space="preserve">ContainerTray</w:t>
      </w:r>
      <w:r>
        <w:t xml:space="preserve"> </w:t>
      </w:r>
      <w:r>
        <w:t xml:space="preserve">records as trays are filled</w:t>
      </w:r>
    </w:p>
    <w:p>
      <w:pPr>
        <w:pStyle w:val="Compact"/>
        <w:numPr>
          <w:ilvl w:val="0"/>
          <w:numId w:val="1049"/>
        </w:numPr>
      </w:pPr>
      <w:r>
        <w:t xml:space="preserve">Close the container when the configured capacity is reached</w:t>
      </w:r>
    </w:p>
    <w:p>
      <w:pPr>
        <w:pStyle w:val="Compact"/>
        <w:numPr>
          <w:ilvl w:val="0"/>
          <w:numId w:val="1049"/>
        </w:numPr>
      </w:pPr>
      <w:r>
        <w:t xml:space="preserve">On lines with weight-based tracking, the system MAY use the scale reading to validate the piece count before closure</w:t>
      </w:r>
    </w:p>
    <w:bookmarkEnd w:id="197"/>
    <w:bookmarkStart w:id="198" w:name="fds-07-005-container-closure"/>
    <w:p>
      <w:pPr>
        <w:pStyle w:val="Heading4"/>
      </w:pPr>
      <w:r>
        <w:t xml:space="preserve">FDS-07-005 — Container Closure</w:t>
      </w:r>
    </w:p>
    <w:p>
      <w:pPr>
        <w:pStyle w:val="FirstParagraph"/>
      </w:pPr>
      <w:r>
        <w:t xml:space="preserve">When a container reaches capacity, the system SHALL, in</w:t>
      </w:r>
      <w:r>
        <w:t xml:space="preserve"> </w:t>
      </w:r>
      <w:r>
        <w:rPr>
          <w:b/>
          <w:bCs/>
        </w:rPr>
        <w:t xml:space="preserve">one synchronous DB transaction</w:t>
      </w:r>
      <w:r>
        <w:t xml:space="preserve"> </w:t>
      </w:r>
      <w:r>
        <w:t xml:space="preserve">(no external calls inside the block):</w:t>
      </w:r>
    </w:p>
    <w:p>
      <w:pPr>
        <w:pStyle w:val="Compact"/>
        <w:numPr>
          <w:ilvl w:val="0"/>
          <w:numId w:val="1050"/>
        </w:numPr>
      </w:pPr>
      <w:r>
        <w:t xml:space="preserve">Set container status to COMPLETE.</w:t>
      </w:r>
    </w:p>
    <w:p>
      <w:pPr>
        <w:pStyle w:val="Compact"/>
        <w:numPr>
          <w:ilvl w:val="0"/>
          <w:numId w:val="1050"/>
        </w:numPr>
      </w:pPr>
      <w:r>
        <w:t xml:space="preserve">Atomically claim the next FIFO available AIM Shipper ID from</w:t>
      </w:r>
      <w:r>
        <w:t xml:space="preserve"> </w:t>
      </w:r>
      <w:r>
        <w:rPr>
          <w:rStyle w:val="VerbatimChar"/>
        </w:rPr>
        <w:t xml:space="preserve">Lots.AimShipperIdPool</w:t>
      </w:r>
      <w:r>
        <w:t xml:space="preserve"> </w:t>
      </w:r>
      <w:r>
        <w:t xml:space="preserve">via</w:t>
      </w:r>
      <w:r>
        <w:t xml:space="preserve"> </w:t>
      </w:r>
      <w:r>
        <w:rPr>
          <w:rStyle w:val="VerbatimChar"/>
        </w:rPr>
        <w:t xml:space="preserve">Lots.AimShipperIdPool_Claim @ContainerId, @AppUserId</w:t>
      </w:r>
      <w:r>
        <w:t xml:space="preserve">. Sub-millisecond local DB operation. (See FDS-07-010 for the pool model and FDS-07-010a for empty-pool behavior.)</w:t>
      </w:r>
    </w:p>
    <w:p>
      <w:pPr>
        <w:pStyle w:val="Compact"/>
        <w:numPr>
          <w:ilvl w:val="0"/>
          <w:numId w:val="1050"/>
        </w:numPr>
      </w:pPr>
      <w:r>
        <w:t xml:space="preserve">Store the claimed</w:t>
      </w:r>
      <w:r>
        <w:t xml:space="preserve"> </w:t>
      </w:r>
      <w:r>
        <w:rPr>
          <w:rStyle w:val="VerbatimChar"/>
        </w:rPr>
        <w:t xml:space="preserve">AimShipperId</w:t>
      </w:r>
      <w:r>
        <w:t xml:space="preserve"> </w:t>
      </w:r>
      <w:r>
        <w:t xml:space="preserve">on the container record.</w:t>
      </w:r>
    </w:p>
    <w:p>
      <w:pPr>
        <w:pStyle w:val="Compact"/>
        <w:numPr>
          <w:ilvl w:val="0"/>
          <w:numId w:val="1050"/>
        </w:numPr>
      </w:pPr>
      <w:r>
        <w:t xml:space="preserve">INSERT a</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w:t>
      </w:r>
      <w:r>
        <w:t xml:space="preserve"> </w:t>
      </w:r>
      <w:r>
        <w:rPr>
          <w:rStyle w:val="VerbatimChar"/>
        </w:rPr>
        <w:t xml:space="preserve">PrintAttempts = 0</w:t>
      </w:r>
      <w:r>
        <w:t xml:space="preserve">,</w:t>
      </w:r>
      <w:r>
        <w:t xml:space="preserve"> </w:t>
      </w:r>
      <w:r>
        <w:rPr>
          <w:rStyle w:val="VerbatimChar"/>
        </w:rPr>
        <w:t xml:space="preserve">TerminalLocationId = @TerminalLocationId</w:t>
      </w:r>
      <w:r>
        <w:t xml:space="preserve">, ZPL payload generated.</w:t>
      </w:r>
      <w:r>
        <w:t xml:space="preserve"> </w:t>
      </w:r>
      <w:r>
        <w:rPr>
          <w:b/>
          <w:bCs/>
        </w:rPr>
        <w:t xml:space="preserve">The label is queued for print, not yet sent to Zebra.</w:t>
      </w:r>
    </w:p>
    <w:p>
      <w:pPr>
        <w:pStyle w:val="Compact"/>
        <w:numPr>
          <w:ilvl w:val="0"/>
          <w:numId w:val="1050"/>
        </w:numPr>
      </w:pPr>
      <w:r>
        <w:t xml:space="preserve">Log to</w:t>
      </w:r>
      <w:r>
        <w:t xml:space="preserve"> </w:t>
      </w:r>
      <w:r>
        <w:rPr>
          <w:rStyle w:val="VerbatimChar"/>
        </w:rPr>
        <w:t xml:space="preserve">Audit.OperationLog</w:t>
      </w:r>
      <w:r>
        <w:t xml:space="preserve">. (No</w:t>
      </w:r>
      <w:r>
        <w:t xml:space="preserve"> </w:t>
      </w:r>
      <w:r>
        <w:rPr>
          <w:rStyle w:val="VerbatimChar"/>
        </w:rPr>
        <w:t xml:space="preserve">Audit.InterfaceLog</w:t>
      </w:r>
      <w:r>
        <w:t xml:space="preserve"> </w:t>
      </w:r>
      <w:r>
        <w:t xml:space="preserve">write here — the AIM call that issued this ID was logged at topup time per FDS-07-010, and</w:t>
      </w:r>
      <w:r>
        <w:t xml:space="preserve"> </w:t>
      </w:r>
      <w:r>
        <w:rPr>
          <w:rStyle w:val="VerbatimChar"/>
        </w:rPr>
        <w:t xml:space="preserve">AimShipperIdPool.FetchedInterfaceLogId</w:t>
      </w:r>
      <w:r>
        <w:t xml:space="preserve"> </w:t>
      </w:r>
      <w:r>
        <w:t xml:space="preserve">carries the FK back to that record for end-to-end provenance.)</w:t>
      </w:r>
    </w:p>
    <w:p>
      <w:pPr>
        <w:pStyle w:val="Compact"/>
        <w:numPr>
          <w:ilvl w:val="0"/>
          <w:numId w:val="1050"/>
        </w:numPr>
      </w:pPr>
      <w:r>
        <w:t xml:space="preserve">Return the new</w:t>
      </w:r>
      <w:r>
        <w:t xml:space="preserve"> </w:t>
      </w:r>
      <w:r>
        <w:rPr>
          <w:rStyle w:val="VerbatimChar"/>
        </w:rPr>
        <w:t xml:space="preserve">ShippingLabel.Id</w:t>
      </w:r>
      <w:r>
        <w:t xml:space="preserve"> </w:t>
      </w:r>
      <w:r>
        <w:t xml:space="preserve">to the caller.</w:t>
      </w:r>
    </w:p>
    <w:p>
      <w:pPr>
        <w:pStyle w:val="FirstParagraph"/>
      </w:pPr>
      <w:r>
        <w:rPr>
          <w:b/>
          <w:bCs/>
        </w:rPr>
        <w:t xml:space="preserve">The entire close transaction is local-DB-only.</w:t>
      </w:r>
      <w:r>
        <w:t xml:space="preserve"> </w:t>
      </w:r>
      <w:r>
        <w:t xml:space="preserve">It succeeds or fails atomically — there is no in-between state where a container is COMPLETE without an</w:t>
      </w:r>
      <w:r>
        <w:t xml:space="preserve"> </w:t>
      </w:r>
      <w:r>
        <w:rPr>
          <w:rStyle w:val="VerbatimChar"/>
        </w:rPr>
        <w:t xml:space="preserve">AimShipperId</w:t>
      </w:r>
      <w:r>
        <w:t xml:space="preserve">. The synchronous claim + ShippingLabel-INSERT model means container closure has zero external-system latency in the steady state.</w:t>
      </w:r>
    </w:p>
    <w:p>
      <w:pPr>
        <w:pStyle w:val="BodyText"/>
      </w:pPr>
      <w:r>
        <w:rPr>
          <w:b/>
          <w:bCs/>
        </w:rPr>
        <w:t xml:space="preserve">Print dispatch is asynchronous (UJ-18 / FDS-01-014 Gateway-script-async).</w:t>
      </w:r>
      <w:r>
        <w:t xml:space="preserve"> </w:t>
      </w:r>
      <w:r>
        <w:t xml:space="preserve">On successful return of step 6, the calling Perspective view SHALL fire</w:t>
      </w:r>
      <w:r>
        <w:t xml:space="preserve"> </w:t>
      </w:r>
      <w:r>
        <w:rPr>
          <w:rStyle w:val="VerbatimChar"/>
        </w:rPr>
        <w:t xml:space="preserve">system.util.sendRequestAsync('mes', 'print-shipping-label', {ShippingLabelId})</w:t>
      </w:r>
      <w:r>
        <w:t xml:space="preserve">. The Gateway message handler then performs the print per FDS-07-006a; failures surface to the operator per FDS-07-006b. The container is COMPLETE and reported to the operator instantly — the physical label arrives shortly after.</w:t>
      </w:r>
    </w:p>
    <w:bookmarkEnd w:id="198"/>
    <w:bookmarkEnd w:id="199"/>
    <w:bookmarkStart w:id="206" w:name="shipping-labels"/>
    <w:p>
      <w:pPr>
        <w:pStyle w:val="Heading3"/>
      </w:pPr>
      <w:r>
        <w:t xml:space="preserve">7.3 Shipping Labels</w:t>
      </w:r>
    </w:p>
    <w:bookmarkStart w:id="200"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200"/>
    <w:bookmarkStart w:id="201"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201"/>
    <w:bookmarkStart w:id="202" w:name="fds-07-008-shipping-label-void"/>
    <w:p>
      <w:pPr>
        <w:pStyle w:val="Heading4"/>
      </w:pPr>
      <w:r>
        <w:t xml:space="preserve">FDS-07-008 — Shipping Label Void</w:t>
      </w:r>
    </w:p>
    <w:p>
      <w:pPr>
        <w:pStyle w:val="FirstParagraph"/>
      </w:pPr>
      <w:r>
        <w:t xml:space="preserve">When a shipping label is voided (e.g., container sent to Sort Cage), the system SHALL:</w:t>
      </w:r>
    </w:p>
    <w:p>
      <w:pPr>
        <w:pStyle w:val="Compact"/>
        <w:numPr>
          <w:ilvl w:val="0"/>
          <w:numId w:val="1051"/>
        </w:numPr>
      </w:pPr>
      <w:r>
        <w:t xml:space="preserve">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p>
    <w:p>
      <w:pPr>
        <w:pStyle w:val="Compact"/>
        <w:numPr>
          <w:ilvl w:val="0"/>
          <w:numId w:val="1051"/>
        </w:numPr>
      </w:pPr>
      <w:r>
        <w:t xml:space="preserve">Notify AIM of the void via the appropriate interface call</w:t>
      </w:r>
    </w:p>
    <w:p>
      <w:pPr>
        <w:pStyle w:val="Compact"/>
        <w:numPr>
          <w:ilvl w:val="0"/>
          <w:numId w:val="1051"/>
        </w:numPr>
      </w:pPr>
      <w:r>
        <w:t xml:space="preserve">The voided label SHALL remain in the database for audit trail — it is NOT deleted</w:t>
      </w:r>
    </w:p>
    <w:p>
      <w:pPr>
        <w:pStyle w:val="FirstParagraph"/>
      </w:pPr>
      <w:r>
        <w:rPr>
          <w:b/>
          <w:bCs/>
        </w:rPr>
        <w:t xml:space="preserve">ID lifecycle on void (UJ-04 lock).</w:t>
      </w:r>
      <w:r>
        <w:t xml:space="preserve"> </w:t>
      </w:r>
      <w:r>
        <w:t xml:space="preserve">A voided AIM Shipper ID SHALL NOT return to the</w:t>
      </w:r>
      <w:r>
        <w:t xml:space="preserve"> </w:t>
      </w:r>
      <w:r>
        <w:rPr>
          <w:rStyle w:val="VerbatimChar"/>
        </w:rPr>
        <w:t xml:space="preserve">AimShipperIdPool</w:t>
      </w:r>
      <w:r>
        <w:t xml:space="preserve"> </w:t>
      </w:r>
      <w:r>
        <w:t xml:space="preserve">as available. Honda treats every issued ID as permanently consumed regardless of downstream void / re-pack. The</w:t>
      </w:r>
      <w:r>
        <w:t xml:space="preserve"> </w:t>
      </w:r>
      <w:r>
        <w:rPr>
          <w:rStyle w:val="VerbatimChar"/>
        </w:rPr>
        <w:t xml:space="preserve">Lots.AimShipperIdPool</w:t>
      </w:r>
      <w:r>
        <w:t xml:space="preserve"> </w:t>
      </w:r>
      <w:r>
        <w:t xml:space="preserve">row remains terminal (</w:t>
      </w:r>
      <w:r>
        <w:rPr>
          <w:rStyle w:val="VerbatimChar"/>
        </w:rPr>
        <w:t xml:space="preserve">ConsumedAt</w:t>
      </w:r>
      <w:r>
        <w:t xml:space="preserve"> </w:t>
      </w:r>
      <w:r>
        <w:t xml:space="preserve">set, pointing at the original consuming</w:t>
      </w:r>
      <w:r>
        <w:t xml:space="preserve"> </w:t>
      </w:r>
      <w:r>
        <w:rPr>
          <w:rStyle w:val="VerbatimChar"/>
        </w:rPr>
        <w:t xml:space="preserve">Container</w:t>
      </w:r>
      <w:r>
        <w:t xml:space="preserve">). When a re-packed container is closed, it draws a fresh ID from the pool via FDS-07-005’s synchronous</w:t>
      </w:r>
      <w:r>
        <w:t xml:space="preserve"> </w:t>
      </w:r>
      <w:r>
        <w:rPr>
          <w:rStyle w:val="VerbatimChar"/>
        </w:rPr>
        <w:t xml:space="preserve">_Claim</w:t>
      </w:r>
      <w:r>
        <w:t xml:space="preserve">.</w:t>
      </w:r>
    </w:p>
    <w:bookmarkEnd w:id="202"/>
    <w:bookmarkStart w:id="203"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03"/>
    <w:bookmarkStart w:id="204" w:name="X76f3da035f63ad227591490b2769b3dc59440f5"/>
    <w:p>
      <w:pPr>
        <w:pStyle w:val="Heading4"/>
      </w:pPr>
      <w:r>
        <w:t xml:space="preserve">FDS-07-006a — Print Dispatch (Gateway-script-async) —</w:t>
      </w:r>
      <w:r>
        <w:t xml:space="preserve"> </w:t>
      </w:r>
      <w:r>
        <w:rPr>
          <w:rStyle w:val="VerbatimChar"/>
        </w:rPr>
        <w:t xml:space="preserve">MVP</w:t>
      </w:r>
    </w:p>
    <w:p>
      <w:pPr>
        <w:pStyle w:val="FirstParagraph"/>
      </w:pPr>
      <w:r>
        <w:t xml:space="preserve">The Gateway message handler</w:t>
      </w:r>
      <w:r>
        <w:t xml:space="preserve"> </w:t>
      </w:r>
      <w:r>
        <w:rPr>
          <w:rStyle w:val="VerbatimChar"/>
        </w:rPr>
        <w:t xml:space="preserve">print-shipping-label</w:t>
      </w:r>
      <w:r>
        <w:t xml:space="preserve"> </w:t>
      </w:r>
      <w:r>
        <w:t xml:space="preserve">SHALL receive a</w:t>
      </w:r>
      <w:r>
        <w:t xml:space="preserve"> </w:t>
      </w:r>
      <w:r>
        <w:rPr>
          <w:rStyle w:val="VerbatimChar"/>
        </w:rPr>
        <w:t xml:space="preserve">ShippingLabelId</w:t>
      </w:r>
      <w:r>
        <w:t xml:space="preserve"> </w:t>
      </w:r>
      <w:r>
        <w:t xml:space="preserve">payload from FDS-07-005’s</w:t>
      </w:r>
      <w:r>
        <w:t xml:space="preserve"> </w:t>
      </w:r>
      <w:r>
        <w:rPr>
          <w:rStyle w:val="VerbatimChar"/>
        </w:rPr>
        <w:t xml:space="preserve">sendRequestAsync</w:t>
      </w:r>
      <w:r>
        <w:t xml:space="preserve"> </w:t>
      </w:r>
      <w:r>
        <w:t xml:space="preserve">call and SHALL:</w:t>
      </w:r>
    </w:p>
    <w:p>
      <w:pPr>
        <w:pStyle w:val="Compact"/>
        <w:numPr>
          <w:ilvl w:val="0"/>
          <w:numId w:val="1052"/>
        </w:numPr>
      </w:pPr>
      <w:r>
        <w:t xml:space="preserve">SELECT the</w:t>
      </w:r>
      <w:r>
        <w:t xml:space="preserve"> </w:t>
      </w:r>
      <w:r>
        <w:rPr>
          <w:rStyle w:val="VerbatimChar"/>
        </w:rPr>
        <w:t xml:space="preserve">ShippingLabel</w:t>
      </w:r>
      <w:r>
        <w:t xml:space="preserve"> </w:t>
      </w:r>
      <w:r>
        <w:t xml:space="preserve">row + the printer endpoint (resolved via</w:t>
      </w:r>
      <w:r>
        <w:t xml:space="preserve"> </w:t>
      </w:r>
      <w:r>
        <w:rPr>
          <w:rStyle w:val="VerbatimChar"/>
        </w:rPr>
        <w:t xml:space="preserve">LocationAttribute</w:t>
      </w:r>
      <w:r>
        <w:t xml:space="preserve"> </w:t>
      </w:r>
      <w:r>
        <w:t xml:space="preserve">on the Cell that is parent to</w:t>
      </w:r>
      <w:r>
        <w:t xml:space="preserve"> </w:t>
      </w:r>
      <w:r>
        <w:rPr>
          <w:rStyle w:val="VerbatimChar"/>
        </w:rPr>
        <w:t xml:space="preserve">ShippingLabel.TerminalLocationId</w:t>
      </w:r>
      <w:r>
        <w:t xml:space="preserve">).</w:t>
      </w:r>
    </w:p>
    <w:p>
      <w:pPr>
        <w:pStyle w:val="Compact"/>
        <w:numPr>
          <w:ilvl w:val="0"/>
          <w:numId w:val="1052"/>
        </w:numPr>
      </w:pPr>
      <w:r>
        <w:t xml:space="preserve">UPDATE</w:t>
      </w:r>
      <w:r>
        <w:t xml:space="preserve"> </w:t>
      </w:r>
      <w:r>
        <w:rPr>
          <w:rStyle w:val="VerbatimChar"/>
        </w:rPr>
        <w:t xml:space="preserve">ShippingLabel SET LastPrintAttemptAt = SYSUTCDATETIME(), PrintAttempts = PrintAttempts + 1</w:t>
      </w:r>
      <w:r>
        <w:t xml:space="preserve"> </w:t>
      </w:r>
      <w:r>
        <w:t xml:space="preserve">(records the attempt before firing — defensive against handler crash mid-print).</w:t>
      </w:r>
    </w:p>
    <w:p>
      <w:pPr>
        <w:pStyle w:val="Compact"/>
        <w:numPr>
          <w:ilvl w:val="0"/>
          <w:numId w:val="1052"/>
        </w:numPr>
      </w:pPr>
      <w:r>
        <w:t xml:space="preserve">Fire the ZPL to the resolved Zebra via Ignition’s print primitives or scripted Zebra socket.</w:t>
      </w:r>
    </w:p>
    <w:p>
      <w:pPr>
        <w:pStyle w:val="Compact"/>
        <w:numPr>
          <w:ilvl w:val="0"/>
          <w:numId w:val="1052"/>
        </w:numPr>
      </w:pPr>
      <w:r>
        <w:rPr>
          <w:b/>
          <w:bCs/>
        </w:rPr>
        <w:t xml:space="preserve">On success</w:t>
      </w:r>
      <w:r>
        <w:t xml:space="preserve"> </w:t>
      </w:r>
      <w:r>
        <w:t xml:space="preserve">— UPDATE</w:t>
      </w:r>
      <w:r>
        <w:t xml:space="preserve"> </w:t>
      </w:r>
      <w:r>
        <w:rPr>
          <w:rStyle w:val="VerbatimChar"/>
        </w:rPr>
        <w:t xml:space="preserve">ShippingLabel SET PrintedAt = SYSUTCDATETIME(), PrintedByUserId = @CallingAppUserId</w:t>
      </w:r>
      <w:r>
        <w:t xml:space="preserve">; write</w:t>
      </w:r>
      <w:r>
        <w:t xml:space="preserve"> </w:t>
      </w:r>
      <w:r>
        <w:rPr>
          <w:rStyle w:val="VerbatimChar"/>
        </w:rPr>
        <w:t xml:space="preserve">Audit.InterfaceLog</w:t>
      </w:r>
      <w:r>
        <w:t xml:space="preserve"> </w:t>
      </w:r>
      <w:r>
        <w:t xml:space="preserve">(success).</w:t>
      </w:r>
    </w:p>
    <w:p>
      <w:pPr>
        <w:pStyle w:val="Compact"/>
        <w:numPr>
          <w:ilvl w:val="0"/>
          <w:numId w:val="1052"/>
        </w:numPr>
      </w:pPr>
      <w:r>
        <w:rPr>
          <w:b/>
          <w:bCs/>
        </w:rPr>
        <w:t xml:space="preserve">On failure</w:t>
      </w:r>
      <w:r>
        <w:t xml:space="preserve"> </w:t>
      </w:r>
      <w:r>
        <w:t xml:space="preserve">— capture the exception text, UPDATE</w:t>
      </w:r>
      <w:r>
        <w:t xml:space="preserve"> </w:t>
      </w:r>
      <w:r>
        <w:rPr>
          <w:rStyle w:val="VerbatimChar"/>
        </w:rPr>
        <w:t xml:space="preserve">ShippingLabel SET LastPrintError = @Err</w:t>
      </w:r>
      <w:r>
        <w:t xml:space="preserve">. If</w:t>
      </w:r>
      <w:r>
        <w:t xml:space="preserve"> </w:t>
      </w:r>
      <w:r>
        <w:rPr>
          <w:rStyle w:val="VerbatimChar"/>
        </w:rPr>
        <w:t xml:space="preserve">PrintAttempts &lt; 3</w:t>
      </w:r>
      <w:r>
        <w:t xml:space="preserve">, sleep 2 seconds and retry from step 2. If</w:t>
      </w:r>
      <w:r>
        <w:t xml:space="preserve"> </w:t>
      </w:r>
      <w:r>
        <w:rPr>
          <w:rStyle w:val="VerbatimChar"/>
        </w:rPr>
        <w:t xml:space="preserve">PrintAttempts &gt;= 3</w:t>
      </w:r>
      <w:r>
        <w:t xml:space="preserve">, UPDATE</w:t>
      </w:r>
      <w:r>
        <w:t xml:space="preserve"> </w:t>
      </w:r>
      <w:r>
        <w:rPr>
          <w:rStyle w:val="VerbatimChar"/>
        </w:rPr>
        <w:t xml:space="preserve">SET PrintFailedAt = SYSUTCDATETIME()</w:t>
      </w:r>
      <w:r>
        <w:t xml:space="preserve">, write</w:t>
      </w:r>
      <w:r>
        <w:t xml:space="preserve"> </w:t>
      </w:r>
      <w:r>
        <w:rPr>
          <w:rStyle w:val="VerbatimChar"/>
        </w:rPr>
        <w:t xml:space="preserve">Audit.FailureLog</w:t>
      </w:r>
      <w:r>
        <w:t xml:space="preserve"> </w:t>
      </w:r>
      <w:r>
        <w:t xml:space="preserve">(exhausted retries), and STOP. The operator banner (FDS-07-006b) fires off this DB state.</w:t>
      </w:r>
    </w:p>
    <w:p>
      <w:pPr>
        <w:pStyle w:val="FirstParagraph"/>
      </w:pPr>
      <w:r>
        <w:rPr>
          <w:b/>
          <w:bCs/>
        </w:rPr>
        <w:t xml:space="preserve">Retry policy.</w:t>
      </w:r>
      <w:r>
        <w:t xml:space="preserve"> </w:t>
      </w:r>
      <w:r>
        <w:t xml:space="preserve">3 attempts, fixed 2s gap, inline within the single message-handler invocation.</w:t>
      </w:r>
    </w:p>
    <w:p>
      <w:pPr>
        <w:pStyle w:val="BodyText"/>
      </w:pPr>
      <w:r>
        <w:rPr>
          <w:b/>
          <w:bCs/>
        </w:rPr>
        <w:t xml:space="preserve">Idempotency.</w:t>
      </w:r>
      <w:r>
        <w:t xml:space="preserve"> </w:t>
      </w:r>
      <w:r>
        <w:t xml:space="preserve">Re-firing</w:t>
      </w:r>
      <w:r>
        <w:t xml:space="preserve"> </w:t>
      </w:r>
      <w:r>
        <w:rPr>
          <w:rStyle w:val="VerbatimChar"/>
        </w:rPr>
        <w:t xml:space="preserve">print-shipping-label</w:t>
      </w:r>
      <w:r>
        <w:t xml:space="preserve"> </w:t>
      </w:r>
      <w:r>
        <w:t xml:space="preserve">for an already-Completed</w:t>
      </w:r>
      <w:r>
        <w:t xml:space="preserve"> </w:t>
      </w:r>
      <w:r>
        <w:rPr>
          <w:rStyle w:val="VerbatimChar"/>
        </w:rPr>
        <w:t xml:space="preserve">ShippingLabel</w:t>
      </w:r>
      <w:r>
        <w:t xml:space="preserve"> </w:t>
      </w:r>
      <w:r>
        <w:t xml:space="preserve">(</w:t>
      </w:r>
      <w:r>
        <w:rPr>
          <w:rStyle w:val="VerbatimChar"/>
        </w:rPr>
        <w:t xml:space="preserve">PrintedAt IS NOT NULL</w:t>
      </w:r>
      <w:r>
        <w:t xml:space="preserve">) SHALL be a no-op — the handler returns without error.</w:t>
      </w:r>
    </w:p>
    <w:bookmarkEnd w:id="204"/>
    <w:bookmarkStart w:id="205" w:name="X3af957e0a1ca51cdf1a59e94152f8521c923b1d"/>
    <w:p>
      <w:pPr>
        <w:pStyle w:val="Heading4"/>
      </w:pPr>
      <w:r>
        <w:t xml:space="preserve">FDS-07-006b — Print Failure Surfacing &amp; Safety Sweep —</w:t>
      </w:r>
      <w:r>
        <w:t xml:space="preserve"> </w:t>
      </w:r>
      <w:r>
        <w:rPr>
          <w:rStyle w:val="VerbatimChar"/>
        </w:rPr>
        <w:t xml:space="preserve">MVP</w:t>
      </w:r>
    </w:p>
    <w:p>
      <w:pPr>
        <w:pStyle w:val="FirstParagraph"/>
      </w:pPr>
      <w:r>
        <w:rPr>
          <w:b/>
          <w:bCs/>
        </w:rPr>
        <w:t xml:space="preserve">Detection — one Gateway timer.</w:t>
      </w:r>
      <w:r>
        <w:t xml:space="preserve"> </w:t>
      </w:r>
      <w:r>
        <w:t xml:space="preserve">A single Gateway timer script SHALL run every 5 seconds and SHALL query</w:t>
      </w:r>
      <w:r>
        <w:t xml:space="preserve"> </w:t>
      </w:r>
      <w:r>
        <w:rPr>
          <w:rStyle w:val="VerbatimChar"/>
        </w:rPr>
        <w:t xml:space="preserve">Lots.ShippingLabel</w:t>
      </w:r>
      <w:r>
        <w:t xml:space="preserve"> </w:t>
      </w:r>
      <w:r>
        <w:t xml:space="preserve">for rows in either of two failure states:</w:t>
      </w:r>
    </w:p>
    <w:p>
      <w:pPr>
        <w:pStyle w:val="Compact"/>
        <w:numPr>
          <w:ilvl w:val="0"/>
          <w:numId w:val="1053"/>
        </w:numPr>
      </w:pPr>
      <w:r>
        <w:rPr>
          <w:b/>
          <w:bCs/>
        </w:rPr>
        <w:t xml:space="preserve">Failed prints</w:t>
      </w:r>
      <w:r>
        <w:t xml:space="preserve"> </w:t>
      </w:r>
      <w:r>
        <w:t xml:space="preserve">—</w:t>
      </w:r>
      <w:r>
        <w:t xml:space="preserve"> </w:t>
      </w:r>
      <w:r>
        <w:rPr>
          <w:rStyle w:val="VerbatimChar"/>
        </w:rPr>
        <w:t xml:space="preserve">PrintFailedAt IS NOT NULL AND BannerAcknowledgedAt IS NULL</w:t>
      </w:r>
      <w:r>
        <w:t xml:space="preserve"> </w:t>
      </w:r>
      <w:r>
        <w:t xml:space="preserve">(print exhausted its retries; not yet acknowledged).</w:t>
      </w:r>
    </w:p>
    <w:p>
      <w:pPr>
        <w:pStyle w:val="Compact"/>
        <w:numPr>
          <w:ilvl w:val="0"/>
          <w:numId w:val="1053"/>
        </w:numPr>
      </w:pPr>
      <w:r>
        <w:rPr>
          <w:b/>
          <w:bCs/>
        </w:rPr>
        <w:t xml:space="preserve">Stranded prints</w:t>
      </w:r>
      <w:r>
        <w:t xml:space="preserve"> </w:t>
      </w:r>
      <w:r>
        <w:t xml:space="preserve">—</w:t>
      </w:r>
      <w:r>
        <w:t xml:space="preserve"> </w:t>
      </w:r>
      <w:r>
        <w:rPr>
          <w:rStyle w:val="VerbatimChar"/>
        </w:rPr>
        <w:t xml:space="preserve">PrintedAt IS NULL AND PrintFailedAt IS NULL AND CreatedAt &lt; DATEADD(SECOND, -60, GETDATE())</w:t>
      </w:r>
      <w:r>
        <w:t xml:space="preserve"> </w:t>
      </w:r>
      <w:r>
        <w:t xml:space="preserve">(label INSERTed at container-close but the</w:t>
      </w:r>
      <w:r>
        <w:t xml:space="preserve"> </w:t>
      </w:r>
      <w:r>
        <w:rPr>
          <w:rStyle w:val="VerbatimChar"/>
        </w:rPr>
        <w:t xml:space="preserve">print-shipping-label</w:t>
      </w:r>
      <w:r>
        <w:t xml:space="preserve"> </w:t>
      </w:r>
      <w:r>
        <w:t xml:space="preserve">message never reached the handler — typically a Gateway restart between FDS-07-005 commit and dispatch). The 60-second floor avoids racing normal-path prints that haven’t yet been picked up.</w:t>
      </w:r>
    </w:p>
    <w:p>
      <w:pPr>
        <w:pStyle w:val="FirstParagraph"/>
      </w:pPr>
      <w:r>
        <w:t xml:space="preserve">For each row found, the script SHALL fire</w:t>
      </w:r>
      <w:r>
        <w:t xml:space="preserve"> </w:t>
      </w:r>
      <w:r>
        <w:rPr>
          <w:rStyle w:val="VerbatimChar"/>
        </w:rPr>
        <w:t xml:space="preserve">system.util.sendMessage('mes', 'print-failure-alert', {ShippingLabelId, TerminalLocationId, ContainerName, AimShipperId, LastPrintError, FailureKind})</w:t>
      </w:r>
      <w:r>
        <w:t xml:space="preserve">. The broadcast goes to all Perspective sessions in the project; sessions filter on receipt. One DB query per 5 seconds regardless of terminal count.</w:t>
      </w:r>
    </w:p>
    <w:p>
      <w:pPr>
        <w:pStyle w:val="BodyText"/>
      </w:pPr>
      <w:r>
        <w:rPr>
          <w:b/>
          <w:bCs/>
        </w:rPr>
        <w:t xml:space="preserve">Per-terminal banner — session message handler.</w:t>
      </w:r>
      <w:r>
        <w:t xml:space="preserve"> </w:t>
      </w:r>
      <w:r>
        <w:t xml:space="preserve">Every Perspective session SHALL register a handler for the</w:t>
      </w:r>
      <w:r>
        <w:t xml:space="preserve"> </w:t>
      </w:r>
      <w:r>
        <w:rPr>
          <w:rStyle w:val="VerbatimChar"/>
        </w:rPr>
        <w:t xml:space="preserve">'print-failure-alert'</w:t>
      </w:r>
      <w:r>
        <w:t xml:space="preserve"> </w:t>
      </w:r>
      <w:r>
        <w:t xml:space="preserve">message. On receipt the handler SHALL:</w:t>
      </w:r>
    </w:p>
    <w:p>
      <w:pPr>
        <w:pStyle w:val="Compact"/>
        <w:numPr>
          <w:ilvl w:val="0"/>
          <w:numId w:val="1054"/>
        </w:numPr>
      </w:pPr>
      <w:r>
        <w:t xml:space="preserve">Compare</w:t>
      </w:r>
      <w:r>
        <w:t xml:space="preserve"> </w:t>
      </w:r>
      <w:r>
        <w:rPr>
          <w:rStyle w:val="VerbatimChar"/>
        </w:rPr>
        <w:t xml:space="preserve">payload.TerminalLocationId</w:t>
      </w:r>
      <w:r>
        <w:t xml:space="preserve"> </w:t>
      </w:r>
      <w:r>
        <w:t xml:space="preserve">to the session’s bound terminal context (per FDS-02-009).</w:t>
      </w:r>
    </w:p>
    <w:p>
      <w:pPr>
        <w:pStyle w:val="Compact"/>
        <w:numPr>
          <w:ilvl w:val="0"/>
          <w:numId w:val="1054"/>
        </w:numPr>
      </w:pPr>
      <w:r>
        <w:t xml:space="preserve">If they don’t match, return immediately.</w:t>
      </w:r>
    </w:p>
    <w:p>
      <w:pPr>
        <w:pStyle w:val="Compact"/>
        <w:numPr>
          <w:ilvl w:val="0"/>
          <w:numId w:val="1054"/>
        </w:numPr>
      </w:pPr>
      <w:r>
        <w:t xml:space="preserve">If they match, add the failure to the session’s local orphan list and render the banner showing</w:t>
      </w:r>
      <w:r>
        <w:t xml:space="preserve"> </w:t>
      </w:r>
      <w:r>
        <w:rPr>
          <w:rStyle w:val="VerbatimChar"/>
        </w:rPr>
        <w:t xml:space="preserve">ContainerName</w:t>
      </w:r>
      <w:r>
        <w:t xml:space="preserve">,</w:t>
      </w:r>
      <w:r>
        <w:t xml:space="preserve"> </w:t>
      </w:r>
      <w:r>
        <w:rPr>
          <w:rStyle w:val="VerbatimChar"/>
        </w:rPr>
        <w:t xml:space="preserve">AimShipperId</w:t>
      </w:r>
      <w:r>
        <w:t xml:space="preserve">,</w:t>
      </w:r>
      <w:r>
        <w:t xml:space="preserve"> </w:t>
      </w:r>
      <w:r>
        <w:rPr>
          <w:rStyle w:val="VerbatimChar"/>
        </w:rPr>
        <w:t xml:space="preserve">LastPrintError</w:t>
      </w:r>
      <w:r>
        <w:t xml:space="preserve">, and three actions:</w:t>
      </w:r>
    </w:p>
    <w:p>
      <w:pPr>
        <w:pStyle w:val="Compact"/>
        <w:numPr>
          <w:ilvl w:val="0"/>
          <w:numId w:val="1055"/>
        </w:numPr>
      </w:pPr>
      <w:r>
        <w:rPr>
          <w:b/>
          <w:bCs/>
        </w:rPr>
        <w:t xml:space="preserve">Retry now</w:t>
      </w:r>
      <w:r>
        <w:t xml:space="preserve"> </w:t>
      </w:r>
      <w:r>
        <w:t xml:space="preserve">— clears</w:t>
      </w:r>
      <w:r>
        <w:t xml:space="preserve"> </w:t>
      </w:r>
      <w:r>
        <w:rPr>
          <w:rStyle w:val="VerbatimChar"/>
        </w:rPr>
        <w:t xml:space="preserve">PrintFailedAt</w:t>
      </w:r>
      <w:r>
        <w:t xml:space="preserve"> </w:t>
      </w:r>
      <w:r>
        <w:t xml:space="preserve">and</w:t>
      </w:r>
      <w:r>
        <w:t xml:space="preserve"> </w:t>
      </w:r>
      <w:r>
        <w:rPr>
          <w:rStyle w:val="VerbatimChar"/>
        </w:rPr>
        <w:t xml:space="preserve">LastPrintError</w:t>
      </w:r>
      <w:r>
        <w:t xml:space="preserve">, sets</w:t>
      </w:r>
      <w:r>
        <w:t xml:space="preserve"> </w:t>
      </w:r>
      <w:r>
        <w:rPr>
          <w:rStyle w:val="VerbatimChar"/>
        </w:rPr>
        <w:t xml:space="preserve">PrintAttempts = 0</w:t>
      </w:r>
      <w:r>
        <w:t xml:space="preserve">, re-sends</w:t>
      </w:r>
      <w:r>
        <w:t xml:space="preserve"> </w:t>
      </w:r>
      <w:r>
        <w:rPr>
          <w:rStyle w:val="VerbatimChar"/>
        </w:rPr>
        <w:t xml:space="preserve">print-shipping-label</w:t>
      </w:r>
      <w:r>
        <w:t xml:space="preserve"> </w:t>
      </w:r>
      <w:r>
        <w:t xml:space="preserve">per FDS-07-006a. Used when the printer issue has been physically resolved.</w:t>
      </w:r>
    </w:p>
    <w:p>
      <w:pPr>
        <w:pStyle w:val="Compact"/>
        <w:numPr>
          <w:ilvl w:val="0"/>
          <w:numId w:val="1055"/>
        </w:numPr>
      </w:pPr>
      <w:r>
        <w:rPr>
          <w:b/>
          <w:bCs/>
        </w:rPr>
        <w:t xml:space="preserve">Reprint</w:t>
      </w:r>
      <w:r>
        <w:t xml:space="preserve"> </w:t>
      </w:r>
      <w:r>
        <w:t xml:space="preserve">— fires the FDS-07-009 reprint workflow (creates a new</w:t>
      </w:r>
      <w:r>
        <w:t xml:space="preserve"> </w:t>
      </w:r>
      <w:r>
        <w:rPr>
          <w:rStyle w:val="VerbatimChar"/>
        </w:rPr>
        <w:t xml:space="preserve">ShippingLabel</w:t>
      </w:r>
      <w:r>
        <w:t xml:space="preserve"> </w:t>
      </w:r>
      <w:r>
        <w:t xml:space="preserve">row).</w:t>
      </w:r>
    </w:p>
    <w:p>
      <w:pPr>
        <w:pStyle w:val="Compact"/>
        <w:numPr>
          <w:ilvl w:val="0"/>
          <w:numId w:val="1055"/>
        </w:numPr>
      </w:pPr>
      <w:r>
        <w:rPr>
          <w:b/>
          <w:bCs/>
        </w:rPr>
        <w:t xml:space="preserve">Acknowledge</w:t>
      </w:r>
      <w:r>
        <w:t xml:space="preserve"> </w:t>
      </w:r>
      <w:r>
        <w:t xml:space="preserve">— sets</w:t>
      </w:r>
      <w:r>
        <w:t xml:space="preserve"> </w:t>
      </w:r>
      <w:r>
        <w:rPr>
          <w:rStyle w:val="VerbatimChar"/>
        </w:rPr>
        <w:t xml:space="preserve">BannerAcknowledgedAt = SYSUTCDATETIME()</w:t>
      </w:r>
      <w:r>
        <w:t xml:space="preserve"> </w:t>
      </w:r>
      <w:r>
        <w:t xml:space="preserve">on the row. The next sweep excludes it; the banner stops surfacing it. Used when the supervisor handled the print out-of-band (e.g., manual ZPL send to a different printer).</w:t>
      </w:r>
    </w:p>
    <w:p>
      <w:pPr>
        <w:pStyle w:val="FirstParagraph"/>
      </w:pPr>
      <w:r>
        <w:t xml:space="preserve">The session’s local orphan list is rebuilt from incoming messages — the 5-second heartbeat IS the source of truth. On any operator action above the row mutates and falls out of subsequent sweeps, so the local list shrinks naturally. After a session restart, up to 5 seconds elapse before the banner re-emerges — acceptable.</w:t>
      </w:r>
    </w:p>
    <w:p>
      <w:pPr>
        <w:pStyle w:val="BodyText"/>
      </w:pPr>
      <w:r>
        <w:rPr>
          <w:b/>
          <w:bCs/>
        </w:rPr>
        <w:t xml:space="preserve">Stranded-prints alarm.</w:t>
      </w:r>
      <w:r>
        <w:t xml:space="preserve"> </w:t>
      </w:r>
      <w:r>
        <w:t xml:space="preserve">If a sweep finds</w:t>
      </w:r>
      <w:r>
        <w:t xml:space="preserve"> </w:t>
      </w:r>
      <w:r>
        <w:rPr>
          <w:b/>
          <w:bCs/>
        </w:rPr>
        <w:t xml:space="preserve">more than 5</w:t>
      </w:r>
      <w:r>
        <w:t xml:space="preserve"> </w:t>
      </w:r>
      <w:r>
        <w:t xml:space="preserve">orphans in a single pass, the supervisor wallboard tile SHALL turn Critical AND IT notification SHALL fire (mirroring the AIM pool alarm pattern from FDS-07-010b). Above 5 means either the Gateway has been down long enough for a backlog or a systemic printer / network issue is affecting multiple lines. The threshold is hardcoded for MVP; can be promoted to a config row later.</w:t>
      </w:r>
    </w:p>
    <w:p>
      <w:pPr>
        <w:pStyle w:val="BodyText"/>
      </w:pPr>
      <w:r>
        <w:rPr>
          <w:b/>
          <w:bCs/>
        </w:rPr>
        <w:t xml:space="preserve">Schema impact.</w:t>
      </w:r>
      <w:r>
        <w:t xml:space="preserve"> </w:t>
      </w:r>
      <w:r>
        <w:rPr>
          <w:rStyle w:val="VerbatimChar"/>
        </w:rPr>
        <w:t xml:space="preserve">Lots.ShippingLabel</w:t>
      </w:r>
      <w:r>
        <w:t xml:space="preserve"> </w:t>
      </w:r>
      <w:r>
        <w:t xml:space="preserve">gains</w:t>
      </w:r>
      <w:r>
        <w:t xml:space="preserve"> </w:t>
      </w:r>
      <w:r>
        <w:rPr>
          <w:rStyle w:val="VerbatimChar"/>
        </w:rPr>
        <w:t xml:space="preserve">BannerAcknowledgedAt DATETIME2(3) NULL</w:t>
      </w:r>
      <w:r>
        <w:t xml:space="preserve"> </w:t>
      </w:r>
      <w:r>
        <w:t xml:space="preserve">so the Acknowledge action can suppress further alerts without losing the</w:t>
      </w:r>
      <w:r>
        <w:t xml:space="preserve"> </w:t>
      </w:r>
      <w:r>
        <w:rPr>
          <w:rStyle w:val="VerbatimChar"/>
        </w:rPr>
        <w:t xml:space="preserve">PrintFailedAt</w:t>
      </w:r>
      <w:r>
        <w:t xml:space="preserve"> </w:t>
      </w:r>
      <w:r>
        <w:t xml:space="preserve">audit trail. Data model follow-up flagged.</w:t>
      </w:r>
    </w:p>
    <w:bookmarkEnd w:id="205"/>
    <w:bookmarkEnd w:id="206"/>
    <w:bookmarkStart w:id="213" w:name="aim-integration"/>
    <w:p>
      <w:pPr>
        <w:pStyle w:val="Heading3"/>
      </w:pPr>
      <w:r>
        <w:t xml:space="preserve">7.4 AIM Integration</w:t>
      </w:r>
    </w:p>
    <w:bookmarkStart w:id="207" w:name="fds-07-010-aim-shipper-id-local-pool"/>
    <w:p>
      <w:pPr>
        <w:pStyle w:val="Heading4"/>
      </w:pPr>
      <w:r>
        <w:t xml:space="preserve">FDS-07-010 — AIM Shipper ID Local Pool</w:t>
      </w:r>
    </w:p>
    <w:p>
      <w:pPr>
        <w:pStyle w:val="FirstParagraph"/>
      </w:pPr>
      <w:r>
        <w:t xml:space="preserve">The MES SHALL maintain a local pool of pre-fetched AIM Shipper IDs (</w:t>
      </w:r>
      <w:r>
        <w:rPr>
          <w:rStyle w:val="VerbatimChar"/>
        </w:rPr>
        <w:t xml:space="preserve">Lots.AimShipperIdPool</w:t>
      </w:r>
      <w:r>
        <w:t xml:space="preserve">) so that container closure (FDS-07-005) is</w:t>
      </w:r>
      <w:r>
        <w:t xml:space="preserve"> </w:t>
      </w:r>
      <w:r>
        <w:rPr>
          <w:b/>
          <w:bCs/>
        </w:rPr>
        <w:t xml:space="preserve">synchronous and zero-latency</w:t>
      </w:r>
      <w:r>
        <w:t xml:space="preserve"> </w:t>
      </w:r>
      <w:r>
        <w:t xml:space="preserve">with respect to AIM availability. AIM Shipper IDs SHALL be pre-fetched in advance and consumed FIFO at container-close time.</w:t>
      </w:r>
    </w:p>
    <w:p>
      <w:pPr>
        <w:pStyle w:val="BodyText"/>
      </w:pPr>
      <w:r>
        <w:rPr>
          <w:b/>
          <w:bCs/>
        </w:rPr>
        <w:t xml:space="preserve">Pool model.</w:t>
      </w:r>
      <w:r>
        <w:t xml:space="preserve"> </w:t>
      </w:r>
      <w:r>
        <w:t xml:space="preserve">Each</w:t>
      </w:r>
      <w:r>
        <w:t xml:space="preserve"> </w:t>
      </w:r>
      <w:r>
        <w:rPr>
          <w:rStyle w:val="VerbatimChar"/>
        </w:rPr>
        <w:t xml:space="preserve">Lots.AimShipperIdPool</w:t>
      </w:r>
      <w:r>
        <w:t xml:space="preserve"> </w:t>
      </w:r>
      <w:r>
        <w:t xml:space="preserve">row represents one AIM-issued Shipper ID. A row’s lifecycle is binary:</w:t>
      </w:r>
      <w:r>
        <w:t xml:space="preserve"> </w:t>
      </w:r>
      <w:r>
        <w:rPr>
          <w:b/>
          <w:bCs/>
        </w:rPr>
        <w:t xml:space="preserve">available</w:t>
      </w:r>
      <w:r>
        <w:t xml:space="preserve"> </w:t>
      </w:r>
      <w:r>
        <w:t xml:space="preserve">(</w:t>
      </w:r>
      <w:r>
        <w:rPr>
          <w:rStyle w:val="VerbatimChar"/>
        </w:rPr>
        <w:t xml:space="preserve">ConsumedAt IS NULL</w:t>
      </w:r>
      <w:r>
        <w:t xml:space="preserve">) or</w:t>
      </w:r>
      <w:r>
        <w:t xml:space="preserve"> </w:t>
      </w:r>
      <w:r>
        <w:rPr>
          <w:b/>
          <w:bCs/>
        </w:rPr>
        <w:t xml:space="preserve">consumed</w:t>
      </w:r>
      <w:r>
        <w:t xml:space="preserve"> </w:t>
      </w:r>
      <w:r>
        <w:t xml:space="preserve">(</w:t>
      </w:r>
      <w:r>
        <w:rPr>
          <w:rStyle w:val="VerbatimChar"/>
        </w:rPr>
        <w:t xml:space="preserve">ConsumedAt IS NOT NULL</w:t>
      </w:r>
      <w:r>
        <w:t xml:space="preserve">). Once consumed, the row is terminal — see FDS-07-008’s amendment for the no-reuse-on-void rule.</w:t>
      </w:r>
    </w:p>
    <w:p>
      <w:pPr>
        <w:pStyle w:val="BodyText"/>
      </w:pPr>
      <w:r>
        <w:rPr>
          <w:b/>
          <w:bCs/>
        </w:rPr>
        <w:t xml:space="preserve">Topup loop — Gateway timer script.</w:t>
      </w:r>
      <w:r>
        <w:t xml:space="preserve"> </w:t>
      </w:r>
      <w:r>
        <w:t xml:space="preserve">A background Ignition Gateway timer script SHALL run on a fixed cadence (recommended: every 30 seconds; cadence MAY be tuned without spec change) and SHALL:</w:t>
      </w:r>
    </w:p>
    <w:p>
      <w:pPr>
        <w:pStyle w:val="Compact"/>
        <w:numPr>
          <w:ilvl w:val="0"/>
          <w:numId w:val="1056"/>
        </w:numPr>
      </w:pPr>
      <w:r>
        <w:t xml:space="preserve">Read pool depth via</w:t>
      </w:r>
      <w:r>
        <w:t xml:space="preserve"> </w:t>
      </w:r>
      <w:r>
        <w:rPr>
          <w:rStyle w:val="VerbatimChar"/>
        </w:rPr>
        <w:t xml:space="preserve">Lots.AimShipperIdPool_GetDepth</w:t>
      </w:r>
      <w:r>
        <w:t xml:space="preserve"> </w:t>
      </w:r>
      <w:r>
        <w:t xml:space="preserve">returning</w:t>
      </w:r>
      <w:r>
        <w:t xml:space="preserve"> </w:t>
      </w:r>
      <w:r>
        <w:rPr>
          <w:rStyle w:val="VerbatimChar"/>
        </w:rPr>
        <w:t xml:space="preserve">(AvailableCount, OldestAvailableAt)</w:t>
      </w:r>
      <w:r>
        <w:t xml:space="preserve">.</w:t>
      </w:r>
    </w:p>
    <w:p>
      <w:pPr>
        <w:pStyle w:val="Compact"/>
        <w:numPr>
          <w:ilvl w:val="0"/>
          <w:numId w:val="1056"/>
        </w:numPr>
      </w:pPr>
      <w:r>
        <w:t xml:space="preserve">Read configured thresholds via</w:t>
      </w:r>
      <w:r>
        <w:t xml:space="preserve"> </w:t>
      </w:r>
      <w:r>
        <w:rPr>
          <w:rStyle w:val="VerbatimChar"/>
        </w:rPr>
        <w:t xml:space="preserve">Lots.AimPoolConfig_Get</w:t>
      </w:r>
      <w:r>
        <w:t xml:space="preserve"> </w:t>
      </w:r>
      <w:r>
        <w:t xml:space="preserve">returning</w:t>
      </w:r>
      <w:r>
        <w:t xml:space="preserve"> </w:t>
      </w:r>
      <w:r>
        <w:rPr>
          <w:rStyle w:val="VerbatimChar"/>
        </w:rPr>
        <w:t xml:space="preserve">(TargetBufferDepth, TopupThreshold, AlarmWarningDepth, AlarmCriticalDepth)</w:t>
      </w:r>
      <w:r>
        <w:t xml:space="preserve">.</w:t>
      </w:r>
    </w:p>
    <w:p>
      <w:pPr>
        <w:pStyle w:val="Compact"/>
        <w:numPr>
          <w:ilvl w:val="0"/>
          <w:numId w:val="1056"/>
        </w:numPr>
      </w:pPr>
      <w:r>
        <w:t xml:space="preserve">If</w:t>
      </w:r>
      <w:r>
        <w:t xml:space="preserve"> </w:t>
      </w:r>
      <w:r>
        <w:rPr>
          <w:rStyle w:val="VerbatimChar"/>
        </w:rPr>
        <w:t xml:space="preserve">AvailableCount &lt; TopupThreshold</w:t>
      </w:r>
      <w:r>
        <w:t xml:space="preserve">, repeatedly call</w:t>
      </w:r>
      <w:r>
        <w:t xml:space="preserve"> </w:t>
      </w:r>
      <w:r>
        <w:rPr>
          <w:rStyle w:val="VerbatimChar"/>
        </w:rPr>
        <w:t xml:space="preserve">AIM.GetNextNumber</w:t>
      </w:r>
      <w:r>
        <w:t xml:space="preserve"> </w:t>
      </w:r>
      <w:r>
        <w:t xml:space="preserve">until</w:t>
      </w:r>
      <w:r>
        <w:t xml:space="preserve"> </w:t>
      </w:r>
      <w:r>
        <w:rPr>
          <w:rStyle w:val="VerbatimChar"/>
        </w:rPr>
        <w:t xml:space="preserve">AvailableCount</w:t>
      </w:r>
      <w:r>
        <w:t xml:space="preserve"> </w:t>
      </w:r>
      <w:r>
        <w:t xml:space="preserve">reaches</w:t>
      </w:r>
      <w:r>
        <w:t xml:space="preserve"> </w:t>
      </w:r>
      <w:r>
        <w:rPr>
          <w:rStyle w:val="VerbatimChar"/>
        </w:rPr>
        <w:t xml:space="preserve">TargetBufferDepth</w:t>
      </w:r>
      <w:r>
        <w:t xml:space="preserve">. For each AIM call:</w:t>
      </w:r>
    </w:p>
    <w:p>
      <w:pPr>
        <w:pStyle w:val="Compact"/>
        <w:numPr>
          <w:ilvl w:val="1"/>
          <w:numId w:val="1057"/>
        </w:numPr>
      </w:pPr>
      <w:r>
        <w:t xml:space="preserve">Write the request/response to</w:t>
      </w:r>
      <w:r>
        <w:t xml:space="preserve"> </w:t>
      </w:r>
      <w:r>
        <w:rPr>
          <w:rStyle w:val="VerbatimChar"/>
        </w:rPr>
        <w:t xml:space="preserve">Audit.InterfaceLog</w:t>
      </w:r>
      <w:r>
        <w:t xml:space="preserve"> </w:t>
      </w:r>
      <w:r>
        <w:t xml:space="preserve">via</w:t>
      </w:r>
      <w:r>
        <w:t xml:space="preserve"> </w:t>
      </w:r>
      <w:r>
        <w:rPr>
          <w:rStyle w:val="VerbatimChar"/>
        </w:rPr>
        <w:t xml:space="preserve">Audit_LogInterfaceCall</w:t>
      </w:r>
      <w:r>
        <w:t xml:space="preserve"> </w:t>
      </w:r>
      <w:r>
        <w:t xml:space="preserve">and capture the resulting</w:t>
      </w:r>
      <w:r>
        <w:t xml:space="preserve"> </w:t>
      </w:r>
      <w:r>
        <w:rPr>
          <w:rStyle w:val="VerbatimChar"/>
        </w:rPr>
        <w:t xml:space="preserve">InterfaceLogId</w:t>
      </w:r>
      <w:r>
        <w:t xml:space="preserve">.</w:t>
      </w:r>
    </w:p>
    <w:p>
      <w:pPr>
        <w:pStyle w:val="Compact"/>
        <w:numPr>
          <w:ilvl w:val="1"/>
          <w:numId w:val="1057"/>
        </w:numPr>
      </w:pPr>
      <w:r>
        <w:t xml:space="preserve">INSERT a new pool row via</w:t>
      </w:r>
      <w:r>
        <w:t xml:space="preserve"> </w:t>
      </w:r>
      <w:r>
        <w:rPr>
          <w:rStyle w:val="VerbatimChar"/>
        </w:rPr>
        <w:t xml:space="preserve">Lots.AimShipperIdPool_Topup @AimShipperId, @InterfaceLogId</w:t>
      </w:r>
      <w:r>
        <w:t xml:space="preserve">.</w:t>
      </w:r>
    </w:p>
    <w:p>
      <w:pPr>
        <w:pStyle w:val="Compact"/>
        <w:numPr>
          <w:ilvl w:val="1"/>
          <w:numId w:val="1057"/>
        </w:numPr>
      </w:pPr>
      <w:r>
        <w:t xml:space="preserve">If the AIM call fails, log the failure to</w:t>
      </w:r>
      <w:r>
        <w:t xml:space="preserve"> </w:t>
      </w:r>
      <w:r>
        <w:rPr>
          <w:rStyle w:val="VerbatimChar"/>
        </w:rPr>
        <w:t xml:space="preserve">Audit.InterfaceLog</w:t>
      </w:r>
      <w:r>
        <w:t xml:space="preserve">, abandon the topup pass for this cycle, and retry next tick (no backoff; the script re-evaluates depth every cycle).</w:t>
      </w:r>
    </w:p>
    <w:p>
      <w:pPr>
        <w:pStyle w:val="FirstParagraph"/>
      </w:pPr>
      <w:r>
        <w:rPr>
          <w:b/>
          <w:bCs/>
        </w:rPr>
        <w:t xml:space="preserve">Claim ordering.</w:t>
      </w:r>
      <w:r>
        <w:t xml:space="preserve"> </w:t>
      </w:r>
      <w:r>
        <w:rPr>
          <w:rStyle w:val="VerbatimChar"/>
        </w:rPr>
        <w:t xml:space="preserve">Lots.AimShipperIdPool_Claim</w:t>
      </w:r>
      <w:r>
        <w:t xml:space="preserve"> </w:t>
      </w:r>
      <w:r>
        <w:t xml:space="preserve">SHALL select the oldest available row by</w:t>
      </w:r>
      <w:r>
        <w:t xml:space="preserve"> </w:t>
      </w:r>
      <w:r>
        <w:rPr>
          <w:rStyle w:val="VerbatimChar"/>
        </w:rPr>
        <w:t xml:space="preserve">FetchedAt ASC</w:t>
      </w:r>
      <w:r>
        <w:t xml:space="preserve"> </w:t>
      </w:r>
      <w:r>
        <w:t xml:space="preserve">using</w:t>
      </w:r>
      <w:r>
        <w:t xml:space="preserve"> </w:t>
      </w:r>
      <w:r>
        <w:rPr>
          <w:rStyle w:val="VerbatimChar"/>
        </w:rPr>
        <w:t xml:space="preserve">UPDATE TOP (1) WITH (UPDLOCK, READPAST, ROWLOCK) ... OUTPUT inserted.AimShipperId</w:t>
      </w:r>
      <w:r>
        <w:t xml:space="preserve">. The</w:t>
      </w:r>
      <w:r>
        <w:t xml:space="preserve"> </w:t>
      </w:r>
      <w:r>
        <w:rPr>
          <w:rStyle w:val="VerbatimChar"/>
        </w:rPr>
        <w:t xml:space="preserve">READPAST</w:t>
      </w:r>
      <w:r>
        <w:t xml:space="preserve"> </w:t>
      </w:r>
      <w:r>
        <w:t xml:space="preserve">hint allows concurrent claims to skip in-flight locks instead of blocking — two simultaneous container-closes return two distinct IDs without contention.</w:t>
      </w:r>
    </w:p>
    <w:p>
      <w:pPr>
        <w:pStyle w:val="BodyText"/>
      </w:pPr>
      <w:r>
        <w:rPr>
          <w:b/>
          <w:bCs/>
        </w:rPr>
        <w:t xml:space="preserve">End-to-end provenance.</w:t>
      </w:r>
      <w:r>
        <w:t xml:space="preserve"> </w:t>
      </w:r>
      <w:r>
        <w:t xml:space="preserve">Every consumed pool row links back to the originating AIM call via</w:t>
      </w:r>
      <w:r>
        <w:t xml:space="preserve"> </w:t>
      </w:r>
      <w:r>
        <w:rPr>
          <w:rStyle w:val="VerbatimChar"/>
        </w:rPr>
        <w:t xml:space="preserve">AimShipperIdPool.FetchedInterfaceLogId</w:t>
      </w:r>
      <w:r>
        <w:t xml:space="preserve"> </w:t>
      </w:r>
      <w:r>
        <w:t xml:space="preserve">FK →</w:t>
      </w:r>
      <w:r>
        <w:t xml:space="preserve"> </w:t>
      </w:r>
      <w:r>
        <w:rPr>
          <w:rStyle w:val="VerbatimChar"/>
        </w:rPr>
        <w:t xml:space="preserve">Audit.InterfaceLog</w:t>
      </w:r>
      <w:r>
        <w:t xml:space="preserve">. Audit queries can trace an</w:t>
      </w:r>
      <w:r>
        <w:t xml:space="preserve"> </w:t>
      </w:r>
      <w:r>
        <w:rPr>
          <w:rStyle w:val="VerbatimChar"/>
        </w:rPr>
        <w:t xml:space="preserve">AimShipperId</w:t>
      </w:r>
      <w:r>
        <w:t xml:space="preserve"> </w:t>
      </w:r>
      <w:r>
        <w:t xml:space="preserve">from the</w:t>
      </w:r>
      <w:r>
        <w:t xml:space="preserve"> </w:t>
      </w:r>
      <w:r>
        <w:rPr>
          <w:rStyle w:val="VerbatimChar"/>
        </w:rPr>
        <w:t xml:space="preserve">Container</w:t>
      </w:r>
      <w:r>
        <w:t xml:space="preserve"> </w:t>
      </w:r>
      <w:r>
        <w:t xml:space="preserve">row, through the</w:t>
      </w:r>
      <w:r>
        <w:t xml:space="preserve"> </w:t>
      </w:r>
      <w:r>
        <w:rPr>
          <w:rStyle w:val="VerbatimChar"/>
        </w:rPr>
        <w:t xml:space="preserve">AimShipperIdPool</w:t>
      </w:r>
      <w:r>
        <w:t xml:space="preserve"> </w:t>
      </w:r>
      <w:r>
        <w:t xml:space="preserve">consumption, back to the precise AIM</w:t>
      </w:r>
      <w:r>
        <w:t xml:space="preserve"> </w:t>
      </w:r>
      <w:r>
        <w:rPr>
          <w:rStyle w:val="VerbatimChar"/>
        </w:rPr>
        <w:t xml:space="preserve">GetNextNumber</w:t>
      </w:r>
      <w:r>
        <w:t xml:space="preserve"> </w:t>
      </w:r>
      <w:r>
        <w:t xml:space="preserve">call that issued it.</w:t>
      </w:r>
    </w:p>
    <w:bookmarkEnd w:id="207"/>
    <w:bookmarkStart w:id="208" w:name="fds-07-010a-empty-pool-hard-fail-mvp"/>
    <w:p>
      <w:pPr>
        <w:pStyle w:val="Heading4"/>
      </w:pPr>
      <w:r>
        <w:t xml:space="preserve">FDS-07-010a — Empty Pool Hard Fail —</w:t>
      </w:r>
      <w:r>
        <w:t xml:space="preserve"> </w:t>
      </w:r>
      <w:r>
        <w:rPr>
          <w:rStyle w:val="VerbatimChar"/>
        </w:rPr>
        <w:t xml:space="preserve">MVP</w:t>
      </w:r>
    </w:p>
    <w:p>
      <w:pPr>
        <w:pStyle w:val="FirstParagraph"/>
      </w:pPr>
      <w:r>
        <w:t xml:space="preserve">If the pool is empty when</w:t>
      </w:r>
      <w:r>
        <w:t xml:space="preserve"> </w:t>
      </w:r>
      <w:r>
        <w:rPr>
          <w:rStyle w:val="VerbatimChar"/>
        </w:rPr>
        <w:t xml:space="preserve">Container_Complete</w:t>
      </w:r>
      <w:r>
        <w:t xml:space="preserve"> </w:t>
      </w:r>
      <w:r>
        <w:t xml:space="preserve">attempts to claim,</w:t>
      </w:r>
      <w:r>
        <w:t xml:space="preserve"> </w:t>
      </w:r>
      <w:r>
        <w:rPr>
          <w:rStyle w:val="VerbatimChar"/>
        </w:rPr>
        <w:t xml:space="preserve">Lots.AimShipperIdPool_Claim</w:t>
      </w:r>
      <w:r>
        <w:t xml:space="preserve"> </w:t>
      </w:r>
      <w:r>
        <w:t xml:space="preserve">SHALL raise an error and the entire close transaction SHALL roll back. The container SHALL remain in its prior pre-close state (typically OPEN); no</w:t>
      </w:r>
      <w:r>
        <w:t xml:space="preserve"> </w:t>
      </w:r>
      <w:r>
        <w:rPr>
          <w:rStyle w:val="VerbatimChar"/>
        </w:rPr>
        <w:t xml:space="preserve">Container.AimShipperId</w:t>
      </w:r>
      <w:r>
        <w:t xml:space="preserve"> </w:t>
      </w:r>
      <w:r>
        <w:t xml:space="preserve">is set; no</w:t>
      </w:r>
      <w:r>
        <w:t xml:space="preserve"> </w:t>
      </w:r>
      <w:r>
        <w:rPr>
          <w:rStyle w:val="VerbatimChar"/>
        </w:rPr>
        <w:t xml:space="preserve">ShippingLabel</w:t>
      </w:r>
      <w:r>
        <w:t xml:space="preserve"> </w:t>
      </w:r>
      <w:r>
        <w:t xml:space="preserve">row is written. The operator SHALL see a clear error message indicating that the AIM Shipper ID pool is exhausted and that the line is blocked from completing further containers until the pool refills.</w:t>
      </w:r>
    </w:p>
    <w:p>
      <w:pPr>
        <w:pStyle w:val="BodyText"/>
      </w:pPr>
      <w:r>
        <w:t xml:space="preserve">This is a</w:t>
      </w:r>
      <w:r>
        <w:t xml:space="preserve"> </w:t>
      </w:r>
      <w:r>
        <w:rPr>
          <w:b/>
          <w:bCs/>
        </w:rPr>
        <w:t xml:space="preserve">deliberate hard-fail design</w:t>
      </w:r>
      <w:r>
        <w:t xml:space="preserve"> </w:t>
      </w:r>
      <w:r>
        <w:t xml:space="preserve">(not soft-fallback): production stops on affected lines until either (a) AIM connectivity is restored and the topup script refills the pool, or (b) IT manually intervenes. Rationale: trucks cannot ship without valid AIM Shipper IDs, so allowing further closes against an empty pool would create a pile of un-shippable containers and obscure the actual integration outage.</w:t>
      </w:r>
    </w:p>
    <w:bookmarkEnd w:id="208"/>
    <w:bookmarkStart w:id="209" w:name="fds-07-010b-pool-depth-alarms-mvp"/>
    <w:p>
      <w:pPr>
        <w:pStyle w:val="Heading4"/>
      </w:pPr>
      <w:r>
        <w:t xml:space="preserve">FDS-07-010b — Pool Depth Alarms —</w:t>
      </w:r>
      <w:r>
        <w:t xml:space="preserve"> </w:t>
      </w:r>
      <w:r>
        <w:rPr>
          <w:rStyle w:val="VerbatimChar"/>
        </w:rPr>
        <w:t xml:space="preserve">MVP</w:t>
      </w:r>
    </w:p>
    <w:p>
      <w:pPr>
        <w:pStyle w:val="FirstParagraph"/>
      </w:pPr>
      <w:r>
        <w:t xml:space="preserve">The Gateway timer script (or a sibling alarm-evaluation script) SHALL evaluate pool depth on every tick against</w:t>
      </w:r>
      <w:r>
        <w:t xml:space="preserve"> </w:t>
      </w:r>
      <w:r>
        <w:rPr>
          <w:rStyle w:val="VerbatimChar"/>
        </w:rPr>
        <w:t xml:space="preserve">Lots.AimPoolConfig</w:t>
      </w:r>
      <w:r>
        <w:t xml:space="preserve"> </w:t>
      </w:r>
      <w:r>
        <w:t xml:space="preserve">thresholds:</w:t>
      </w:r>
    </w:p>
    <w:p>
      <w:pPr>
        <w:pStyle w:val="Compact"/>
        <w:numPr>
          <w:ilvl w:val="0"/>
          <w:numId w:val="1058"/>
        </w:numPr>
      </w:pPr>
      <w:r>
        <w:rPr>
          <w:rStyle w:val="VerbatimChar"/>
          <w:b/>
          <w:bCs/>
        </w:rPr>
        <w:t xml:space="preserve">AvailableCount &lt; AlarmWarningDepth</w:t>
      </w:r>
      <w:r>
        <w:t xml:space="preserve"> </w:t>
      </w:r>
      <w:r>
        <w:t xml:space="preserve">(default 20) → SHALL update a supervisor wallboard tile to a Warning state showing</w:t>
      </w:r>
      <w:r>
        <w:t xml:space="preserve"> </w:t>
      </w:r>
      <w:r>
        <w:rPr>
          <w:rStyle w:val="VerbatimChar"/>
        </w:rPr>
        <w:t xml:space="preserve">AvailableCount</w:t>
      </w:r>
      <w:r>
        <w:t xml:space="preserve"> </w:t>
      </w:r>
      <w:r>
        <w:t xml:space="preserve">and</w:t>
      </w:r>
      <w:r>
        <w:t xml:space="preserve"> </w:t>
      </w:r>
      <w:r>
        <w:rPr>
          <w:rStyle w:val="VerbatimChar"/>
        </w:rPr>
        <w:t xml:space="preserve">OldestAvailableAt</w:t>
      </w:r>
      <w:r>
        <w:t xml:space="preserve">. No external notification.</w:t>
      </w:r>
    </w:p>
    <w:p>
      <w:pPr>
        <w:pStyle w:val="Compact"/>
        <w:numPr>
          <w:ilvl w:val="0"/>
          <w:numId w:val="1058"/>
        </w:numPr>
      </w:pPr>
      <w:r>
        <w:rPr>
          <w:rStyle w:val="VerbatimChar"/>
          <w:b/>
          <w:bCs/>
        </w:rPr>
        <w:t xml:space="preserve">AvailableCount &lt; AlarmCriticalDepth</w:t>
      </w:r>
      <w:r>
        <w:t xml:space="preserve"> </w:t>
      </w:r>
      <w:r>
        <w:t xml:space="preserve">(default 10) → SHALL escalate: supervisor wallboard tile turns Critical and the system SHALL send an IT notification (initial implementation: Ignition email/SMS via the configured Gateway notification profile; channel choices remain a Phase 0 deployment input). The notification SHALL include</w:t>
      </w:r>
      <w:r>
        <w:t xml:space="preserve"> </w:t>
      </w:r>
      <w:r>
        <w:rPr>
          <w:rStyle w:val="VerbatimChar"/>
        </w:rPr>
        <w:t xml:space="preserve">AvailableCount</w:t>
      </w:r>
      <w:r>
        <w:t xml:space="preserve">,</w:t>
      </w:r>
      <w:r>
        <w:t xml:space="preserve"> </w:t>
      </w:r>
      <w:r>
        <w:rPr>
          <w:rStyle w:val="VerbatimChar"/>
        </w:rPr>
        <w:t xml:space="preserve">OldestAvailableAt</w:t>
      </w:r>
      <w:r>
        <w:t xml:space="preserve">, and the most recent</w:t>
      </w:r>
      <w:r>
        <w:t xml:space="preserve"> </w:t>
      </w:r>
      <w:r>
        <w:rPr>
          <w:rStyle w:val="VerbatimChar"/>
        </w:rPr>
        <w:t xml:space="preserve">Audit.InterfaceLog</w:t>
      </w:r>
      <w:r>
        <w:t xml:space="preserve"> </w:t>
      </w:r>
      <w:r>
        <w:t xml:space="preserve">AIM-failure entry if any.</w:t>
      </w:r>
    </w:p>
    <w:p>
      <w:pPr>
        <w:pStyle w:val="Compact"/>
        <w:numPr>
          <w:ilvl w:val="0"/>
          <w:numId w:val="1058"/>
        </w:numPr>
      </w:pPr>
      <w:r>
        <w:rPr>
          <w:b/>
          <w:bCs/>
        </w:rPr>
        <w:t xml:space="preserve">Pool empty (</w:t>
      </w:r>
      <w:r>
        <w:rPr>
          <w:rStyle w:val="VerbatimChar"/>
          <w:b/>
          <w:bCs/>
        </w:rPr>
        <w:t xml:space="preserve">AvailableCount = 0</w:t>
      </w:r>
      <w:r>
        <w:rPr>
          <w:b/>
          <w:bCs/>
        </w:rPr>
        <w:t xml:space="preserve">)</w:t>
      </w:r>
      <w:r>
        <w:t xml:space="preserve"> </w:t>
      </w:r>
      <w:r>
        <w:t xml:space="preserve">→ IT notification SHALL upgrade to</w:t>
      </w:r>
      <w:r>
        <w:t xml:space="preserve"> </w:t>
      </w:r>
      <w:r>
        <w:t xml:space="preserve">“POOL EXHAUSTED — line stops imminent”</w:t>
      </w:r>
      <w:r>
        <w:t xml:space="preserve"> </w:t>
      </w:r>
      <w:r>
        <w:t xml:space="preserve">severity. Combined with FDS-07-010a’s hard-fail behavior, this is the operational signal that production has stopped or is about to stop.</w:t>
      </w:r>
    </w:p>
    <w:p>
      <w:pPr>
        <w:pStyle w:val="FirstParagraph"/>
      </w:pPr>
      <w:r>
        <w:t xml:space="preserve">Both alarm levels SHALL automatically clear when depth recovers above the corresponding threshold (the wallboard tile returns to Healthy / yellow; the IT notification logs a recovery event).</w:t>
      </w:r>
    </w:p>
    <w:bookmarkEnd w:id="209"/>
    <w:bookmarkStart w:id="210" w:name="Xe75ca996fe37f8987b5650eb48f13a86a2c3b30"/>
    <w:p>
      <w:pPr>
        <w:pStyle w:val="Heading4"/>
      </w:pPr>
      <w:r>
        <w:t xml:space="preserve">FDS-07-010c — Pool Configuration via Configuration Tool —</w:t>
      </w:r>
      <w:r>
        <w:t xml:space="preserve"> </w:t>
      </w:r>
      <w:r>
        <w:rPr>
          <w:rStyle w:val="VerbatimChar"/>
        </w:rPr>
        <w:t xml:space="preserve">MVP</w:t>
      </w:r>
    </w:p>
    <w:p>
      <w:pPr>
        <w:pStyle w:val="FirstParagraph"/>
      </w:pPr>
      <w:r>
        <w:rPr>
          <w:rStyle w:val="VerbatimChar"/>
        </w:rPr>
        <w:t xml:space="preserve">Lots.AimPoolConfig</w:t>
      </w:r>
      <w:r>
        <w:t xml:space="preserve"> </w:t>
      </w:r>
      <w:r>
        <w:t xml:space="preserve">SHALL be operator-editable via the Configuration Tool (Admin-elevated per FDS-04-007). The Config Tool SHALL surface:</w:t>
      </w:r>
    </w:p>
    <w:p>
      <w:pPr>
        <w:pStyle w:val="Compact"/>
        <w:numPr>
          <w:ilvl w:val="0"/>
          <w:numId w:val="1059"/>
        </w:numPr>
      </w:pPr>
      <w:r>
        <w:rPr>
          <w:rStyle w:val="VerbatimChar"/>
        </w:rPr>
        <w:t xml:space="preserve">TargetBufferDepth</w:t>
      </w:r>
      <w:r>
        <w:t xml:space="preserve"> </w:t>
      </w:r>
      <w:r>
        <w:t xml:space="preserve">(default 50) — the buffer size the topup script aims for.</w:t>
      </w:r>
    </w:p>
    <w:p>
      <w:pPr>
        <w:pStyle w:val="Compact"/>
        <w:numPr>
          <w:ilvl w:val="0"/>
          <w:numId w:val="1059"/>
        </w:numPr>
      </w:pPr>
      <w:r>
        <w:rPr>
          <w:rStyle w:val="VerbatimChar"/>
        </w:rPr>
        <w:t xml:space="preserve">TopupThreshold</w:t>
      </w:r>
      <w:r>
        <w:t xml:space="preserve"> </w:t>
      </w:r>
      <w:r>
        <w:t xml:space="preserve">(default 30) — the trigger for topup runs.</w:t>
      </w:r>
    </w:p>
    <w:p>
      <w:pPr>
        <w:pStyle w:val="Compact"/>
        <w:numPr>
          <w:ilvl w:val="0"/>
          <w:numId w:val="1059"/>
        </w:numPr>
      </w:pPr>
      <w:r>
        <w:rPr>
          <w:rStyle w:val="VerbatimChar"/>
        </w:rPr>
        <w:t xml:space="preserve">AlarmWarningDepth</w:t>
      </w:r>
      <w:r>
        <w:t xml:space="preserve"> </w:t>
      </w:r>
      <w:r>
        <w:t xml:space="preserve">(default 20).</w:t>
      </w:r>
    </w:p>
    <w:p>
      <w:pPr>
        <w:pStyle w:val="Compact"/>
        <w:numPr>
          <w:ilvl w:val="0"/>
          <w:numId w:val="1059"/>
        </w:numPr>
      </w:pPr>
      <w:r>
        <w:rPr>
          <w:rStyle w:val="VerbatimChar"/>
        </w:rPr>
        <w:t xml:space="preserve">AlarmCriticalDepth</w:t>
      </w:r>
      <w:r>
        <w:t xml:space="preserve"> </w:t>
      </w:r>
      <w:r>
        <w:t xml:space="preserve">(default 10).</w:t>
      </w:r>
    </w:p>
    <w:p>
      <w:pPr>
        <w:pStyle w:val="FirstParagraph"/>
      </w:pPr>
      <w:r>
        <w:t xml:space="preserve">Validation: the four values SHALL satisfy</w:t>
      </w:r>
      <w:r>
        <w:t xml:space="preserve"> </w:t>
      </w:r>
      <w:r>
        <w:rPr>
          <w:rStyle w:val="VerbatimChar"/>
        </w:rPr>
        <w:t xml:space="preserve">AlarmCriticalDepth &lt; AlarmWarningDepth &lt; TopupThreshold &lt; TargetBufferDepth</w:t>
      </w:r>
      <w:r>
        <w:t xml:space="preserve"> </w:t>
      </w:r>
      <w:r>
        <w:t xml:space="preserve">(CHECK constraints enforce this at the DB level —</w:t>
      </w:r>
      <w:r>
        <w:t xml:space="preserve"> </w:t>
      </w:r>
      <w:r>
        <w:rPr>
          <w:rStyle w:val="VerbatimChar"/>
        </w:rPr>
        <w:t xml:space="preserve">_Update</w:t>
      </w:r>
      <w:r>
        <w:t xml:space="preserve"> </w:t>
      </w:r>
      <w:r>
        <w:t xml:space="preserve">rejects invalid combinations). Updates SHALL be audited via</w:t>
      </w:r>
      <w:r>
        <w:t xml:space="preserve"> </w:t>
      </w:r>
      <w:r>
        <w:rPr>
          <w:rStyle w:val="VerbatimChar"/>
        </w:rPr>
        <w:t xml:space="preserve">Audit.ConfigLog</w:t>
      </w:r>
      <w:r>
        <w:t xml:space="preserve">.</w:t>
      </w:r>
    </w:p>
    <w:p>
      <w:pPr>
        <w:pStyle w:val="BodyText"/>
      </w:pPr>
      <w:r>
        <w:t xml:space="preserve">The four defaults (50 / 30 / 20 / 10) ship in the migration seed and reflect the initial sizing target — they are tunable post-deployment based on actual peak container throughput and observed AIM responsiveness.</w:t>
      </w:r>
    </w:p>
    <w:bookmarkEnd w:id="210"/>
    <w:bookmarkStart w:id="211"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11"/>
    <w:bookmarkStart w:id="212"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12"/>
    <w:bookmarkEnd w:id="213"/>
    <w:bookmarkStart w:id="216" w:name="shipping-dock-workflow"/>
    <w:p>
      <w:pPr>
        <w:pStyle w:val="Heading3"/>
      </w:pPr>
      <w:r>
        <w:t xml:space="preserve">7.5 Shipping Dock Workflow</w:t>
      </w:r>
    </w:p>
    <w:bookmarkStart w:id="214"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14"/>
    <w:bookmarkStart w:id="215" w:name="fds-07-014-ship-confirmation"/>
    <w:p>
      <w:pPr>
        <w:pStyle w:val="Heading4"/>
      </w:pPr>
      <w:r>
        <w:t xml:space="preserve">FDS-07-014 — Ship Confirmation</w:t>
      </w:r>
    </w:p>
    <w:p>
      <w:pPr>
        <w:pStyle w:val="FirstParagraph"/>
      </w:pPr>
      <w:r>
        <w:t xml:space="preserve">On successful validation, the system SHALL:</w:t>
      </w:r>
    </w:p>
    <w:p>
      <w:pPr>
        <w:pStyle w:val="Compact"/>
        <w:numPr>
          <w:ilvl w:val="0"/>
          <w:numId w:val="1060"/>
        </w:numPr>
      </w:pPr>
      <w:r>
        <w:t xml:space="preserve">Set container status to SHIPPED</w:t>
      </w:r>
    </w:p>
    <w:p>
      <w:pPr>
        <w:pStyle w:val="Compact"/>
        <w:numPr>
          <w:ilvl w:val="0"/>
          <w:numId w:val="1060"/>
        </w:numPr>
      </w:pPr>
      <w:r>
        <w:t xml:space="preserve">Record a</w:t>
      </w:r>
      <w:r>
        <w:t xml:space="preserve"> </w:t>
      </w:r>
      <w:r>
        <w:rPr>
          <w:rStyle w:val="VerbatimChar"/>
        </w:rPr>
        <w:t xml:space="preserve">LotMovement</w:t>
      </w:r>
      <w:r>
        <w:t xml:space="preserve"> </w:t>
      </w:r>
      <w:r>
        <w:t xml:space="preserve">for the source LOT to the Shipped location</w:t>
      </w:r>
    </w:p>
    <w:p>
      <w:pPr>
        <w:pStyle w:val="Compact"/>
        <w:numPr>
          <w:ilvl w:val="0"/>
          <w:numId w:val="1060"/>
        </w:numPr>
      </w:pPr>
      <w:r>
        <w:t xml:space="preserve">Log to</w:t>
      </w:r>
      <w:r>
        <w:t xml:space="preserve"> </w:t>
      </w:r>
      <w:r>
        <w:rPr>
          <w:rStyle w:val="VerbatimChar"/>
        </w:rPr>
        <w:t xml:space="preserve">Audit.OperationLog</w:t>
      </w:r>
    </w:p>
    <w:bookmarkEnd w:id="215"/>
    <w:bookmarkEnd w:id="216"/>
    <w:bookmarkStart w:id="219" w:name="container-holds"/>
    <w:p>
      <w:pPr>
        <w:pStyle w:val="Heading3"/>
      </w:pPr>
      <w:r>
        <w:t xml:space="preserve">7.6 Container Holds</w:t>
      </w:r>
    </w:p>
    <w:bookmarkStart w:id="217"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p>
    <w:p>
      <w:pPr>
        <w:pStyle w:val="Compact"/>
        <w:numPr>
          <w:ilvl w:val="0"/>
          <w:numId w:val="1061"/>
        </w:numPr>
      </w:pPr>
      <w:r>
        <w:t xml:space="preserve">Set container status to HOLD</w:t>
      </w:r>
    </w:p>
    <w:p>
      <w:pPr>
        <w:pStyle w:val="Compact"/>
        <w:numPr>
          <w:ilvl w:val="0"/>
          <w:numId w:val="1061"/>
        </w:numPr>
      </w:pPr>
      <w:r>
        <w:t xml:space="preserve">Record the hold number (optional reference)</w:t>
      </w:r>
    </w:p>
    <w:p>
      <w:pPr>
        <w:pStyle w:val="Compact"/>
        <w:numPr>
          <w:ilvl w:val="0"/>
          <w:numId w:val="1061"/>
        </w:numPr>
      </w:pPr>
      <w:r>
        <w:t xml:space="preserve">Call AIM</w:t>
      </w:r>
      <w:r>
        <w:t xml:space="preserve"> </w:t>
      </w:r>
      <w:r>
        <w:rPr>
          <w:rStyle w:val="VerbatimChar"/>
        </w:rPr>
        <w:t xml:space="preserve">PlaceOnHold</w:t>
      </w:r>
      <w:r>
        <w:t xml:space="preserve"> </w:t>
      </w:r>
      <w:r>
        <w:t xml:space="preserve">(FDS-07-011)</w:t>
      </w:r>
    </w:p>
    <w:p>
      <w:pPr>
        <w:pStyle w:val="Compact"/>
        <w:numPr>
          <w:ilvl w:val="0"/>
          <w:numId w:val="1061"/>
        </w:numPr>
      </w:pPr>
      <w:r>
        <w:t xml:space="preserve">Held containers SHALL NOT be loadable at the Shipping Dock</w:t>
      </w:r>
    </w:p>
    <w:bookmarkEnd w:id="217"/>
    <w:bookmarkStart w:id="218"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p>
    <w:p>
      <w:pPr>
        <w:pStyle w:val="Compact"/>
        <w:numPr>
          <w:ilvl w:val="0"/>
          <w:numId w:val="1062"/>
        </w:numPr>
      </w:pPr>
      <w:r>
        <w:t xml:space="preserve">Set container status back to COMPLETE</w:t>
      </w:r>
    </w:p>
    <w:p>
      <w:pPr>
        <w:pStyle w:val="Compact"/>
        <w:numPr>
          <w:ilvl w:val="0"/>
          <w:numId w:val="1062"/>
        </w:numPr>
      </w:pPr>
      <w:r>
        <w:t xml:space="preserve">Call AIM</w:t>
      </w:r>
      <w:r>
        <w:t xml:space="preserve"> </w:t>
      </w:r>
      <w:r>
        <w:rPr>
          <w:rStyle w:val="VerbatimChar"/>
        </w:rPr>
        <w:t xml:space="preserve">ReleaseFromHold</w:t>
      </w:r>
    </w:p>
    <w:p>
      <w:pPr>
        <w:pStyle w:val="Compact"/>
        <w:numPr>
          <w:ilvl w:val="0"/>
          <w:numId w:val="1062"/>
        </w:numPr>
      </w:pPr>
      <w:r>
        <w:t xml:space="preserve">The container is now eligible for shipping</w:t>
      </w:r>
    </w:p>
    <w:bookmarkEnd w:id="218"/>
    <w:bookmarkEnd w:id="219"/>
    <w:bookmarkStart w:id="223" w:name="sort-cage-mvp-expanded"/>
    <w:p>
      <w:pPr>
        <w:pStyle w:val="Heading3"/>
      </w:pPr>
      <w:r>
        <w:t xml:space="preserve">7.7 Sort Cage —</w:t>
      </w:r>
      <w:r>
        <w:t xml:space="preserve"> </w:t>
      </w:r>
      <w:r>
        <w:rPr>
          <w:rStyle w:val="VerbatimChar"/>
        </w:rPr>
        <w:t xml:space="preserve">MVP-EXPANDED</w:t>
      </w:r>
    </w:p>
    <w:bookmarkStart w:id="220" w:name="fds-07-017-sort-cage-workflow"/>
    <w:p>
      <w:pPr>
        <w:pStyle w:val="Heading4"/>
      </w:pPr>
      <w:r>
        <w:t xml:space="preserve">FDS-07-017 — Sort Cage Workflow</w:t>
      </w:r>
    </w:p>
    <w:p>
      <w:pPr>
        <w:pStyle w:val="FirstParagraph"/>
      </w:pPr>
      <w:r>
        <w:t xml:space="preserve">When held containers are sent to the Sort Cage for re-inspection:</w:t>
      </w:r>
    </w:p>
    <w:p>
      <w:pPr>
        <w:pStyle w:val="Compact"/>
        <w:numPr>
          <w:ilvl w:val="0"/>
          <w:numId w:val="1063"/>
        </w:numPr>
      </w:pPr>
      <w:r>
        <w:t xml:space="preserve">The containers SHALL be moved to the Sort Cage location (</w:t>
      </w:r>
      <w:r>
        <w:rPr>
          <w:rStyle w:val="VerbatimChar"/>
        </w:rPr>
        <w:t xml:space="preserve">LotMovement</w:t>
      </w:r>
      <w:r>
        <w:t xml:space="preserve">)</w:t>
      </w:r>
    </w:p>
    <w:p>
      <w:pPr>
        <w:pStyle w:val="Compact"/>
        <w:numPr>
          <w:ilvl w:val="0"/>
          <w:numId w:val="1063"/>
        </w:numPr>
      </w:pPr>
      <w:r>
        <w:t xml:space="preserve">Operators unpack and inspect each part</w:t>
      </w:r>
    </w:p>
    <w:p>
      <w:pPr>
        <w:pStyle w:val="Compact"/>
        <w:numPr>
          <w:ilvl w:val="0"/>
          <w:numId w:val="1063"/>
        </w:numPr>
      </w:pPr>
      <w:r>
        <w:t xml:space="preserve">Good parts SHALL be re-packed into new containers</w:t>
      </w:r>
    </w:p>
    <w:p>
      <w:pPr>
        <w:pStyle w:val="Compact"/>
        <w:numPr>
          <w:ilvl w:val="0"/>
          <w:numId w:val="1063"/>
        </w:numPr>
      </w:pPr>
      <w:r>
        <w:t xml:space="preserve">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p>
    <w:p>
      <w:pPr>
        <w:pStyle w:val="Compact"/>
        <w:numPr>
          <w:ilvl w:val="0"/>
          <w:numId w:val="1063"/>
        </w:numPr>
      </w:pPr>
      <w:r>
        <w:t xml:space="preserve">New LTT labels SHALL print for any new LOTs created during re-sort (print reason: SORT_CAGE)</w:t>
      </w:r>
    </w:p>
    <w:p>
      <w:pPr>
        <w:pStyle w:val="Compact"/>
        <w:numPr>
          <w:ilvl w:val="0"/>
          <w:numId w:val="1063"/>
        </w:numPr>
      </w:pPr>
      <w:r>
        <w:t xml:space="preserve">New shipping labels SHALL print for re-packed containers</w:t>
      </w:r>
    </w:p>
    <w:p>
      <w:pPr>
        <w:pStyle w:val="Compact"/>
        <w:numPr>
          <w:ilvl w:val="0"/>
          <w:numId w:val="1063"/>
        </w:numPr>
      </w:pPr>
      <w:r>
        <w:t xml:space="preserve">Old shipping labels SHALL be voided (FDS-07-008)</w:t>
      </w:r>
    </w:p>
    <w:p>
      <w:pPr>
        <w:pStyle w:val="Compact"/>
        <w:numPr>
          <w:ilvl w:val="0"/>
          <w:numId w:val="1063"/>
        </w:numPr>
      </w:pPr>
      <w:r>
        <w:t xml:space="preserve">AIM SHALL be updated for serial migrations via</w:t>
      </w:r>
      <w:r>
        <w:t xml:space="preserve"> </w:t>
      </w:r>
      <w:r>
        <w:rPr>
          <w:rStyle w:val="VerbatimChar"/>
        </w:rPr>
        <w:t xml:space="preserve">UpdateAim</w:t>
      </w:r>
      <w:r>
        <w:t xml:space="preserve"> </w:t>
      </w:r>
      <w:r>
        <w:t xml:space="preserve">(FDS-07-012)</w:t>
      </w:r>
    </w:p>
    <w:bookmarkEnd w:id="220"/>
    <w:bookmarkStart w:id="221"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21"/>
    <w:bookmarkStart w:id="222"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64"/>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64"/>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64"/>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22"/>
    <w:bookmarkEnd w:id="223"/>
    <w:bookmarkEnd w:id="224"/>
    <w:bookmarkStart w:id="250" w:name="quality-hold-management-mixed-scope"/>
    <w:p>
      <w:pPr>
        <w:pStyle w:val="Heading2"/>
      </w:pPr>
      <w:r>
        <w:t xml:space="preserve">8. Quality &amp; Hold Management — MIXED SCOPE</w:t>
      </w:r>
    </w:p>
    <w:bookmarkStart w:id="225"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25"/>
    <w:bookmarkStart w:id="234" w:name="hold-management-mvp-expanded"/>
    <w:p>
      <w:pPr>
        <w:pStyle w:val="Heading3"/>
      </w:pPr>
      <w:r>
        <w:t xml:space="preserve">8.2 Hold Management —</w:t>
      </w:r>
      <w:r>
        <w:t xml:space="preserve"> </w:t>
      </w:r>
      <w:r>
        <w:rPr>
          <w:rStyle w:val="VerbatimChar"/>
        </w:rPr>
        <w:t xml:space="preserve">MVP-EXPANDED</w:t>
      </w:r>
    </w:p>
    <w:bookmarkStart w:id="226"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26"/>
    <w:bookmarkStart w:id="227"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27"/>
    <w:bookmarkStart w:id="228"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28"/>
    <w:bookmarkStart w:id="229"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29"/>
    <w:bookmarkStart w:id="230"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230"/>
    <w:bookmarkStart w:id="231"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31"/>
    <w:bookmarkStart w:id="232"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32"/>
    <w:bookmarkStart w:id="233"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65"/>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65"/>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65"/>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65"/>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65"/>
        </w:numPr>
      </w:pPr>
      <w:r>
        <w:rPr>
          <w:b/>
          <w:bCs/>
        </w:rPr>
        <w:t xml:space="preserve">Bulk Hold / Bulk Release</w:t>
      </w:r>
      <w:r>
        <w:t xml:space="preserve"> </w:t>
      </w:r>
      <w:r>
        <w:t xml:space="preserve">— follows FDS-08-006 search + multi-select semantics.</w:t>
      </w:r>
    </w:p>
    <w:p>
      <w:pPr>
        <w:pStyle w:val="Compact"/>
        <w:numPr>
          <w:ilvl w:val="0"/>
          <w:numId w:val="1065"/>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33"/>
    <w:bookmarkEnd w:id="234"/>
    <w:bookmarkStart w:id="241" w:name="inspections-mvp"/>
    <w:p>
      <w:pPr>
        <w:pStyle w:val="Heading3"/>
      </w:pPr>
      <w:r>
        <w:t xml:space="preserve">8.3 Inspections —</w:t>
      </w:r>
      <w:r>
        <w:t xml:space="preserve"> </w:t>
      </w:r>
      <w:r>
        <w:rPr>
          <w:rStyle w:val="VerbatimChar"/>
        </w:rPr>
        <w:t xml:space="preserve">MVP</w:t>
      </w:r>
    </w:p>
    <w:bookmarkStart w:id="235"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35"/>
    <w:bookmarkStart w:id="236"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36"/>
    <w:bookmarkStart w:id="237"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37"/>
    <w:bookmarkStart w:id="238" w:name="fds-08-011-inspection-recording"/>
    <w:p>
      <w:pPr>
        <w:pStyle w:val="Heading4"/>
      </w:pPr>
      <w:r>
        <w:t xml:space="preserve">FDS-08-011 — Inspection Recording</w:t>
      </w:r>
    </w:p>
    <w:p>
      <w:pPr>
        <w:pStyle w:val="FirstParagraph"/>
      </w:pPr>
      <w:r>
        <w:t xml:space="preserve">When an inspector takes a sample from a LOT, the system SHALL:</w:t>
      </w:r>
    </w:p>
    <w:p>
      <w:pPr>
        <w:pStyle w:val="Compact"/>
        <w:numPr>
          <w:ilvl w:val="0"/>
          <w:numId w:val="1066"/>
        </w:numPr>
      </w:pPr>
      <w:r>
        <w:t xml:space="preserve">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p>
    <w:p>
      <w:pPr>
        <w:pStyle w:val="Compact"/>
        <w:numPr>
          <w:ilvl w:val="0"/>
          <w:numId w:val="1066"/>
        </w:numPr>
      </w:pPr>
      <w:r>
        <w:t xml:space="preserve">For each spec attribute, create a</w:t>
      </w:r>
      <w:r>
        <w:t xml:space="preserve"> </w:t>
      </w:r>
      <w:r>
        <w:rPr>
          <w:rStyle w:val="VerbatimChar"/>
        </w:rPr>
        <w:t xml:space="preserve">QualityResult</w:t>
      </w:r>
      <w:r>
        <w:t xml:space="preserve"> </w:t>
      </w:r>
      <w:r>
        <w:t xml:space="preserve">record: measured value, UOM, pass/fail (auto-calculated from limits)</w:t>
      </w:r>
    </w:p>
    <w:p>
      <w:pPr>
        <w:pStyle w:val="Compact"/>
        <w:numPr>
          <w:ilvl w:val="0"/>
          <w:numId w:val="1066"/>
        </w:numPr>
      </w:pPr>
      <w:r>
        <w:t xml:space="preserve">Calculate the overall sample result (PASS if all required attributes pass, FAIL if any required attribute fails)</w:t>
      </w:r>
    </w:p>
    <w:p>
      <w:pPr>
        <w:pStyle w:val="Compact"/>
        <w:numPr>
          <w:ilvl w:val="0"/>
          <w:numId w:val="1066"/>
        </w:numPr>
      </w:pPr>
      <w:r>
        <w:t xml:space="preserve">Log to</w:t>
      </w:r>
      <w:r>
        <w:t xml:space="preserve"> </w:t>
      </w:r>
      <w:r>
        <w:rPr>
          <w:rStyle w:val="VerbatimChar"/>
        </w:rPr>
        <w:t xml:space="preserve">Audit.OperationLog</w:t>
      </w:r>
    </w:p>
    <w:bookmarkEnd w:id="238"/>
    <w:bookmarkStart w:id="239"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39"/>
    <w:bookmarkStart w:id="240"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40"/>
    <w:bookmarkEnd w:id="241"/>
    <w:bookmarkStart w:id="244" w:name="sampling-workflows-conditional"/>
    <w:p>
      <w:pPr>
        <w:pStyle w:val="Heading3"/>
      </w:pPr>
      <w:r>
        <w:t xml:space="preserve">8.4 Sampling Workflows —</w:t>
      </w:r>
      <w:r>
        <w:t xml:space="preserve"> </w:t>
      </w:r>
      <w:r>
        <w:rPr>
          <w:rStyle w:val="VerbatimChar"/>
        </w:rPr>
        <w:t xml:space="preserve">CONDITIONAL</w:t>
      </w:r>
    </w:p>
    <w:bookmarkStart w:id="242"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42"/>
    <w:bookmarkStart w:id="243"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43"/>
    <w:bookmarkEnd w:id="244"/>
    <w:bookmarkStart w:id="247" w:name="defect-codes-mvp"/>
    <w:p>
      <w:pPr>
        <w:pStyle w:val="Heading3"/>
      </w:pPr>
      <w:r>
        <w:t xml:space="preserve">8.5 Defect Codes —</w:t>
      </w:r>
      <w:r>
        <w:t xml:space="preserve"> </w:t>
      </w:r>
      <w:r>
        <w:rPr>
          <w:rStyle w:val="VerbatimChar"/>
        </w:rPr>
        <w:t xml:space="preserve">MVP</w:t>
      </w:r>
    </w:p>
    <w:bookmarkStart w:id="245"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45"/>
    <w:bookmarkStart w:id="246"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46"/>
    <w:bookmarkEnd w:id="247"/>
    <w:bookmarkStart w:id="249" w:name="non-conformance-management-future"/>
    <w:p>
      <w:pPr>
        <w:pStyle w:val="Heading3"/>
      </w:pPr>
      <w:r>
        <w:t xml:space="preserve">8.6 Non-Conformance Management —</w:t>
      </w:r>
      <w:r>
        <w:t xml:space="preserve"> </w:t>
      </w:r>
      <w:r>
        <w:rPr>
          <w:rStyle w:val="VerbatimChar"/>
        </w:rPr>
        <w:t xml:space="preserve">FUTURE</w:t>
      </w:r>
    </w:p>
    <w:bookmarkStart w:id="248"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48"/>
    <w:bookmarkEnd w:id="249"/>
    <w:bookmarkEnd w:id="250"/>
    <w:bookmarkStart w:id="271" w:name="downtime-tracking-mixed-scope"/>
    <w:p>
      <w:pPr>
        <w:pStyle w:val="Heading2"/>
      </w:pPr>
      <w:r>
        <w:t xml:space="preserve">9. Downtime Tracking — MIXED SCOPE</w:t>
      </w:r>
    </w:p>
    <w:bookmarkStart w:id="251"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51"/>
    <w:bookmarkStart w:id="257" w:name="downtime-events-mvp"/>
    <w:p>
      <w:pPr>
        <w:pStyle w:val="Heading3"/>
      </w:pPr>
      <w:r>
        <w:t xml:space="preserve">9.2 Downtime Events —</w:t>
      </w:r>
      <w:r>
        <w:t xml:space="preserve"> </w:t>
      </w:r>
      <w:r>
        <w:rPr>
          <w:rStyle w:val="VerbatimChar"/>
        </w:rPr>
        <w:t xml:space="preserve">MVP</w:t>
      </w:r>
    </w:p>
    <w:bookmarkStart w:id="252"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52"/>
    <w:bookmarkStart w:id="253"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53"/>
    <w:bookmarkStart w:id="254"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54"/>
    <w:bookmarkStart w:id="255"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55"/>
    <w:bookmarkStart w:id="256" w:name="Xad1d7deb82fcbe05a765752929854da87c4ae91"/>
    <w:p>
      <w:pPr>
        <w:pStyle w:val="Heading4"/>
      </w:pPr>
      <w:r>
        <w:t xml:space="preserve">FDS-09-005 — Downtime Reason Code Filtering</w:t>
      </w:r>
    </w:p>
    <w:p>
      <w:pPr>
        <w:pStyle w:val="FirstParagraph"/>
      </w:pPr>
      <w:r>
        <w:t xml:space="preserve">The downtime entry screen SHALL filter reason codes by:</w:t>
      </w:r>
    </w:p>
    <w:p>
      <w:pPr>
        <w:pStyle w:val="Compact"/>
        <w:numPr>
          <w:ilvl w:val="0"/>
          <w:numId w:val="1067"/>
        </w:numPr>
      </w:pPr>
      <w:r>
        <w:t xml:space="preserve">Area (matching the machine’s area in the location hierarchy)</w:t>
      </w:r>
    </w:p>
    <w:p>
      <w:pPr>
        <w:pStyle w:val="Compact"/>
        <w:numPr>
          <w:ilvl w:val="0"/>
          <w:numId w:val="1067"/>
        </w:numPr>
      </w:pPr>
      <w:r>
        <w:t xml:space="preserve">Reason type (Equipment, Mold, Quality, Setup, Miscellaneous, Unscheduled)</w:t>
      </w:r>
    </w:p>
    <w:p>
      <w:pPr>
        <w:pStyle w:val="FirstParagraph"/>
      </w:pPr>
      <w:r>
        <w:t xml:space="preserve">The operator selects the type first, then the specific code within that type.</w:t>
      </w:r>
    </w:p>
    <w:bookmarkEnd w:id="256"/>
    <w:bookmarkEnd w:id="257"/>
    <w:bookmarkStart w:id="260" w:name="downtime-reason-codes-mvp"/>
    <w:p>
      <w:pPr>
        <w:pStyle w:val="Heading3"/>
      </w:pPr>
      <w:r>
        <w:t xml:space="preserve">9.3 Downtime Reason Codes —</w:t>
      </w:r>
      <w:r>
        <w:t xml:space="preserve"> </w:t>
      </w:r>
      <w:r>
        <w:rPr>
          <w:rStyle w:val="VerbatimChar"/>
        </w:rPr>
        <w:t xml:space="preserve">MVP</w:t>
      </w:r>
    </w:p>
    <w:bookmarkStart w:id="258"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58"/>
    <w:bookmarkStart w:id="259"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59"/>
    <w:bookmarkEnd w:id="260"/>
    <w:bookmarkStart w:id="268" w:name="shift-management-mvp"/>
    <w:p>
      <w:pPr>
        <w:pStyle w:val="Heading3"/>
      </w:pPr>
      <w:r>
        <w:t xml:space="preserve">9.4 Shift Management —</w:t>
      </w:r>
      <w:r>
        <w:t xml:space="preserve"> </w:t>
      </w:r>
      <w:r>
        <w:rPr>
          <w:rStyle w:val="VerbatimChar"/>
        </w:rPr>
        <w:t xml:space="preserve">MVP</w:t>
      </w:r>
    </w:p>
    <w:p>
      <w:pPr>
        <w:pStyle w:val="FirstParagraph"/>
      </w:pP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Shifts run Monday–Friday at consistent start times; lines run different durations. Early starts automatically increase availability because events drive runtime. The only operator time entry is a single end-of-shift submission per FDS-09-013 capturing whether lunch was taken and which breaks — there is no live per-break entry.</w:t>
      </w:r>
    </w:p>
    <w:bookmarkStart w:id="261"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61"/>
    <w:bookmarkStart w:id="262"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68"/>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68"/>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68"/>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62"/>
    <w:bookmarkStart w:id="263"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 Open events at the shift boundary remain open; the incoming shift operator closes them when the machine resumes.</w:t>
      </w:r>
    </w:p>
    <w:bookmarkEnd w:id="263"/>
    <w:bookmarkStart w:id="264"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64"/>
    <w:bookmarkStart w:id="265" w:name="fds-09-013-end-of-shift-time-entry"/>
    <w:p>
      <w:pPr>
        <w:pStyle w:val="Heading4"/>
      </w:pPr>
      <w:r>
        <w:t xml:space="preserve">FDS-09-013 — End-of-Shift Time Entry</w:t>
      </w:r>
    </w:p>
    <w:p>
      <w:pPr>
        <w:pStyle w:val="FirstParagraph"/>
      </w:pPr>
      <w:r>
        <w:t xml:space="preserve">The MES SHALL accept a single time entry per operator per shift, capturing whether the operator took lunch and which breaks they took. This is the only operator time entry — no live per-break entry during the shift, and no minute-level adjustment of the shift window.</w:t>
      </w:r>
    </w:p>
    <w:p>
      <w:pPr>
        <w:pStyle w:val="BodyText"/>
      </w:pPr>
      <w:r>
        <w:rPr>
          <w:b/>
          <w:bCs/>
        </w:rPr>
        <w:t xml:space="preserve">Visibility window.</w:t>
      </w:r>
      <w:r>
        <w:t xml:space="preserve"> </w:t>
      </w:r>
      <w:r>
        <w:t xml:space="preserve">The header SHALL surface a time-entry control from approximately 15 minutes before through 15 minutes after the scheduled shift end. Outside that window the control is hidden.</w:t>
      </w:r>
    </w:p>
    <w:p>
      <w:pPr>
        <w:pStyle w:val="BodyText"/>
      </w:pPr>
      <w:r>
        <w:rPr>
          <w:b/>
          <w:bCs/>
        </w:rPr>
        <w:t xml:space="preserve">Selection mechanism — button-toggle on both terminal modes.</w:t>
      </w:r>
      <w:r>
        <w:t xml:space="preserve"> </w:t>
      </w:r>
      <w:r>
        <w:t xml:space="preserve">The shift schedule defines the lunch and breaks for that shift. The view renders one</w:t>
      </w:r>
      <w:r>
        <w:t xml:space="preserve"> </w:t>
      </w:r>
      <w:r>
        <w:rPr>
          <w:b/>
          <w:bCs/>
        </w:rPr>
        <w:t xml:space="preserve">toggleable button per scheduled break</w:t>
      </w:r>
      <w:r>
        <w:t xml:space="preserve"> </w:t>
      </w:r>
      <w:r>
        <w:t xml:space="preserve">(e.g.,</w:t>
      </w:r>
      <w:r>
        <w:t xml:space="preserve"> </w:t>
      </w:r>
      <w:r>
        <w:rPr>
          <w:rStyle w:val="VerbatimChar"/>
        </w:rPr>
        <w:t xml:space="preserve">Lunch</w:t>
      </w:r>
      <w:r>
        <w:t xml:space="preserve">,</w:t>
      </w:r>
      <w:r>
        <w:t xml:space="preserve"> </w:t>
      </w:r>
      <w:r>
        <w:rPr>
          <w:rStyle w:val="VerbatimChar"/>
        </w:rPr>
        <w:t xml:space="preserve">Break 1</w:t>
      </w:r>
      <w:r>
        <w:t xml:space="preserve">,</w:t>
      </w:r>
      <w:r>
        <w:t xml:space="preserve"> </w:t>
      </w:r>
      <w:r>
        <w:rPr>
          <w:rStyle w:val="VerbatimChar"/>
        </w:rPr>
        <w:t xml:space="preserve">Break 2</w:t>
      </w:r>
      <w:r>
        <w:t xml:space="preserve">). The operator taps each button the operator took during this shift; tapping again deselects. There is</w:t>
      </w:r>
      <w:r>
        <w:t xml:space="preserve"> </w:t>
      </w:r>
      <w:r>
        <w:rPr>
          <w:b/>
          <w:bCs/>
        </w:rPr>
        <w:t xml:space="preserve">no numeric duration entry</w:t>
      </w:r>
      <w:r>
        <w:t xml:space="preserve">, no dropdown, no checkbox list — just toggleable buttons. Durations and start times are resolved from the shift schedule at submit time.</w:t>
      </w:r>
    </w:p>
    <w:p>
      <w:pPr>
        <w:pStyle w:val="BodyText"/>
      </w:pPr>
      <w:r>
        <w:rPr>
          <w:b/>
          <w:bCs/>
        </w:rPr>
        <w:t xml:space="preserve">Workflow varies by terminal mode only in identity capture, not in selection</w:t>
      </w:r>
      <w:r>
        <w:t xml:space="preserve"> </w:t>
      </w:r>
      <w:r>
        <w:t xml:space="preserve">(per FDS-02-010):</w:t>
      </w:r>
    </w:p>
    <w:p>
      <w:pPr>
        <w:pStyle w:val="Compact"/>
        <w:numPr>
          <w:ilvl w:val="0"/>
          <w:numId w:val="1069"/>
        </w:numPr>
      </w:pPr>
      <w:r>
        <w:rPr>
          <w:b/>
          <w:bCs/>
        </w:rPr>
        <w:t xml:space="preserve">Dedicated terminals</w:t>
      </w:r>
      <w:r>
        <w:t xml:space="preserve"> </w:t>
      </w:r>
      <w:r>
        <w:t xml:space="preserve">(Cell-parented). Operator taps any breaks taken, then taps Submit. The submission is recorded against the operator’s initials presence context (per FDS-04-002) and the current shift instance.</w:t>
      </w:r>
    </w:p>
    <w:p>
      <w:pPr>
        <w:pStyle w:val="Compact"/>
        <w:numPr>
          <w:ilvl w:val="0"/>
          <w:numId w:val="1069"/>
        </w:numPr>
      </w:pPr>
      <w:r>
        <w:rPr>
          <w:b/>
          <w:bCs/>
        </w:rPr>
        <w:t xml:space="preserve">Shared terminals</w:t>
      </w:r>
      <w:r>
        <w:t xml:space="preserve"> </w:t>
      </w:r>
      <w:r>
        <w:t xml:space="preserve">(WorkCenter- or Area-parented). Same selection buttons, with one addition: An inline initials field — operator types or scans their initials before submit; Initials resolve to an</w:t>
      </w:r>
      <w:r>
        <w:t xml:space="preserve"> </w:t>
      </w:r>
      <w:r>
        <w:rPr>
          <w:rStyle w:val="VerbatimChar"/>
        </w:rPr>
        <w:t xml:space="preserve">AppUser</w:t>
      </w:r>
      <w:r>
        <w:t xml:space="preserve"> </w:t>
      </w:r>
      <w:r>
        <w:t xml:space="preserve">per FDS-04-005; the submission writes against the current shift instance and stamps the resulting</w:t>
      </w:r>
      <w:r>
        <w:t xml:space="preserve"> </w:t>
      </w:r>
      <w:r>
        <w:rPr>
          <w:rStyle w:val="VerbatimChar"/>
        </w:rPr>
        <w:t xml:space="preserve">DowntimeEvent</w:t>
      </w:r>
      <w:r>
        <w:t xml:space="preserve"> </w:t>
      </w:r>
      <w:r>
        <w:t xml:space="preserve">rows with that user.</w:t>
      </w:r>
    </w:p>
    <w:p>
      <w:pPr>
        <w:pStyle w:val="FirstParagraph"/>
      </w:pPr>
      <w:r>
        <w:t xml:space="preserve">The system SHALL write</w:t>
      </w:r>
      <w:r>
        <w:t xml:space="preserve"> </w:t>
      </w:r>
      <w:r>
        <w:rPr>
          <w:rStyle w:val="VerbatimChar"/>
        </w:rPr>
        <w:t xml:space="preserve">Oee.DowntimeEvent</w:t>
      </w:r>
      <w:r>
        <w:t xml:space="preserve"> </w:t>
      </w:r>
      <w:r>
        <w:t xml:space="preserve">rows for each selected lunch / break, with durations and start times populated from the shift schedule’s break configuration (durations are NOT operator-entered). This preserves the downtime classification Honda needs for OEE reporting without imposing live-entry friction during production. Selecting zero buttons is valid (operator skipped all breaks); the system writes no</w:t>
      </w:r>
      <w:r>
        <w:t xml:space="preserve"> </w:t>
      </w:r>
      <w:r>
        <w:rPr>
          <w:rStyle w:val="VerbatimChar"/>
        </w:rPr>
        <w:t xml:space="preserve">DowntimeEvent</w:t>
      </w:r>
      <w:r>
        <w:t xml:space="preserve"> </w:t>
      </w:r>
      <w:r>
        <w:t xml:space="preserve">rows in that case but still records the shift-end acknowledgement. (FRS 3.15.2)</w:t>
      </w:r>
    </w:p>
    <w:bookmarkEnd w:id="265"/>
    <w:bookmarkStart w:id="266"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66"/>
    <w:bookmarkStart w:id="267" w:name="fds-09-015-shift-end-summary-screen-mvp"/>
    <w:p>
      <w:pPr>
        <w:pStyle w:val="Heading4"/>
      </w:pPr>
      <w:r>
        <w:t xml:space="preserve">FDS-09-015 — Shift-End Summary Screen —</w:t>
      </w:r>
      <w:r>
        <w:t xml:space="preserve"> </w:t>
      </w:r>
      <w:r>
        <w:rPr>
          <w:rStyle w:val="VerbatimChar"/>
        </w:rPr>
        <w:t xml:space="preserve">MVP</w:t>
      </w:r>
    </w:p>
    <w:p>
      <w:pPr>
        <w:pStyle w:val="FirstParagraph"/>
      </w:pPr>
      <w:r>
        <w:t xml:space="preserve">At shift end (or when the outgoing operator triggers a</w:t>
      </w:r>
      <w:r>
        <w:t xml:space="preserve"> </w:t>
      </w:r>
      <w:r>
        <w:t xml:space="preserve">“Handover”</w:t>
      </w:r>
      <w:r>
        <w:t xml:space="preserve"> </w:t>
      </w:r>
      <w:r>
        <w:t xml:space="preserve">action from the terminal), the MES SHALL present a one-screen summary of in-flight state at that Terminal. This is a Perspective view binding to three queries — no schema additions required:</w:t>
      </w:r>
    </w:p>
    <w:p>
      <w:pPr>
        <w:pStyle w:val="Compact"/>
        <w:numPr>
          <w:ilvl w:val="0"/>
          <w:numId w:val="1070"/>
        </w:numPr>
      </w:pPr>
      <w:r>
        <w:rPr>
          <w:b/>
          <w:bCs/>
        </w:rPr>
        <w:t xml:space="preserve">Open downtime events</w:t>
      </w:r>
      <w:r>
        <w:t xml:space="preserve"> </w:t>
      </w:r>
      <w:r>
        <w:t xml:space="preserve">—</w:t>
      </w:r>
      <w:r>
        <w:t xml:space="preserve"> </w:t>
      </w:r>
      <w:r>
        <w:rPr>
          <w:rStyle w:val="VerbatimChar"/>
        </w:rPr>
        <w:t xml:space="preserve">SELECT FROM Oee.DowntimeEvent WHERE EndedAt IS NULL AND LocationId IN (terminal's parent Cell + descendants)</w:t>
      </w:r>
      <w:r>
        <w:t xml:space="preserve">. Display: started-at, reason, operator who placed.</w:t>
      </w:r>
    </w:p>
    <w:p>
      <w:pPr>
        <w:pStyle w:val="Compact"/>
        <w:numPr>
          <w:ilvl w:val="0"/>
          <w:numId w:val="1070"/>
        </w:numPr>
      </w:pPr>
      <w:r>
        <w:rPr>
          <w:b/>
          <w:bCs/>
        </w:rPr>
        <w:t xml:space="preserve">Open LOT pauses</w:t>
      </w:r>
      <w:r>
        <w:t xml:space="preserve"> </w:t>
      </w:r>
      <w:r>
        <w:t xml:space="preserve">—</w:t>
      </w:r>
      <w:r>
        <w:t xml:space="preserve"> </w:t>
      </w:r>
      <w:r>
        <w:rPr>
          <w:rStyle w:val="VerbatimChar"/>
        </w:rPr>
        <w:t xml:space="preserve">SELECT FROM Lots.PauseEvent WHERE ResumedAt IS NULL AND LocationId IN (terminal's parent Cell + descendants)</w:t>
      </w:r>
      <w:r>
        <w:t xml:space="preserve">. Display: LOT, paused-at, paused-by, reason.</w:t>
      </w:r>
    </w:p>
    <w:p>
      <w:pPr>
        <w:pStyle w:val="Compact"/>
        <w:numPr>
          <w:ilvl w:val="0"/>
          <w:numId w:val="1070"/>
        </w:numPr>
      </w:pPr>
      <w:r>
        <w:rPr>
          <w:b/>
          <w:bCs/>
        </w:rPr>
        <w:t xml:space="preserve">In-process LOTs at this Terminal’s Cell(s)</w:t>
      </w:r>
      <w:r>
        <w:t xml:space="preserve"> </w:t>
      </w:r>
      <w:r>
        <w:t xml:space="preserve">— derived via</w:t>
      </w:r>
      <w:r>
        <w:t xml:space="preserve"> </w:t>
      </w:r>
      <w:r>
        <w:rPr>
          <w:rStyle w:val="VerbatimChar"/>
        </w:rPr>
        <w:t xml:space="preserve">LotMovement</w:t>
      </w:r>
      <w:r>
        <w:t xml:space="preserve"> </w:t>
      </w:r>
      <w:r>
        <w:t xml:space="preserve">joined to</w:t>
      </w:r>
      <w:r>
        <w:t xml:space="preserve"> </w:t>
      </w:r>
      <w:r>
        <w:rPr>
          <w:rStyle w:val="VerbatimChar"/>
        </w:rPr>
        <w:t xml:space="preserve">Lots.v_LotDerivedQuantities</w:t>
      </w:r>
      <w:r>
        <w:t xml:space="preserve">. Display: LOT, Part, in-process piece count.</w:t>
      </w:r>
    </w:p>
    <w:p>
      <w:pPr>
        <w:pStyle w:val="FirstParagraph"/>
      </w:pPr>
      <w:r>
        <w:t xml:space="preserve">The view is read-only. Outgoing operator acknowledges the summary; system records the handover acknowledgement to</w:t>
      </w:r>
      <w:r>
        <w:t xml:space="preserve"> </w:t>
      </w:r>
      <w:r>
        <w:rPr>
          <w:rStyle w:val="VerbatimChar"/>
        </w:rPr>
        <w:t xml:space="preserve">Audit.OperationLog</w:t>
      </w:r>
      <w:r>
        <w:t xml:space="preserve"> </w:t>
      </w:r>
      <w:r>
        <w:t xml:space="preserve">(event type</w:t>
      </w:r>
      <w:r>
        <w:t xml:space="preserve"> </w:t>
      </w:r>
      <w:r>
        <w:rPr>
          <w:rStyle w:val="VerbatimChar"/>
        </w:rPr>
        <w:t xml:space="preserve">ShiftHandoverAcknowledged</w:t>
      </w:r>
      <w:r>
        <w:t xml:space="preserve">) for audit traceability. Incoming operator’s initials prompt is per FDS-04-009 (terminal session re-confirmation).</w:t>
      </w:r>
    </w:p>
    <w:p>
      <w:pPr>
        <w:pStyle w:val="BodyText"/>
      </w:pPr>
      <w:r>
        <w:t xml:space="preserve">The shift-end summary is</w:t>
      </w:r>
      <w:r>
        <w:t xml:space="preserve"> </w:t>
      </w:r>
      <w:r>
        <w:rPr>
          <w:b/>
          <w:bCs/>
        </w:rPr>
        <w:t xml:space="preserve">optional</w:t>
      </w:r>
      <w:r>
        <w:t xml:space="preserve"> </w:t>
      </w:r>
      <w:r>
        <w:t xml:space="preserve">— operators MAY skip it. Open events, pauses, and in-process LOTs persist regardless; events do not auto-split at shift boundaries. The summary is purely a continuity / handover convenience.</w:t>
      </w:r>
    </w:p>
    <w:p>
      <w:pPr>
        <w:pStyle w:val="BodyText"/>
      </w:pPr>
      <w:r>
        <w:rPr>
          <w:b/>
          <w:bCs/>
        </w:rPr>
        <w:t xml:space="preserve">Performance.</w:t>
      </w:r>
      <w:r>
        <w:t xml:space="preserve"> </w:t>
      </w:r>
      <w:r>
        <w:t xml:space="preserve">The in-process-LOT query joins</w:t>
      </w:r>
      <w:r>
        <w:t xml:space="preserve"> </w:t>
      </w:r>
      <w:r>
        <w:rPr>
          <w:rStyle w:val="VerbatimChar"/>
        </w:rPr>
        <w:t xml:space="preserve">Lots.LotMovement</w:t>
      </w:r>
      <w:r>
        <w:t xml:space="preserve"> </w:t>
      </w:r>
      <w:r>
        <w:t xml:space="preserve">to</w:t>
      </w:r>
      <w:r>
        <w:t xml:space="preserve"> </w:t>
      </w:r>
      <w:r>
        <w:rPr>
          <w:rStyle w:val="VerbatimChar"/>
        </w:rPr>
        <w:t xml:space="preserve">Lots.v_LotDerivedQuantities</w:t>
      </w:r>
      <w:r>
        <w:t xml:space="preserve"> </w:t>
      </w:r>
      <w:r>
        <w:t xml:space="preserve">and is the most expensive of the three. An index on</w:t>
      </w:r>
      <w:r>
        <w:t xml:space="preserve"> </w:t>
      </w:r>
      <w:r>
        <w:rPr>
          <w:rStyle w:val="VerbatimChar"/>
        </w:rPr>
        <w:t xml:space="preserve">Lots.LotMovement (ToLocationId, MovedAt DESC)</w:t>
      </w:r>
      <w:r>
        <w:t xml:space="preserve"> </w:t>
      </w:r>
      <w:r>
        <w:t xml:space="preserve">supports the latest-movement-per-LOT scan; the same index serves the Lot Details screen (FDS-05-031).</w:t>
      </w:r>
    </w:p>
    <w:bookmarkEnd w:id="267"/>
    <w:bookmarkEnd w:id="268"/>
    <w:bookmarkStart w:id="270" w:name="oee-future"/>
    <w:p>
      <w:pPr>
        <w:pStyle w:val="Heading3"/>
      </w:pPr>
      <w:r>
        <w:t xml:space="preserve">9.5 OEE —</w:t>
      </w:r>
      <w:r>
        <w:t xml:space="preserve"> </w:t>
      </w:r>
      <w:r>
        <w:rPr>
          <w:rStyle w:val="VerbatimChar"/>
        </w:rPr>
        <w:t xml:space="preserve">FUTURE</w:t>
      </w:r>
    </w:p>
    <w:bookmarkStart w:id="269"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69"/>
    <w:bookmarkEnd w:id="270"/>
    <w:bookmarkEnd w:id="271"/>
    <w:bookmarkStart w:id="290" w:name="plcopc-integration-mvp"/>
    <w:p>
      <w:pPr>
        <w:pStyle w:val="Heading2"/>
      </w:pPr>
      <w:r>
        <w:t xml:space="preserve">10. PLC/OPC Integration —</w:t>
      </w:r>
      <w:r>
        <w:t xml:space="preserve"> </w:t>
      </w:r>
      <w:r>
        <w:rPr>
          <w:rStyle w:val="VerbatimChar"/>
        </w:rPr>
        <w:t xml:space="preserve">MVP</w:t>
      </w:r>
    </w:p>
    <w:bookmarkStart w:id="272"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72"/>
    <w:bookmarkStart w:id="276" w:name="mip-handshake-protocol-serialized-lines"/>
    <w:p>
      <w:pPr>
        <w:pStyle w:val="Heading3"/>
      </w:pPr>
      <w:r>
        <w:t xml:space="preserve">10.2 MIP Handshake Protocol — Serialized Lines</w:t>
      </w:r>
    </w:p>
    <w:bookmarkStart w:id="273"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73"/>
    <w:bookmarkStart w:id="274" w:name="fds-10-002-mip-transaction-flow"/>
    <w:p>
      <w:pPr>
        <w:pStyle w:val="Heading4"/>
      </w:pPr>
      <w:r>
        <w:t xml:space="preserve">FDS-10-002 — MIP Transaction Flow</w:t>
      </w:r>
    </w:p>
    <w:p>
      <w:pPr>
        <w:pStyle w:val="FirstParagraph"/>
      </w:pPr>
      <w:r>
        <w:t xml:space="preserve">For each part cycle:</w:t>
      </w:r>
    </w:p>
    <w:p>
      <w:pPr>
        <w:pStyle w:val="Compact"/>
        <w:numPr>
          <w:ilvl w:val="0"/>
          <w:numId w:val="1071"/>
        </w:numPr>
      </w:pPr>
      <w:r>
        <w:t xml:space="preserve">PLC sets</w:t>
      </w:r>
      <w:r>
        <w:t xml:space="preserve"> </w:t>
      </w:r>
      <w:r>
        <w:rPr>
          <w:rStyle w:val="VerbatimChar"/>
        </w:rPr>
        <w:t xml:space="preserve">DataReady=1</w:t>
      </w:r>
    </w:p>
    <w:p>
      <w:pPr>
        <w:pStyle w:val="Compact"/>
        <w:numPr>
          <w:ilvl w:val="0"/>
          <w:numId w:val="1071"/>
        </w:numPr>
      </w:pPr>
      <w:r>
        <w:t xml:space="preserve">MES sets</w:t>
      </w:r>
      <w:r>
        <w:t xml:space="preserve"> </w:t>
      </w:r>
      <w:r>
        <w:rPr>
          <w:rStyle w:val="VerbatimChar"/>
        </w:rPr>
        <w:t xml:space="preserve">TransInProc=1</w:t>
      </w:r>
      <w:r>
        <w:t xml:space="preserve"> </w:t>
      </w:r>
      <w:r>
        <w:t xml:space="preserve">(acknowledging)</w:t>
      </w:r>
    </w:p>
    <w:p>
      <w:pPr>
        <w:pStyle w:val="Compact"/>
        <w:numPr>
          <w:ilvl w:val="0"/>
          <w:numId w:val="1071"/>
        </w:numPr>
      </w:pPr>
      <w:r>
        <w:t xml:space="preserve">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p>
    <w:p>
      <w:pPr>
        <w:pStyle w:val="Compact"/>
        <w:numPr>
          <w:ilvl w:val="0"/>
          <w:numId w:val="1071"/>
        </w:numPr>
      </w:pPr>
      <w:r>
        <w:t xml:space="preserve">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p>
    <w:p>
      <w:pPr>
        <w:pStyle w:val="Compact"/>
        <w:numPr>
          <w:ilvl w:val="0"/>
          <w:numId w:val="1071"/>
        </w:numPr>
      </w:pPr>
      <w:r>
        <w:t xml:space="preserve">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p>
    <w:p>
      <w:pPr>
        <w:pStyle w:val="Compact"/>
        <w:numPr>
          <w:ilvl w:val="0"/>
          <w:numId w:val="1071"/>
        </w:numPr>
      </w:pPr>
      <w:r>
        <w:t xml:space="preserve">MES records consumption event, serialized part, container serial (per FDS-06-010)</w:t>
      </w:r>
    </w:p>
    <w:p>
      <w:pPr>
        <w:pStyle w:val="Compact"/>
        <w:numPr>
          <w:ilvl w:val="0"/>
          <w:numId w:val="1071"/>
        </w:numPr>
      </w:pPr>
      <w:r>
        <w:t xml:space="preserve">MES updates</w:t>
      </w:r>
      <w:r>
        <w:t xml:space="preserve"> </w:t>
      </w:r>
      <w:r>
        <w:rPr>
          <w:rStyle w:val="VerbatimChar"/>
        </w:rPr>
        <w:t xml:space="preserve">ContainerCount</w:t>
      </w:r>
    </w:p>
    <w:p>
      <w:pPr>
        <w:pStyle w:val="Compact"/>
        <w:numPr>
          <w:ilvl w:val="0"/>
          <w:numId w:val="1071"/>
        </w:numPr>
      </w:pPr>
      <w:r>
        <w:t xml:space="preserve">MES clears</w:t>
      </w:r>
      <w:r>
        <w:t xml:space="preserve"> </w:t>
      </w:r>
      <w:r>
        <w:rPr>
          <w:rStyle w:val="VerbatimChar"/>
        </w:rPr>
        <w:t xml:space="preserve">TransInProc=0</w:t>
      </w:r>
    </w:p>
    <w:bookmarkEnd w:id="274"/>
    <w:bookmarkStart w:id="275"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75"/>
    <w:bookmarkEnd w:id="276"/>
    <w:bookmarkStart w:id="283" w:name="non-serialized-line-integration"/>
    <w:p>
      <w:pPr>
        <w:pStyle w:val="Heading3"/>
      </w:pPr>
      <w:r>
        <w:t xml:space="preserve">10.3 Non-Serialized Line Integration</w:t>
      </w:r>
    </w:p>
    <w:p>
      <w:pPr>
        <w:pStyle w:val="FirstParagraph"/>
      </w:pPr>
      <w:r>
        <w:t xml:space="preserve">Failures on non-serialized lines stop the</w:t>
      </w:r>
      <w:r>
        <w:t xml:space="preserve"> </w:t>
      </w:r>
      <w:r>
        <w:rPr>
          <w:b/>
          <w:bCs/>
        </w:rPr>
        <w:t xml:space="preserve">operation</w:t>
      </w:r>
      <w:r>
        <w:t xml:space="preserve">,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w:t>
      </w:r>
    </w:p>
    <w:bookmarkStart w:id="277"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77"/>
    <w:bookmarkStart w:id="278"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72"/>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72"/>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72"/>
        </w:numPr>
      </w:pPr>
      <w:r>
        <w:t xml:space="preserve">Route to escalation per FDS-10-009 / FDS-10-010 based on failure count and failure type.</w:t>
      </w:r>
    </w:p>
    <w:p>
      <w:pPr>
        <w:pStyle w:val="Compact"/>
        <w:numPr>
          <w:ilvl w:val="0"/>
          <w:numId w:val="1072"/>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72"/>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(FRS 3.16.10 — semantics retained at the event level.)</w:t>
      </w:r>
    </w:p>
    <w:bookmarkEnd w:id="278"/>
    <w:bookmarkStart w:id="279"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73"/>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73"/>
        </w:numPr>
      </w:pPr>
      <w:r>
        <w:t xml:space="preserve">Require supervisor AD elevation (FDS-04-007) before production can resume on that cell.</w:t>
      </w:r>
    </w:p>
    <w:p>
      <w:pPr>
        <w:pStyle w:val="Compact"/>
        <w:numPr>
          <w:ilvl w:val="0"/>
          <w:numId w:val="1073"/>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79"/>
    <w:bookmarkStart w:id="280"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is keyed on the event-type category, each of which is knowable at the point of failure from the source data: Wrong-part is a vision-tag-vs-operator-input comparison, Wrong-orientation is the vision system’s own orientation flag, PartDisposition fail is a PLC tag, and barcode mis-scan is an MES-side scan rejection. No</w:t>
      </w:r>
      <w:r>
        <w:t xml:space="preserve"> </w:t>
      </w:r>
      <w:r>
        <w:rPr>
          <w:rStyle w:val="VerbatimChar"/>
        </w:rPr>
        <w:t xml:space="preserve">Quality.DefectCode</w:t>
      </w:r>
      <w:r>
        <w:t xml:space="preserve"> </w:t>
      </w:r>
      <w:r>
        <w:t xml:space="preserve">configuration lookup is required — the branching is hardcoded by event-type in the line-stop handler.</w:t>
      </w:r>
    </w:p>
    <w:bookmarkEnd w:id="280"/>
    <w:bookmarkStart w:id="281"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74"/>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74"/>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(FRS 3.16.10)</w:t>
      </w:r>
    </w:p>
    <w:bookmarkEnd w:id="281"/>
    <w:bookmarkStart w:id="282"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75"/>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75"/>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75"/>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75"/>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75"/>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 this FDS requirement captures the PLC-side and escalation-side behaviour only. (FRS 3.16.10 + MPP 2026-04-20</w:t>
      </w:r>
      <w:r>
        <w:t xml:space="preserve"> </w:t>
      </w:r>
      <w:r>
        <w:t xml:space="preserve">“CRT = 200% inspect”</w:t>
      </w:r>
      <w:r>
        <w:t xml:space="preserve">)</w:t>
      </w:r>
    </w:p>
    <w:bookmarkEnd w:id="282"/>
    <w:bookmarkEnd w:id="283"/>
    <w:bookmarkStart w:id="285" w:name="scale-integration"/>
    <w:p>
      <w:pPr>
        <w:pStyle w:val="Heading3"/>
      </w:pPr>
      <w:r>
        <w:t xml:space="preserve">10.4 Scale Integration</w:t>
      </w:r>
    </w:p>
    <w:bookmarkStart w:id="284"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84"/>
    <w:bookmarkEnd w:id="285"/>
    <w:bookmarkStart w:id="289" w:name="barcode-integration"/>
    <w:p>
      <w:pPr>
        <w:pStyle w:val="Heading3"/>
      </w:pPr>
      <w:r>
        <w:t xml:space="preserve">10.5 Barcode Integration</w:t>
      </w:r>
    </w:p>
    <w:bookmarkStart w:id="286"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86"/>
    <w:bookmarkStart w:id="287"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r>
        <w:t xml:space="preserve"> </w:t>
      </w:r>
      <w:r>
        <w:rPr>
          <w:b/>
          <w:bCs/>
        </w:rPr>
        <w:t xml:space="preserve">Print dispatch is asynchronous via Gateway-script-async pattern (FDS-01-014); see FDS-07-006a/b for the shipping-label-specific flow including 3-attempt retry with 2s gap and per-terminal banner on failure.</w:t>
      </w:r>
    </w:p>
    <w:bookmarkEnd w:id="287"/>
    <w:bookmarkStart w:id="288" w:name="Xb48e86c0e3026ec09c2deab547166fc5187ebca"/>
    <w:p>
      <w:pPr>
        <w:pStyle w:val="Heading4"/>
      </w:pPr>
      <w:r>
        <w:t xml:space="preserve">FDS-10-013 — Confirmation Method LocationAttribute —</w:t>
      </w:r>
      <w:r>
        <w:t xml:space="preserve"> </w:t>
      </w:r>
      <w:r>
        <w:rPr>
          <w:rStyle w:val="VerbatimChar"/>
        </w:rPr>
        <w:t xml:space="preserve">MVP</w:t>
      </w:r>
    </w:p>
    <w:p>
      <w:pPr>
        <w:pStyle w:val="FirstParagraph"/>
      </w:pPr>
      <w:r>
        <w:t xml:space="preserve">PLC-integrated assembly Cells SHALL declare which confirmation source(s) the line uses for part identity, via a</w:t>
      </w:r>
      <w:r>
        <w:t xml:space="preserve"> </w:t>
      </w:r>
      <w:r>
        <w:rPr>
          <w:rStyle w:val="VerbatimChar"/>
        </w:rPr>
        <w:t xml:space="preserve">LocationAttribute</w:t>
      </w:r>
      <w:r>
        <w:t xml:space="preserve"> </w:t>
      </w:r>
      <w:r>
        <w:rPr>
          <w:rStyle w:val="VerbatimChar"/>
        </w:rPr>
        <w:t xml:space="preserve">ConfirmationMethod</w:t>
      </w:r>
      <w:r>
        <w:t xml:space="preserve"> </w:t>
      </w:r>
      <w:r>
        <w:t xml:space="preserve">on the Cell. Seeded</w:t>
      </w:r>
      <w:r>
        <w:t xml:space="preserve"> </w:t>
      </w:r>
      <w:r>
        <w:rPr>
          <w:rStyle w:val="VerbatimChar"/>
        </w:rPr>
        <w:t xml:space="preserve">LocationAttributeDefinition</w:t>
      </w:r>
      <w:r>
        <w:t xml:space="preserve"> </w:t>
      </w:r>
      <w:r>
        <w:t xml:space="preserve">row on relevant</w:t>
      </w:r>
      <w:r>
        <w:t xml:space="preserve"> </w:t>
      </w:r>
      <w:r>
        <w:rPr>
          <w:rStyle w:val="VerbatimChar"/>
        </w:rPr>
        <w:t xml:space="preserve">LocationTypeDefinition</w:t>
      </w:r>
      <w:r>
        <w:t xml:space="preserve">s (e.g.,</w:t>
      </w:r>
      <w:r>
        <w:t xml:space="preserve"> </w:t>
      </w:r>
      <w:r>
        <w:rPr>
          <w:rStyle w:val="VerbatimChar"/>
        </w:rPr>
        <w:t xml:space="preserve">AssemblyStation</w:t>
      </w:r>
      <w:r>
        <w:t xml:space="preserve">,</w:t>
      </w:r>
      <w:r>
        <w:t xml:space="preserve"> </w:t>
      </w:r>
      <w:r>
        <w:rPr>
          <w:rStyle w:val="VerbatimChar"/>
        </w:rPr>
        <w:t xml:space="preserve">SerializedAssembly</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Allowed values</w:t>
            </w:r>
          </w:p>
        </w:tc>
        <w:tc>
          <w:tcPr>
            <w:shd w:val="clear" w:color="auto" w:fill="1F4E79"/>
          </w:tcPr>
          <w:tcPr/>
          <w:p>
            <w:pPr>
              <w:pStyle w:val="Compact"/>
            </w:pPr>
            <w:r>
              <w:rPr>
                <w:b/>
                <w:color w:val="FFFFFF"/>
              </w:rPr>
              <w:t xml:space="preserve">Description</w:t>
            </w:r>
          </w:p>
        </w:tc>
      </w:tr>
      <w:tr>
        <w:tc>
          <w:tcPr/>
          <w:p>
            <w:pPr>
              <w:pStyle w:val="Compact"/>
            </w:pPr>
            <w:r>
              <w:rPr>
                <w:rStyle w:val="VerbatimChar"/>
              </w:rPr>
              <w:t xml:space="preserve">ConfirmationMethod</w:t>
            </w:r>
          </w:p>
        </w:tc>
        <w:tc>
          <w:tcPr/>
          <w:p>
            <w:pPr>
              <w:pStyle w:val="Compact"/>
            </w:pPr>
            <w:r>
              <w:t xml:space="preserve">NVARCHAR(20)</w:t>
            </w:r>
          </w:p>
        </w:tc>
        <w:tc>
          <w:tcPr/>
          <w:p>
            <w:pPr>
              <w:pStyle w:val="Compact"/>
            </w:pPr>
            <w:r>
              <w:rPr>
                <w:rStyle w:val="VerbatimChar"/>
              </w:rPr>
              <w:t xml:space="preserve">Vision</w:t>
            </w:r>
            <w:r>
              <w:t xml:space="preserve">,</w:t>
            </w:r>
            <w:r>
              <w:t xml:space="preserve"> </w:t>
            </w:r>
            <w:r>
              <w:rPr>
                <w:rStyle w:val="VerbatimChar"/>
              </w:rPr>
              <w:t xml:space="preserve">Barcode</w:t>
            </w:r>
            <w:r>
              <w:t xml:space="preserve">,</w:t>
            </w:r>
            <w:r>
              <w:t xml:space="preserve"> </w:t>
            </w:r>
            <w:r>
              <w:rPr>
                <w:rStyle w:val="VerbatimChar"/>
              </w:rPr>
              <w:t xml:space="preserve">Both</w:t>
            </w:r>
          </w:p>
        </w:tc>
        <w:tc>
          <w:tcPr/>
          <w:p>
            <w:pPr>
              <w:pStyle w:val="Compact"/>
            </w:pPr>
            <w:r>
              <w:t xml:space="preserve">Which source(s) the MES SHALL require for the FDS-06-010 / FDS-10-003 part-identity check</w:t>
            </w:r>
          </w:p>
        </w:tc>
      </w:tr>
    </w:tbl>
    <w:p>
      <w:pPr>
        <w:pStyle w:val="BodyText"/>
      </w:pPr>
      <w:r>
        <w:t xml:space="preserve">The Cell’s</w:t>
      </w:r>
      <w:r>
        <w:t xml:space="preserve"> </w:t>
      </w:r>
      <w:r>
        <w:rPr>
          <w:rStyle w:val="VerbatimChar"/>
        </w:rPr>
        <w:t xml:space="preserve">ConfirmationMethod</w:t>
      </w:r>
      <w:r>
        <w:t xml:space="preserve"> </w:t>
      </w:r>
      <w:r>
        <w:t xml:space="preserve">value is read by the production proc and the operator-facing UI:</w:t>
      </w:r>
      <w:r>
        <w:t xml:space="preserve"> </w:t>
      </w:r>
      <w:r>
        <w:t xml:space="preserve">-</w:t>
      </w:r>
      <w:r>
        <w:t xml:space="preserve"> </w:t>
      </w:r>
      <w:r>
        <w:rPr>
          <w:rStyle w:val="VerbatimChar"/>
          <w:b/>
          <w:bCs/>
        </w:rPr>
        <w:t xml:space="preserve">Vision</w:t>
      </w:r>
      <w:r>
        <w:t xml:space="preserve"> </w:t>
      </w:r>
      <w:r>
        <w:t xml:space="preserve">— only Cognex OCR confirms; barcode reads (if any) are ignored.</w:t>
      </w:r>
      <w:r>
        <w:t xml:space="preserve"> </w:t>
      </w:r>
      <w:r>
        <w:t xml:space="preserve">-</w:t>
      </w:r>
      <w:r>
        <w:t xml:space="preserve"> </w:t>
      </w:r>
      <w:r>
        <w:rPr>
          <w:rStyle w:val="VerbatimChar"/>
          <w:b/>
          <w:bCs/>
        </w:rPr>
        <w:t xml:space="preserve">Barcode</w:t>
      </w:r>
      <w:r>
        <w:t xml:space="preserve"> </w:t>
      </w:r>
      <w:r>
        <w:t xml:space="preserve">— only barcode confirms; vision reads (if any) are ignored.</w:t>
      </w:r>
      <w:r>
        <w:t xml:space="preserve"> </w:t>
      </w:r>
      <w:r>
        <w:t xml:space="preserve">-</w:t>
      </w:r>
      <w:r>
        <w:t xml:space="preserve"> </w:t>
      </w:r>
      <w:r>
        <w:rPr>
          <w:rStyle w:val="VerbatimChar"/>
          <w:b/>
          <w:bCs/>
        </w:rPr>
        <w:t xml:space="preserve">Both</w:t>
      </w:r>
      <w:r>
        <w:t xml:space="preserve"> </w:t>
      </w:r>
      <w:r>
        <w:t xml:space="preserve">— vision AND barcode SHALL confirm matching part identity before the production event records. Mismatch counts toward the 10-fail line-stop threshold (FDS-10-005).</w:t>
      </w:r>
    </w:p>
    <w:p>
      <w:pPr>
        <w:pStyle w:val="BodyText"/>
      </w:pPr>
      <w:r>
        <w:t xml:space="preserve">Edge-case handling for</w:t>
      </w:r>
      <w:r>
        <w:t xml:space="preserve"> </w:t>
      </w:r>
      <w:r>
        <w:rPr>
          <w:rStyle w:val="VerbatimChar"/>
        </w:rPr>
        <w:t xml:space="preserve">Vision</w:t>
      </w:r>
      <w:r>
        <w:t xml:space="preserve"> </w:t>
      </w:r>
      <w:r>
        <w:t xml:space="preserve">or</w:t>
      </w:r>
      <w:r>
        <w:t xml:space="preserve"> </w:t>
      </w:r>
      <w:r>
        <w:rPr>
          <w:rStyle w:val="VerbatimChar"/>
        </w:rPr>
        <w:t xml:space="preserve">Barcode</w:t>
      </w:r>
      <w:r>
        <w:t xml:space="preserve"> </w:t>
      </w:r>
      <w:r>
        <w:t xml:space="preserve">Cells where the configured source briefly fails (e.g., barcode unreadable but vision OK on a</w:t>
      </w:r>
      <w:r>
        <w:t xml:space="preserve"> </w:t>
      </w:r>
      <w:r>
        <w:rPr>
          <w:rStyle w:val="VerbatimChar"/>
        </w:rPr>
        <w:t xml:space="preserve">Barcode</w:t>
      </w:r>
      <w:r>
        <w:t xml:space="preserve">-configured Cell): operator manual override SHALL be available, logged via the FDS-06-009 / UJ-16</w:t>
      </w:r>
      <w:r>
        <w:t xml:space="preserve"> </w:t>
      </w:r>
      <w:r>
        <w:rPr>
          <w:rStyle w:val="VerbatimChar"/>
        </w:rPr>
        <w:t xml:space="preserve">HardwareInterlockBypassed</w:t>
      </w:r>
      <w:r>
        <w:t xml:space="preserve"> </w:t>
      </w:r>
      <w:r>
        <w:t xml:space="preserve">flag on the resulting</w:t>
      </w:r>
      <w:r>
        <w:t xml:space="preserve"> </w:t>
      </w:r>
      <w:r>
        <w:rPr>
          <w:rStyle w:val="VerbatimChar"/>
        </w:rPr>
        <w:t xml:space="preserve">ContainerSerial</w:t>
      </w:r>
      <w:r>
        <w:t xml:space="preserve"> </w:t>
      </w:r>
      <w:r>
        <w:t xml:space="preserve">row. Override is supervisor-elevated per FDS-04-007.</w:t>
      </w:r>
    </w:p>
    <w:p>
      <w:pPr>
        <w:pStyle w:val="BodyText"/>
      </w:pPr>
      <w:r>
        <w:t xml:space="preserve">If MPP later identifies Cells where reconciling Vision and Barcode is operationally valuable, a fourth value</w:t>
      </w:r>
      <w:r>
        <w:t xml:space="preserve"> </w:t>
      </w:r>
      <w:r>
        <w:rPr>
          <w:rStyle w:val="VerbatimChar"/>
        </w:rPr>
        <w:t xml:space="preserve">VisionAuthoritativeBarcodeReconcile</w:t>
      </w:r>
      <w:r>
        <w:t xml:space="preserve"> </w:t>
      </w:r>
      <w:r>
        <w:t xml:space="preserve">MAY be added without schema change — the proc layer interprets the new value.</w:t>
      </w:r>
    </w:p>
    <w:p>
      <w:r>
        <w:pict>
          <v:rect style="width:0;height:1.5pt" o:hralign="center" o:hrstd="t" o:hr="t"/>
        </w:pict>
      </w:r>
    </w:p>
    <w:bookmarkEnd w:id="288"/>
    <w:bookmarkEnd w:id="289"/>
    <w:bookmarkEnd w:id="290"/>
    <w:bookmarkStart w:id="306" w:name="audit-logging-mvp"/>
    <w:p>
      <w:pPr>
        <w:pStyle w:val="Heading2"/>
      </w:pPr>
      <w:r>
        <w:t xml:space="preserve">11. Audit &amp; Logging —</w:t>
      </w:r>
      <w:r>
        <w:t xml:space="preserve"> </w:t>
      </w:r>
      <w:r>
        <w:rPr>
          <w:rStyle w:val="VerbatimChar"/>
        </w:rPr>
        <w:t xml:space="preserve">MVP</w:t>
      </w:r>
    </w:p>
    <w:bookmarkStart w:id="291"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91"/>
    <w:bookmarkStart w:id="297" w:name="log-types"/>
    <w:p>
      <w:pPr>
        <w:pStyle w:val="Heading3"/>
      </w:pPr>
      <w:r>
        <w:t xml:space="preserve">11.2 Log Types</w:t>
      </w:r>
    </w:p>
    <w:bookmarkStart w:id="292"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92"/>
    <w:bookmarkStart w:id="293"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93"/>
    <w:bookmarkStart w:id="294"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94"/>
    <w:bookmarkStart w:id="295"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95"/>
    <w:bookmarkStart w:id="296"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96"/>
    <w:bookmarkEnd w:id="297"/>
    <w:bookmarkStart w:id="302" w:name="normalized-vocabularies"/>
    <w:p>
      <w:pPr>
        <w:pStyle w:val="Heading3"/>
      </w:pPr>
      <w:r>
        <w:t xml:space="preserve">11.3 Normalized Vocabularies</w:t>
      </w:r>
    </w:p>
    <w:bookmarkStart w:id="298"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98"/>
    <w:bookmarkStart w:id="299"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99"/>
    <w:bookmarkStart w:id="300"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300"/>
    <w:bookmarkStart w:id="301"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76"/>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76"/>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76"/>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76"/>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301"/>
    <w:bookmarkEnd w:id="302"/>
    <w:bookmarkStart w:id="305" w:name="data-retention"/>
    <w:p>
      <w:pPr>
        <w:pStyle w:val="Heading3"/>
      </w:pPr>
      <w:r>
        <w:t xml:space="preserve">11.4 Data Retention</w:t>
      </w:r>
    </w:p>
    <w:bookmarkStart w:id="303"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303"/>
    <w:bookmarkStart w:id="304"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304"/>
    <w:bookmarkEnd w:id="305"/>
    <w:bookmarkEnd w:id="306"/>
    <w:bookmarkStart w:id="328" w:name="reporting-mvp"/>
    <w:p>
      <w:pPr>
        <w:pStyle w:val="Heading2"/>
      </w:pPr>
      <w:r>
        <w:t xml:space="preserve">12. Reporting —</w:t>
      </w:r>
      <w:r>
        <w:t xml:space="preserve"> </w:t>
      </w:r>
      <w:r>
        <w:rPr>
          <w:rStyle w:val="VerbatimChar"/>
        </w:rPr>
        <w:t xml:space="preserve">MVP</w:t>
      </w:r>
    </w:p>
    <w:bookmarkStart w:id="307"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307"/>
    <w:bookmarkStart w:id="312" w:name="traceability-reports"/>
    <w:p>
      <w:pPr>
        <w:pStyle w:val="Heading3"/>
      </w:pPr>
      <w:r>
        <w:t xml:space="preserve">12.2 Traceability Reports</w:t>
      </w:r>
    </w:p>
    <w:bookmarkStart w:id="308"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308"/>
    <w:bookmarkStart w:id="309"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09"/>
    <w:bookmarkStart w:id="310"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10"/>
    <w:bookmarkStart w:id="311"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11"/>
    <w:bookmarkEnd w:id="312"/>
    <w:bookmarkStart w:id="317" w:name="X20e5703298e30073c8ffa1040c87c727e57d853"/>
    <w:p>
      <w:pPr>
        <w:pStyle w:val="Heading3"/>
      </w:pPr>
      <w:r>
        <w:t xml:space="preserve">12.3 Production Reports (Replacing Productivity DB)</w:t>
      </w:r>
    </w:p>
    <w:bookmarkStart w:id="313"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13"/>
    <w:bookmarkStart w:id="314"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14"/>
    <w:bookmarkStart w:id="315"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15"/>
    <w:bookmarkStart w:id="316"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16"/>
    <w:bookmarkEnd w:id="317"/>
    <w:bookmarkStart w:id="321" w:name="operational-reports"/>
    <w:p>
      <w:pPr>
        <w:pStyle w:val="Heading3"/>
      </w:pPr>
      <w:r>
        <w:t xml:space="preserve">12.4 Operational Reports</w:t>
      </w:r>
    </w:p>
    <w:bookmarkStart w:id="318"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18"/>
    <w:bookmarkStart w:id="319"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19"/>
    <w:bookmarkStart w:id="320"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20"/>
    <w:bookmarkEnd w:id="321"/>
    <w:bookmarkStart w:id="325" w:name="global-trace-tool-mvp"/>
    <w:p>
      <w:pPr>
        <w:pStyle w:val="Heading3"/>
      </w:pPr>
      <w:r>
        <w:t xml:space="preserve">12.5 Global Trace Tool —</w:t>
      </w:r>
      <w:r>
        <w:t xml:space="preserve"> </w:t>
      </w:r>
      <w:r>
        <w:rPr>
          <w:rStyle w:val="VerbatimChar"/>
        </w:rPr>
        <w:t xml:space="preserve">MVP</w:t>
      </w:r>
    </w:p>
    <w:bookmarkStart w:id="322"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22"/>
    <w:bookmarkStart w:id="323"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77"/>
        </w:numPr>
      </w:pPr>
      <w:r>
        <w:t xml:space="preserve">LOT</w:t>
      </w:r>
      <w:r>
        <w:t xml:space="preserve"> </w:t>
      </w:r>
      <w:r>
        <w:rPr>
          <w:rStyle w:val="VerbatimChar"/>
        </w:rPr>
        <w:t xml:space="preserve">LotName</w:t>
      </w:r>
      <w:r>
        <w:t xml:space="preserve"> </w:t>
      </w:r>
      <w:r>
        <w:t xml:space="preserve">(LTT barcode)</w:t>
      </w:r>
    </w:p>
    <w:p>
      <w:pPr>
        <w:pStyle w:val="Compact"/>
        <w:numPr>
          <w:ilvl w:val="0"/>
          <w:numId w:val="1077"/>
        </w:numPr>
      </w:pPr>
      <w:r>
        <w:t xml:space="preserve">Sub-LOT</w:t>
      </w:r>
      <w:r>
        <w:t xml:space="preserve"> </w:t>
      </w:r>
      <w:r>
        <w:rPr>
          <w:rStyle w:val="VerbatimChar"/>
        </w:rPr>
        <w:t xml:space="preserve">LotName</w:t>
      </w:r>
    </w:p>
    <w:p>
      <w:pPr>
        <w:pStyle w:val="Compact"/>
        <w:numPr>
          <w:ilvl w:val="0"/>
          <w:numId w:val="1077"/>
        </w:numPr>
      </w:pPr>
      <w:r>
        <w:t xml:space="preserve">Serialized part serial number (</w:t>
      </w:r>
      <w:r>
        <w:rPr>
          <w:rStyle w:val="VerbatimChar"/>
        </w:rPr>
        <w:t xml:space="preserve">SerializedPart.SerialNumber</w:t>
      </w:r>
      <w:r>
        <w:t xml:space="preserve">)</w:t>
      </w:r>
    </w:p>
    <w:p>
      <w:pPr>
        <w:pStyle w:val="Compact"/>
        <w:numPr>
          <w:ilvl w:val="0"/>
          <w:numId w:val="1077"/>
        </w:numPr>
      </w:pPr>
      <w:r>
        <w:t xml:space="preserve">Container</w:t>
      </w:r>
      <w:r>
        <w:t xml:space="preserve"> </w:t>
      </w:r>
      <w:r>
        <w:rPr>
          <w:rStyle w:val="VerbatimChar"/>
        </w:rPr>
        <w:t xml:space="preserve">ContainerName</w:t>
      </w:r>
    </w:p>
    <w:p>
      <w:pPr>
        <w:pStyle w:val="Compact"/>
        <w:numPr>
          <w:ilvl w:val="0"/>
          <w:numId w:val="1077"/>
        </w:numPr>
      </w:pPr>
      <w:r>
        <w:t xml:space="preserve">AIM shipper ID (</w:t>
      </w:r>
      <w:r>
        <w:rPr>
          <w:rStyle w:val="VerbatimChar"/>
        </w:rPr>
        <w:t xml:space="preserve">Lots.ShippingLabel.ShipperId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23"/>
    <w:bookmarkStart w:id="324"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78"/>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78"/>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78"/>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78"/>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78"/>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78"/>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bookmarkEnd w:id="324"/>
    <w:bookmarkEnd w:id="325"/>
    <w:bookmarkStart w:id="327" w:name="notifications-posture-mvp"/>
    <w:p>
      <w:pPr>
        <w:pStyle w:val="Heading3"/>
      </w:pPr>
      <w:r>
        <w:t xml:space="preserve">12.6 Notifications Posture —</w:t>
      </w:r>
      <w:r>
        <w:t xml:space="preserve"> </w:t>
      </w:r>
      <w:r>
        <w:rPr>
          <w:rStyle w:val="VerbatimChar"/>
        </w:rPr>
        <w:t xml:space="preserve">MVP</w:t>
      </w:r>
    </w:p>
    <w:bookmarkStart w:id="326" w:name="fds-12-015-banners-only-in-mvp"/>
    <w:p>
      <w:pPr>
        <w:pStyle w:val="Heading4"/>
      </w:pPr>
      <w:r>
        <w:t xml:space="preserve">FDS-12-015 — Banners-Only In-MVP</w:t>
      </w:r>
    </w:p>
    <w:p>
      <w:pPr>
        <w:pStyle w:val="FirstParagraph"/>
      </w:pPr>
      <w:r>
        <w:t xml:space="preserve">User-facing notifications in MVP are surfaced</w:t>
      </w:r>
      <w:r>
        <w:t xml:space="preserve"> </w:t>
      </w:r>
      <w:r>
        <w:rPr>
          <w:b/>
          <w:bCs/>
        </w:rPr>
        <w:t xml:space="preserve">as banners on workstation terminals</w:t>
      </w:r>
      <w:r>
        <w:t xml:space="preserve"> </w:t>
      </w:r>
      <w:r>
        <w:t xml:space="preserve">via the terminal-context broadcast pattern (FDS-07-006a/b print-failure broadcast, elevation banners, hold-event tiles, AIM-pool alarm tiles).</w:t>
      </w:r>
      <w:r>
        <w:t xml:space="preserve"> </w:t>
      </w:r>
      <w:r>
        <w:rPr>
          <w:b/>
          <w:bCs/>
        </w:rPr>
        <w:t xml:space="preserve">Text and email notifications are out-of-MVP</w:t>
      </w:r>
      <w:r>
        <w:t xml:space="preserve"> </w:t>
      </w:r>
      <w:r>
        <w:t xml:space="preserve">— they MAY be added as a post-deployment change order or as scope of a follow-on project. The legacy Configuration Tool’s</w:t>
      </w:r>
      <w:r>
        <w:t xml:space="preserve"> </w:t>
      </w:r>
      <w:r>
        <w:t xml:space="preserve">“Notifications”</w:t>
      </w:r>
      <w:r>
        <w:t xml:space="preserve"> </w:t>
      </w:r>
      <w:r>
        <w:t xml:space="preserve">module (per-event email / alert rules) is not reproduced in MVP. (OI-25 closure 2026-05-01.)</w:t>
      </w:r>
    </w:p>
    <w:p>
      <w:r>
        <w:pict>
          <v:rect style="width:0;height:1.5pt" o:hralign="center" o:hrstd="t" o:hr="t"/>
        </w:pict>
      </w:r>
    </w:p>
    <w:bookmarkEnd w:id="326"/>
    <w:bookmarkEnd w:id="327"/>
    <w:bookmarkEnd w:id="328"/>
    <w:bookmarkStart w:id="339" w:name="external-system-interfaces-mixed-scope"/>
    <w:p>
      <w:pPr>
        <w:pStyle w:val="Heading2"/>
      </w:pPr>
      <w:r>
        <w:t xml:space="preserve">13. External System Interfaces — MIXED SCOPE</w:t>
      </w:r>
    </w:p>
    <w:bookmarkStart w:id="332" w:name="aim-honda-edi-mvp"/>
    <w:p>
      <w:pPr>
        <w:pStyle w:val="Heading3"/>
      </w:pPr>
      <w:r>
        <w:t xml:space="preserve">13.1 AIM (Honda EDI) —</w:t>
      </w:r>
      <w:r>
        <w:t xml:space="preserve"> </w:t>
      </w:r>
      <w:r>
        <w:rPr>
          <w:rStyle w:val="VerbatimChar"/>
        </w:rPr>
        <w:t xml:space="preserve">MVP</w:t>
      </w:r>
    </w:p>
    <w:bookmarkStart w:id="329"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29"/>
    <w:bookmarkStart w:id="330" w:name="fds-13-002-aim-error-handling"/>
    <w:p>
      <w:pPr>
        <w:pStyle w:val="Heading4"/>
      </w:pPr>
      <w:r>
        <w:t xml:space="preserve">FDS-13-002 — AIM Error Handling</w:t>
      </w:r>
    </w:p>
    <w:p>
      <w:pPr>
        <w:pStyle w:val="FirstParagraph"/>
      </w:pPr>
      <w:r>
        <w:t xml:space="preserve">If an AIM call fails, the system SHALL:</w:t>
      </w:r>
    </w:p>
    <w:p>
      <w:pPr>
        <w:pStyle w:val="Compact"/>
        <w:numPr>
          <w:ilvl w:val="0"/>
          <w:numId w:val="1079"/>
        </w:numPr>
      </w:pPr>
      <w:r>
        <w:t xml:space="preserve">Log the failure to</w:t>
      </w:r>
      <w:r>
        <w:t xml:space="preserve"> </w:t>
      </w:r>
      <w:r>
        <w:rPr>
          <w:rStyle w:val="VerbatimChar"/>
        </w:rPr>
        <w:t xml:space="preserve">Audit.InterfaceLog</w:t>
      </w:r>
      <w:r>
        <w:t xml:space="preserve"> </w:t>
      </w:r>
      <w:r>
        <w:t xml:space="preserve">with error details</w:t>
      </w:r>
    </w:p>
    <w:p>
      <w:pPr>
        <w:pStyle w:val="Compact"/>
        <w:numPr>
          <w:ilvl w:val="0"/>
          <w:numId w:val="1079"/>
        </w:numPr>
      </w:pPr>
      <w:r>
        <w:t xml:space="preserve">Queue the call for retry (per FDS-01-006 dispatch pattern)</w:t>
      </w:r>
    </w:p>
    <w:p>
      <w:pPr>
        <w:pStyle w:val="Compact"/>
        <w:numPr>
          <w:ilvl w:val="0"/>
          <w:numId w:val="1079"/>
        </w:numPr>
      </w:pPr>
      <w:r>
        <w:t xml:space="preserve">Alert the shipping operator that the AIM call is pending</w:t>
      </w:r>
    </w:p>
    <w:p>
      <w:pPr>
        <w:pStyle w:val="Compact"/>
        <w:numPr>
          <w:ilvl w:val="0"/>
          <w:numId w:val="1079"/>
        </w:numPr>
      </w:pPr>
      <w:r>
        <w:t xml:space="preserve">The container SHALL remain in its current status until the AIM call succeeds</w:t>
      </w:r>
    </w:p>
    <w:bookmarkEnd w:id="330"/>
    <w:bookmarkStart w:id="331"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31"/>
    <w:bookmarkEnd w:id="332"/>
    <w:bookmarkStart w:id="334" w:name="macola-erp-future"/>
    <w:p>
      <w:pPr>
        <w:pStyle w:val="Heading3"/>
      </w:pPr>
      <w:r>
        <w:t xml:space="preserve">13.2 Macola ERP —</w:t>
      </w:r>
      <w:r>
        <w:t xml:space="preserve"> </w:t>
      </w:r>
      <w:r>
        <w:rPr>
          <w:rStyle w:val="VerbatimChar"/>
        </w:rPr>
        <w:t xml:space="preserve">FUTURE</w:t>
      </w:r>
    </w:p>
    <w:bookmarkStart w:id="333"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33"/>
    <w:bookmarkEnd w:id="334"/>
    <w:bookmarkStart w:id="336" w:name="intelex-quality-management-future"/>
    <w:p>
      <w:pPr>
        <w:pStyle w:val="Heading3"/>
      </w:pPr>
      <w:r>
        <w:t xml:space="preserve">13.3 Intelex (Quality Management) —</w:t>
      </w:r>
      <w:r>
        <w:t xml:space="preserve"> </w:t>
      </w:r>
      <w:r>
        <w:rPr>
          <w:rStyle w:val="VerbatimChar"/>
        </w:rPr>
        <w:t xml:space="preserve">FUTURE</w:t>
      </w:r>
    </w:p>
    <w:bookmarkStart w:id="335"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35"/>
    <w:bookmarkEnd w:id="336"/>
    <w:bookmarkStart w:id="338" w:name="scada-process-dashboards-future"/>
    <w:p>
      <w:pPr>
        <w:pStyle w:val="Heading3"/>
      </w:pPr>
      <w:r>
        <w:t xml:space="preserve">13.4 SCADA / Process Dashboards —</w:t>
      </w:r>
      <w:r>
        <w:t xml:space="preserve"> </w:t>
      </w:r>
      <w:r>
        <w:rPr>
          <w:rStyle w:val="VerbatimChar"/>
        </w:rPr>
        <w:t xml:space="preserve">FUTURE</w:t>
      </w:r>
    </w:p>
    <w:bookmarkStart w:id="337"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37"/>
    <w:bookmarkEnd w:id="338"/>
    <w:bookmarkEnd w:id="339"/>
    <w:bookmarkStart w:id="346" w:name="data-migration-conditional"/>
    <w:p>
      <w:pPr>
        <w:pStyle w:val="Heading2"/>
      </w:pPr>
      <w:r>
        <w:t xml:space="preserve">14. Data Migration —</w:t>
      </w:r>
      <w:r>
        <w:t xml:space="preserve"> </w:t>
      </w:r>
      <w:r>
        <w:rPr>
          <w:rStyle w:val="VerbatimChar"/>
        </w:rPr>
        <w:t xml:space="preserve">CONDITIONAL</w:t>
      </w:r>
    </w:p>
    <w:bookmarkStart w:id="345"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40"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40"/>
    <w:bookmarkStart w:id="341"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41"/>
    <w:bookmarkStart w:id="342"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42"/>
    <w:bookmarkStart w:id="343"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43"/>
    <w:bookmarkStart w:id="344" w:name="fds-14-005-flexware-bom-import-mvp"/>
    <w:p>
      <w:pPr>
        <w:pStyle w:val="Heading4"/>
      </w:pPr>
      <w:r>
        <w:t xml:space="preserve">FDS-14-005 — Flexware BOM Import —</w:t>
      </w:r>
      <w:r>
        <w:t xml:space="preserve"> </w:t>
      </w:r>
      <w:r>
        <w:rPr>
          <w:rStyle w:val="VerbatimChar"/>
        </w:rPr>
        <w:t xml:space="preserve">MVP</w:t>
      </w:r>
    </w:p>
    <w:p>
      <w:pPr>
        <w:pStyle w:val="FirstParagraph"/>
      </w:pP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80"/>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80"/>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80"/>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80"/>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44"/>
    <w:bookmarkEnd w:id="345"/>
    <w:bookmarkEnd w:id="346"/>
    <w:bookmarkStart w:id="357" w:name="deployment-commissioning-mvp"/>
    <w:p>
      <w:pPr>
        <w:pStyle w:val="Heading2"/>
      </w:pPr>
      <w:r>
        <w:t xml:space="preserve">15. Deployment &amp; Commissioning —</w:t>
      </w:r>
      <w:r>
        <w:t xml:space="preserve"> </w:t>
      </w:r>
      <w:r>
        <w:rPr>
          <w:rStyle w:val="VerbatimChar"/>
        </w:rPr>
        <w:t xml:space="preserve">MVP</w:t>
      </w:r>
    </w:p>
    <w:bookmarkStart w:id="353" w:name="deployment-approach"/>
    <w:p>
      <w:pPr>
        <w:pStyle w:val="Heading3"/>
      </w:pPr>
      <w:r>
        <w:t xml:space="preserve">15.1 Deployment Approach</w:t>
      </w:r>
    </w:p>
    <w:bookmarkStart w:id="347"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47"/>
    <w:bookmarkStart w:id="348"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48"/>
    <w:bookmarkStart w:id="349"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49"/>
    <w:bookmarkStart w:id="350"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50"/>
    <w:bookmarkStart w:id="351"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51"/>
    <w:bookmarkStart w:id="352"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52"/>
    <w:bookmarkEnd w:id="353"/>
    <w:bookmarkStart w:id="356" w:name="change-management"/>
    <w:p>
      <w:pPr>
        <w:pStyle w:val="Heading3"/>
      </w:pPr>
      <w:r>
        <w:t xml:space="preserve">15.2 Change Management</w:t>
      </w:r>
    </w:p>
    <w:bookmarkStart w:id="354"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54"/>
    <w:bookmarkStart w:id="355"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55"/>
    <w:bookmarkEnd w:id="356"/>
    <w:bookmarkEnd w:id="357"/>
    <w:bookmarkStart w:id="361" w:name="identifier-sequences-mvp"/>
    <w:p>
      <w:pPr>
        <w:pStyle w:val="Heading2"/>
      </w:pPr>
      <w:r>
        <w:t xml:space="preserve">16. Identifier Sequences —</w:t>
      </w:r>
      <w:r>
        <w:t xml:space="preserve"> </w:t>
      </w:r>
      <w:r>
        <w:rPr>
          <w:rStyle w:val="VerbatimChar"/>
        </w:rPr>
        <w:t xml:space="preserve">MVP</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58"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58"/>
    <w:bookmarkStart w:id="359"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81"/>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81"/>
        </w:numPr>
      </w:pPr>
      <w:r>
        <w:t xml:space="preserve">Raise a business-rule error if no rows match (</w:t>
      </w:r>
      <w:r>
        <w:rPr>
          <w:rStyle w:val="VerbatimChar"/>
        </w:rPr>
        <w:t xml:space="preserve">@Code</w:t>
      </w:r>
      <w:r>
        <w:t xml:space="preserve"> </w:t>
      </w:r>
      <w:r>
        <w:t xml:space="preserve">unknown).</w:t>
      </w:r>
    </w:p>
    <w:p>
      <w:pPr>
        <w:pStyle w:val="Compact"/>
        <w:numPr>
          <w:ilvl w:val="0"/>
          <w:numId w:val="1081"/>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81"/>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81"/>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59"/>
    <w:bookmarkStart w:id="360" w:name="fds-16-003-cutover-day-seeding"/>
    <w:p>
      <w:pPr>
        <w:pStyle w:val="Heading4"/>
      </w:pPr>
      <w:r>
        <w:t xml:space="preserve">FDS-16-003 — Cutover-Day Seeding</w:t>
      </w:r>
    </w:p>
    <w:p>
      <w:pPr>
        <w:pStyle w:val="FirstParagraph"/>
      </w:pPr>
      <w:r>
        <w:t xml:space="preserve">The cutover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rStyle w:val="VerbatimChar"/>
          <w:b/>
          <w:bCs/>
        </w:rPr>
        <w:t xml:space="preserve">&lt;Flexware-current&gt; + 10,000</w:t>
      </w:r>
      <w:r>
        <w:t xml:space="preserve"> </w:t>
      </w:r>
      <w:r>
        <w:t xml:space="preserve">for each sequence (or an MPP-agreed delta captured before cutover). The +10,000 offset reserves a safety buffer that prevents LTT collisions during any partial-cutover window where the legacy Flexware MES and the replacement MES mint LOTs in parallel — even if the legacy system continues issuing identifiers for several days after the new MES goes live, the buffer guarantees no overlap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 With the +10,000 offset rule and no further drift, cutover-day seeds would be approximately</w:t>
      </w:r>
      <w:r>
        <w:t xml:space="preserve"> </w:t>
      </w:r>
      <w:r>
        <w:rPr>
          <w:rStyle w:val="VerbatimChar"/>
        </w:rPr>
        <w:t xml:space="preserve">Lot=1,720,932</w:t>
      </w:r>
      <w:r>
        <w:t xml:space="preserve"> </w:t>
      </w:r>
      <w:r>
        <w:t xml:space="preserve">and</w:t>
      </w:r>
      <w:r>
        <w:t xml:space="preserve"> </w:t>
      </w:r>
      <w:r>
        <w:rPr>
          <w:rStyle w:val="VerbatimChar"/>
        </w:rPr>
        <w:t xml:space="preserve">SerializedItem=12,492</w:t>
      </w:r>
      <w:r>
        <w:t xml:space="preserve">.</w:t>
      </w:r>
    </w:p>
    <w:p>
      <w:pPr>
        <w:pStyle w:val="BodyText"/>
      </w:pPr>
      <w:r>
        <w:rPr>
          <w:b/>
          <w:bCs/>
        </w:rPr>
        <w:t xml:space="preserve">Format carry-forward:</w:t>
      </w:r>
      <w:r>
        <w:t xml:space="preserve"> </w:t>
      </w:r>
      <w:r>
        <w:t xml:space="preserve">the existing</w:t>
      </w:r>
      <w:r>
        <w:t xml:space="preserve"> </w:t>
      </w:r>
      <w:r>
        <w:rPr>
          <w:rStyle w:val="VerbatimChar"/>
        </w:rPr>
        <w:t xml:space="preserve">MESL{0:D7}</w:t>
      </w:r>
      <w:r>
        <w:t xml:space="preserve"> </w:t>
      </w:r>
      <w:r>
        <w:t xml:space="preserve">(Lot) and</w:t>
      </w:r>
      <w:r>
        <w:t xml:space="preserve"> </w:t>
      </w:r>
      <w:r>
        <w:rPr>
          <w:rStyle w:val="VerbatimChar"/>
        </w:rPr>
        <w:t xml:space="preserve">MESI{0:D7}</w:t>
      </w:r>
      <w:r>
        <w:t xml:space="preserve"> </w:t>
      </w:r>
      <w:r>
        <w:t xml:space="preserve">(SerializedItem) prefixes are retained — no new prefix space minted in the replacement MES.</w:t>
      </w:r>
      <w:r>
        <w:t xml:space="preserve"> </w:t>
      </w:r>
      <w:r>
        <w:rPr>
          <w:b/>
          <w:bCs/>
        </w:rPr>
        <w:t xml:space="preserve">Reset policy:</w:t>
      </w:r>
      <w:r>
        <w:t xml:space="preserve"> </w:t>
      </w:r>
      <w:r>
        <w:t xml:space="preserve">none. No line-specific, shift-specific, or time-based counter resets.</w:t>
      </w:r>
      <w:r>
        <w:t xml:space="preserve"> </w:t>
      </w:r>
      <w:r>
        <w:rPr>
          <w:b/>
          <w:bCs/>
        </w:rPr>
        <w:t xml:space="preserve">Rollover horizon:</w:t>
      </w:r>
      <w:r>
        <w:t xml:space="preserve"> </w:t>
      </w:r>
      <w:r>
        <w:t xml:space="preserve">at MPP’s current burn rate,</w:t>
      </w:r>
      <w:r>
        <w:t xml:space="preserve"> </w:t>
      </w:r>
      <w:r>
        <w:rPr>
          <w:rStyle w:val="VerbatimChar"/>
        </w:rPr>
        <w:t xml:space="preserve">Lot</w:t>
      </w:r>
      <w:r>
        <w:t xml:space="preserve"> </w:t>
      </w:r>
      <w:r>
        <w:t xml:space="preserve">rolls over from</w:t>
      </w:r>
      <w:r>
        <w:t xml:space="preserve"> </w:t>
      </w:r>
      <w:r>
        <w:rPr>
          <w:rStyle w:val="VerbatimChar"/>
        </w:rPr>
        <w:t xml:space="preserve">9,999,999</w:t>
      </w:r>
      <w:r>
        <w:t xml:space="preserve"> </w:t>
      </w:r>
      <w:r>
        <w:t xml:space="preserve">in approximately 30+ years. No earlier warning mechanism is in MVP scope; this is a future concern.</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60"/>
    <w:bookmarkEnd w:id="361"/>
    <w:bookmarkStart w:id="370" w:name="appendices"/>
    <w:p>
      <w:pPr>
        <w:pStyle w:val="Heading2"/>
      </w:pPr>
      <w:r>
        <w:t xml:space="preserve">Appendices</w:t>
      </w:r>
    </w:p>
    <w:bookmarkStart w:id="362"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62"/>
    <w:bookmarkStart w:id="363"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63"/>
    <w:bookmarkStart w:id="364"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64"/>
    <w:bookmarkStart w:id="365"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65"/>
    <w:bookmarkStart w:id="366"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66"/>
    <w:bookmarkStart w:id="367"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67"/>
    <w:bookmarkStart w:id="368"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68"/>
    <w:bookmarkStart w:id="369"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69"/>
    <w:bookmarkEnd w:id="370"/>
    <w:bookmarkStart w:id="371" w:name="open-items-register"/>
    <w:p>
      <w:pPr>
        <w:pStyle w:val="Heading2"/>
      </w:pPr>
      <w:r>
        <w:t xml:space="preserve">Open Items Register</w:t>
      </w:r>
    </w:p>
    <w:p>
      <w:pPr>
        <w:pStyle w:val="FirstParagraph"/>
      </w:pPr>
      <w:r>
        <w:t xml:space="preserve">This register lists only items that are</w:t>
      </w:r>
      <w:r>
        <w:t xml:space="preserve"> </w:t>
      </w:r>
      <w:r>
        <w:rPr>
          <w:b/>
          <w:bCs/>
        </w:rPr>
        <w:t xml:space="preserve">unresolved</w:t>
      </w:r>
      <w:r>
        <w:t xml:space="preserve"> </w:t>
      </w:r>
      <w:r>
        <w:t xml:space="preserve">(Open or In Review) as of the FDS version date. Resolved and superseded items are not listed here — once a decision is made, the FDS body section absorbs it as design fact rather than tracking it as an open issue.</w:t>
      </w:r>
    </w:p>
    <w:p>
      <w:pPr>
        <w:pStyle w:val="BodyText"/>
      </w:pPr>
      <w:r>
        <w:t xml:space="preserve">The full historical record (resolution rationale, options considered, revised-decision text, closed items, supersession history) lives in</w:t>
      </w:r>
      <w:r>
        <w:t xml:space="preserve"> </w:t>
      </w:r>
      <w:r>
        <w:rPr>
          <w:rStyle w:val="VerbatimChar"/>
        </w:rPr>
        <w:t xml:space="preserve">MPP_MES_Open_Issues_Register.docx</w:t>
      </w:r>
      <w:r>
        <w:t xml:space="preserve"> </w:t>
      </w:r>
      <w:r>
        <w:t xml:space="preserve">— the canonical source.</w:t>
      </w:r>
    </w:p>
    <w:p>
      <w:pPr>
        <w:pStyle w:val="BodyText"/>
      </w:pPr>
      <w:r>
        <w:rPr>
          <w:b/>
          <w:bCs/>
        </w:rPr>
        <w:t xml:space="preserve">Status as of 2026-05-01:</w:t>
      </w:r>
      <w:r>
        <w:t xml:space="preserve"> </w:t>
      </w:r>
      <w:r>
        <w:t xml:space="preserve">6 unresolved items (0 In Review, 6 Open). Part A items (FDS open issues) numbered</w:t>
      </w:r>
      <w:r>
        <w:t xml:space="preserve"> </w:t>
      </w:r>
      <w:r>
        <w:rPr>
          <w:rStyle w:val="VerbatimChar"/>
        </w:rPr>
        <w:t xml:space="preserve">OI-XX</w:t>
      </w:r>
      <w:r>
        <w:t xml:space="preserve">; Part B items (user-journey open questions) numbered</w:t>
      </w:r>
      <w:r>
        <w:t xml:space="preserve"> </w:t>
      </w:r>
      <w:r>
        <w:rPr>
          <w:rStyle w:val="VerbatimChar"/>
        </w:rPr>
        <w:t xml:space="preserve">UJ-XX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FDS §</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Criticality</w:t>
            </w:r>
          </w:p>
        </w:tc>
        <w:tc>
          <w:tcPr>
            <w:shd w:val="clear" w:color="auto" w:fill="1F4E79"/>
          </w:tcPr>
          <w:tcPr/>
          <w:p>
            <w:pPr>
              <w:pStyle w:val="Compact"/>
            </w:pPr>
            <w:r>
              <w:rPr>
                <w:b/>
                <w:color w:val="FFFFFF"/>
              </w:rPr>
              <w:t xml:space="preserve">Owner</w:t>
            </w:r>
          </w:p>
        </w:tc>
      </w:tr>
      <w:tr>
        <w:tc>
          <w:tcPr/>
          <w:p>
            <w:pPr>
              <w:pStyle w:val="Compact"/>
            </w:pPr>
            <w:r>
              <w:rPr>
                <w:b/>
                <w:bCs/>
              </w:rPr>
              <w:t xml:space="preserve">OI-33</w:t>
            </w:r>
          </w:p>
        </w:tc>
        <w:tc>
          <w:tcPr/>
          <w:p>
            <w:pPr>
              <w:pStyle w:val="Compact"/>
            </w:pPr>
            <w:r>
              <w:t xml:space="preserve">7.4 (FDS-07-010a)</w:t>
            </w:r>
          </w:p>
        </w:tc>
        <w:tc>
          <w:tcPr/>
          <w:p>
            <w:pPr>
              <w:pStyle w:val="Compact"/>
            </w:pPr>
            <w:r>
              <w:t xml:space="preserve">AIM Shipper ID pool empty-pool</w:t>
            </w:r>
            <w:r>
              <w:t xml:space="preserve"> </w:t>
            </w:r>
            <w:r>
              <w:rPr>
                <w:b/>
                <w:bCs/>
              </w:rPr>
              <w:t xml:space="preserve">hard-fail</w:t>
            </w:r>
            <w:r>
              <w:t xml:space="preserve"> </w:t>
            </w:r>
            <w:r>
              <w:t xml:space="preserve">behavior — when the local pool is exhausted,</w:t>
            </w:r>
            <w:r>
              <w:t xml:space="preserve"> </w:t>
            </w:r>
            <w:r>
              <w:rPr>
                <w:rStyle w:val="VerbatimChar"/>
              </w:rPr>
              <w:t xml:space="preserve">Container_Complete</w:t>
            </w:r>
            <w:r>
              <w:t xml:space="preserve"> </w:t>
            </w:r>
            <w:r>
              <w:t xml:space="preserve">rolls back and production stops on affected lines until the pool refills (no soft-fallback, no placeholder-then-reconcile). Customer validation: confirm hard-fail is the desired operational posture given trucks cannot ship without valid Honda-issued AIM IDs.</w:t>
            </w:r>
          </w:p>
        </w:tc>
        <w:tc>
          <w:tcPr/>
          <w:p>
            <w:pPr>
              <w:pStyle w:val="Compact"/>
            </w:pPr>
            <w:r>
              <w:rPr>
                <w:b/>
                <w:bCs/>
              </w:rPr>
              <w:t xml:space="preserve">HIGH</w:t>
            </w:r>
          </w:p>
        </w:tc>
        <w:tc>
          <w:tcPr/>
          <w:p>
            <w:pPr>
              <w:pStyle w:val="Compact"/>
            </w:pPr>
            <w:r>
              <w:t xml:space="preserve">MPP Operations / IT</w:t>
            </w:r>
          </w:p>
        </w:tc>
      </w:tr>
      <w:tr>
        <w:tc>
          <w:tcPr>
            <w:shd w:val="clear" w:color="auto" w:fill="F2F2F2"/>
          </w:tcPr>
          <w:tcPr/>
          <w:p>
            <w:pPr>
              <w:pStyle w:val="Compact"/>
            </w:pPr>
            <w:r>
              <w:rPr>
                <w:b/>
                <w:bCs/>
              </w:rPr>
              <w:t xml:space="preserve">OI-35</w:t>
            </w:r>
          </w:p>
        </w:tc>
        <w:tc>
          <w:tcPr>
            <w:shd w:val="clear" w:color="auto" w:fill="F2F2F2"/>
          </w:tcPr>
          <w:tcPr/>
          <w:p>
            <w:pPr>
              <w:pStyle w:val="Compact"/>
            </w:pPr>
            <w:r>
              <w:t xml:space="preserve">11 (Audit retention); cross-cutting §5/§6/§9</w:t>
            </w:r>
          </w:p>
        </w:tc>
        <w:tc>
          <w:tcPr>
            <w:shd w:val="clear" w:color="auto" w:fill="F2F2F2"/>
          </w:tcPr>
          <w:tcPr/>
          <w:p>
            <w:pPr>
              <w:pStyle w:val="Compact"/>
            </w:pPr>
            <w:r>
              <w:rPr>
                <w:b/>
                <w:bCs/>
              </w:rPr>
              <w:t xml:space="preserve">HARD GATE — must decide before Arc 2 Phase 1 SQL build.</w:t>
            </w:r>
            <w:r>
              <w:t xml:space="preserve"> </w:t>
            </w:r>
            <w:r>
              <w:t xml:space="preserve">Long-horizon scaling, retention, and archiving strategy across the deferred Arc 2 event tables. Eight architectural decisions (per-table retention class, monthly partitioning, columnstore on aged partitions, materialized closure table for</w:t>
            </w:r>
            <w:r>
              <w:t xml:space="preserve"> </w:t>
            </w:r>
            <w:r>
              <w:rPr>
                <w:rStyle w:val="VerbatimChar"/>
              </w:rPr>
              <w:t xml:space="preserve">Lots.LotGenealogy</w:t>
            </w:r>
            <w:r>
              <w:t xml:space="preserve">, materialized</w:t>
            </w:r>
            <w:r>
              <w:t xml:space="preserve"> </w:t>
            </w:r>
            <w:r>
              <w:rPr>
                <w:rStyle w:val="VerbatimChar"/>
              </w:rPr>
              <w:t xml:space="preserve">TotalInProcess</w:t>
            </w:r>
            <w:r>
              <w:t xml:space="preserve"> </w:t>
            </w:r>
            <w:r>
              <w:t xml:space="preserve">/</w:t>
            </w:r>
            <w:r>
              <w:t xml:space="preserve"> </w:t>
            </w:r>
            <w:r>
              <w:rPr>
                <w:rStyle w:val="VerbatimChar"/>
              </w:rPr>
              <w:t xml:space="preserve">InventoryAvailable</w:t>
            </w:r>
            <w:r>
              <w:t xml:space="preserve"> </w:t>
            </w:r>
            <w:r>
              <w:t xml:space="preserve">columns on</w:t>
            </w:r>
            <w:r>
              <w:t xml:space="preserve"> </w:t>
            </w:r>
            <w:r>
              <w:rPr>
                <w:rStyle w:val="VerbatimChar"/>
              </w:rPr>
              <w:t xml:space="preserve">Lots.Lot</w:t>
            </w:r>
            <w:r>
              <w:t xml:space="preserve">,</w:t>
            </w:r>
            <w:r>
              <w:t xml:space="preserve"> </w:t>
            </w:r>
            <w:r>
              <w:rPr>
                <w:rStyle w:val="VerbatimChar"/>
              </w:rPr>
              <w:t xml:space="preserve">IdentifierSequence_Next</w:t>
            </w:r>
            <w:r>
              <w:t xml:space="preserve"> </w:t>
            </w:r>
            <w:r>
              <w:t xml:space="preserve">locking model,</w:t>
            </w:r>
            <w:r>
              <w:t xml:space="preserve"> </w:t>
            </w:r>
            <w:r>
              <w:rPr>
                <w:rStyle w:val="VerbatimChar"/>
              </w:rPr>
              <w:t xml:space="preserve">Audit.OperationLog</w:t>
            </w:r>
            <w:r>
              <w:t xml:space="preserve"> </w:t>
            </w:r>
            <w:r>
              <w:t xml:space="preserve">split for traceability subset, filtered indexes). Items 2/4/5/7 must be in the CREATE migration.</w:t>
            </w:r>
          </w:p>
        </w:tc>
        <w:tc>
          <w:tcPr>
            <w:shd w:val="clear" w:color="auto" w:fill="F2F2F2"/>
          </w:tcPr>
          <w:tcPr/>
          <w:p>
            <w:pPr>
              <w:pStyle w:val="Compact"/>
            </w:pPr>
            <w:r>
              <w:rPr>
                <w:b/>
                <w:bCs/>
              </w:rPr>
              <w:t xml:space="preserve">HIGH</w:t>
            </w:r>
          </w:p>
        </w:tc>
        <w:tc>
          <w:tcPr>
            <w:shd w:val="clear" w:color="auto" w:fill="F2F2F2"/>
          </w:tcPr>
          <w:tcPr/>
          <w:p>
            <w:pPr>
              <w:pStyle w:val="Compact"/>
            </w:pPr>
            <w:r>
              <w:t xml:space="preserve">Blue Ridge architecture + MPP IT</w:t>
            </w:r>
          </w:p>
        </w:tc>
      </w:tr>
      <w:tr>
        <w:tc>
          <w:tcPr/>
          <w:p>
            <w:pPr>
              <w:pStyle w:val="Compact"/>
            </w:pPr>
            <w:r>
              <w:rPr>
                <w:b/>
                <w:bCs/>
              </w:rPr>
              <w:t xml:space="preserve">UJ-19</w:t>
            </w:r>
          </w:p>
        </w:tc>
        <w:tc>
          <w:tcPr/>
          <w:p>
            <w:pPr>
              <w:pStyle w:val="Compact"/>
            </w:pPr>
            <w:r>
              <w:t xml:space="preserve">12</w:t>
            </w:r>
          </w:p>
        </w:tc>
        <w:tc>
          <w:tcPr/>
          <w:p>
            <w:pPr>
              <w:pStyle w:val="Compact"/>
            </w:pPr>
            <w:r>
              <w:t xml:space="preserve">Productivity DB replacement — MPP to name the four PD reports + their data sources. The four reports are MVP scope (delivered as MES reports); reports beyond the four are post-deployment change order per OI-30 closure. Couples to UJ-11.</w:t>
            </w:r>
          </w:p>
        </w:tc>
        <w:tc>
          <w:tcPr/>
          <w:p>
            <w:pPr>
              <w:pStyle w:val="Compact"/>
            </w:pPr>
            <w:r>
              <w:rPr>
                <w:b/>
                <w:bCs/>
              </w:rPr>
              <w:t xml:space="preserve">HIGH</w:t>
            </w:r>
          </w:p>
        </w:tc>
        <w:tc>
          <w:tcPr/>
          <w:p>
            <w:pPr>
              <w:pStyle w:val="Compact"/>
            </w:pPr>
            <w:r>
              <w:t xml:space="preserve">MPP Production Control / Ben</w:t>
            </w:r>
          </w:p>
        </w:tc>
      </w:tr>
      <w:tr>
        <w:tc>
          <w:tcPr>
            <w:shd w:val="clear" w:color="auto" w:fill="F2F2F2"/>
          </w:tcPr>
          <w:tcPr/>
          <w:p>
            <w:pPr>
              <w:pStyle w:val="Compact"/>
            </w:pPr>
            <w:r>
              <w:rPr>
                <w:b/>
                <w:bCs/>
              </w:rPr>
              <w:t xml:space="preserve">OI-34</w:t>
            </w:r>
          </w:p>
        </w:tc>
        <w:tc>
          <w:tcPr>
            <w:shd w:val="clear" w:color="auto" w:fill="F2F2F2"/>
          </w:tcPr>
          <w:tcPr/>
          <w:p>
            <w:pPr>
              <w:pStyle w:val="Compact"/>
            </w:pPr>
            <w:r>
              <w:t xml:space="preserve">9.4 (FDS-09-008 / FDS-09-012)</w:t>
            </w:r>
          </w:p>
        </w:tc>
        <w:tc>
          <w:tcPr>
            <w:shd w:val="clear" w:color="auto" w:fill="F2F2F2"/>
          </w:tcPr>
          <w:tcPr/>
          <w:p>
            <w:pPr>
              <w:pStyle w:val="Compact"/>
            </w:pPr>
            <w:r>
              <w:t xml:space="preserve">MPP-authored production schedules — how should the MES leverage them beyond shift-window timing? Current design imports them for shift-instance creation and event-derived availability math. Whether MPP wants additional uses (target quotas per shift, line-scheduling drift detection, throughput planning, etc.) is unanswered:</w:t>
            </w:r>
            <w:r>
              <w:t xml:space="preserve"> </w:t>
            </w:r>
            <w:r>
              <w:rPr>
                <w:i/>
                <w:iCs/>
              </w:rPr>
              <w:t xml:space="preserve">“How would MPP like to leverage the provided production schedules in the MES?”</w:t>
            </w:r>
          </w:p>
        </w:tc>
        <w:tc>
          <w:tcPr>
            <w:shd w:val="clear" w:color="auto" w:fill="F2F2F2"/>
          </w:tcPr>
          <w:tcPr/>
          <w:p>
            <w:pPr>
              <w:pStyle w:val="Compact"/>
            </w:pPr>
            <w:r>
              <w:t xml:space="preserve">MEDIUM</w:t>
            </w:r>
          </w:p>
        </w:tc>
        <w:tc>
          <w:tcPr>
            <w:shd w:val="clear" w:color="auto" w:fill="F2F2F2"/>
          </w:tcPr>
          <w:tcPr/>
          <w:p>
            <w:pPr>
              <w:pStyle w:val="Compact"/>
            </w:pPr>
            <w:r>
              <w:t xml:space="preserve">MPP Production Control</w:t>
            </w:r>
          </w:p>
        </w:tc>
      </w:tr>
      <w:tr>
        <w:tc>
          <w:tcPr/>
          <w:p>
            <w:pPr>
              <w:pStyle w:val="Compact"/>
            </w:pPr>
            <w:r>
              <w:rPr>
                <w:b/>
                <w:bCs/>
              </w:rPr>
              <w:t xml:space="preserve">OI-32</w:t>
            </w:r>
          </w:p>
        </w:tc>
        <w:tc>
          <w:tcPr/>
          <w:p>
            <w:pPr>
              <w:pStyle w:val="Compact"/>
            </w:pPr>
            <w:r>
              <w:t xml:space="preserve">5.11 / 6.6a (proposed)</w:t>
            </w:r>
          </w:p>
        </w:tc>
        <w:tc>
          <w:tcPr/>
          <w:p>
            <w:pPr>
              <w:pStyle w:val="Compact"/>
            </w:pPr>
            <w:r>
              <w:t xml:space="preserve">Material Allocation operator screen — Jacques challenged the premise; clarification queued for</w:t>
            </w:r>
            <w:r>
              <w:t xml:space="preserve"> </w:t>
            </w:r>
            <w:r>
              <w:t xml:space="preserve">“close as not-reproduced”</w:t>
            </w:r>
            <w:r>
              <w:t xml:space="preserve"> </w:t>
            </w:r>
            <w:r>
              <w:t xml:space="preserve">(lineside check-in IS the allocation per our LocationTypeDefinition + ConsumptionEvent model). Awaits Ben’s explicit confirmation of the not-reproduced framing before final closure.</w:t>
            </w:r>
          </w:p>
        </w:tc>
        <w:tc>
          <w:tcPr/>
          <w:p>
            <w:pPr>
              <w:pStyle w:val="Compact"/>
            </w:pPr>
            <w:r>
              <w:t xml:space="preserve">MEDIUM</w:t>
            </w:r>
          </w:p>
        </w:tc>
        <w:tc>
          <w:tcPr/>
          <w:p>
            <w:pPr>
              <w:pStyle w:val="Compact"/>
            </w:pPr>
            <w:r>
              <w:t xml:space="preserve">Blue Ridge / Ben</w:t>
            </w:r>
          </w:p>
        </w:tc>
      </w:tr>
      <w:tr>
        <w:tc>
          <w:tcPr>
            <w:shd w:val="clear" w:color="auto" w:fill="F2F2F2"/>
          </w:tcPr>
          <w:tcPr/>
          <w:p>
            <w:pPr>
              <w:pStyle w:val="Compact"/>
            </w:pPr>
            <w:r>
              <w:rPr>
                <w:b/>
                <w:bCs/>
              </w:rPr>
              <w:t xml:space="preserve">UJ-05</w:t>
            </w:r>
          </w:p>
        </w:tc>
        <w:tc>
          <w:tcPr>
            <w:shd w:val="clear" w:color="auto" w:fill="F2F2F2"/>
          </w:tcPr>
          <w:tcPr/>
          <w:p>
            <w:pPr>
              <w:pStyle w:val="Compact"/>
            </w:pPr>
            <w:r>
              <w:t xml:space="preserve">7.7</w:t>
            </w:r>
          </w:p>
        </w:tc>
        <w:tc>
          <w:tcPr>
            <w:shd w:val="clear" w:color="auto" w:fill="F2F2F2"/>
          </w:tcPr>
          <w:tcPr/>
          <w:p>
            <w:pPr>
              <w:pStyle w:val="Compact"/>
            </w:pPr>
            <w:r>
              <w:t xml:space="preserve">Sort Cage serial migration — recommended update-in-place +</w:t>
            </w:r>
            <w:r>
              <w:t xml:space="preserve"> </w:t>
            </w:r>
            <w:r>
              <w:rPr>
                <w:rStyle w:val="VerbatimChar"/>
              </w:rPr>
              <w:t xml:space="preserve">Lots.ContainerSerialHistory</w:t>
            </w:r>
            <w:r>
              <w:t xml:space="preserve">; awaits MPP Quality + Honda compliance affirmation. Highest traceability-loss-risk decision in the system.</w:t>
            </w:r>
          </w:p>
        </w:tc>
        <w:tc>
          <w:tcPr>
            <w:shd w:val="clear" w:color="auto" w:fill="F2F2F2"/>
          </w:tcPr>
          <w:tcPr/>
          <w:p>
            <w:pPr>
              <w:pStyle w:val="Compact"/>
            </w:pPr>
            <w:r>
              <w:t xml:space="preserve">MEDIUM</w:t>
            </w:r>
          </w:p>
        </w:tc>
        <w:tc>
          <w:tcPr>
            <w:shd w:val="clear" w:color="auto" w:fill="F2F2F2"/>
          </w:tcPr>
          <w:tcPr/>
          <w:p>
            <w:pPr>
              <w:pStyle w:val="Compact"/>
            </w:pPr>
            <w:r>
              <w:t xml:space="preserve">MPP Quality / Honda</w:t>
            </w:r>
          </w:p>
        </w:tc>
      </w:tr>
    </w:tbl>
    <w:bookmarkEnd w:id="371"/>
    <w:bookmarkEnd w:id="3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2026-05-04T12:53:29Z</dcterms:created>
  <dcterms:modified xsi:type="dcterms:W3CDTF">2026-05-04T12:53:29Z</dcterms:modified>
</cp:coreProperties>
</file>

<file path=docProps/custom.xml><?xml version="1.0" encoding="utf-8"?>
<Properties xmlns="http://schemas.openxmlformats.org/officeDocument/2006/custom-properties" xmlns:vt="http://schemas.openxmlformats.org/officeDocument/2006/docPropsVTypes"/>
</file>