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2026-06-08q -</w:t>
      </w:r>
      <w:r>
        <w:t xml:space="preserve"> </w:t>
      </w:r>
      <w:r>
        <w:rPr>
          <w:b/>
          <w:bCs/>
        </w:rPr>
        <w:t xml:space="preserve">section 3</w:t>
      </w:r>
      <w:r>
        <w:rPr>
          <w:b/>
          <w:bCs/>
        </w:rPr>
        <w:t xml:space="preserve"> </w:t>
      </w:r>
      <w:r>
        <w:rPr>
          <w:rStyle w:val="VerbatimChar"/>
          <w:b/>
          <w:bCs/>
        </w:rPr>
        <w:t xml:space="preserve">Lot.CrtActive BIT</w:t>
      </w:r>
      <w:r>
        <w:t xml:space="preserve"> </w:t>
      </w:r>
      <w:r>
        <w:t xml:space="preserve">added (FDS-10-012 Controlled Run Tag hook, MVP-ratified 2026-06-08); rev 2026-06-08p - Location</w:t>
      </w:r>
      <w:r>
        <w:t xml:space="preserve"> </w:t>
      </w:r>
      <w:r>
        <w:rPr>
          <w:rStyle w:val="VerbatimChar"/>
        </w:rPr>
        <w:t xml:space="preserve">CoupledDownstreamCellLocationId</w:t>
      </w:r>
      <w:r>
        <w:t xml:space="preserve"> </w:t>
      </w:r>
      <w:r>
        <w:t xml:space="preserve">typed-FK promotion +</w:t>
      </w:r>
      <w:r>
        <w:t xml:space="preserve"> </w:t>
      </w:r>
      <w:r>
        <w:rPr>
          <w:rStyle w:val="VerbatimChar"/>
        </w:rPr>
        <w:t xml:space="preserve">QualityResult.NumericValue</w:t>
      </w:r>
      <w:r>
        <w:t xml:space="preserve">; rev 2026-06-05o —</w:t>
      </w:r>
      <w:r>
        <w:t xml:space="preserve"> </w:t>
      </w:r>
      <w:r>
        <w:rPr>
          <w:b/>
          <w:bCs/>
        </w:rPr>
        <w:t xml:space="preserve">§7</w:t>
      </w:r>
      <w:r>
        <w:rPr>
          <w:b/>
          <w:bCs/>
        </w:rPr>
        <w:t xml:space="preserve"> </w:t>
      </w:r>
      <w:r>
        <w:rPr>
          <w:rStyle w:val="VerbatimChar"/>
          <w:b/>
          <w:bCs/>
        </w:rPr>
        <w:t xml:space="preserve">Tools.ToolType.CompatibleLocationTypeDefinitionId</w:t>
      </w:r>
      <w:r>
        <w:t xml:space="preserve"> </w:t>
      </w:r>
      <w:r>
        <w:t xml:space="preserve">added (migration</w:t>
      </w:r>
      <w:r>
        <w:t xml:space="preserve"> </w:t>
      </w:r>
      <w:r>
        <w:rPr>
          <w:rStyle w:val="VerbatimChar"/>
        </w:rPr>
        <w:t xml:space="preserve">0018</w:t>
      </w:r>
      <w:r>
        <w:t xml:space="preserve">) for the Mount-to-Cell tool-type→cell-kind dropdown filter;</w:t>
      </w:r>
      <w:r>
        <w:t xml:space="preserve"> </w:t>
      </w:r>
      <w:r>
        <w:rPr>
          <w:rStyle w:val="VerbatimChar"/>
        </w:rPr>
        <w:t xml:space="preserve">Die → DieCastMachine</w:t>
      </w:r>
      <w:r>
        <w:t xml:space="preserve"> </w:t>
      </w:r>
      <w:r>
        <w:t xml:space="preserve">seeded. Earlier: rev 2026-06-04n — sub-LOT split relocated from Trim OUT to</w:t>
      </w:r>
      <w:r>
        <w:t xml:space="preserve"> </w:t>
      </w:r>
      <w:r>
        <w:rPr>
          <w:b/>
          <w:bCs/>
        </w:rPr>
        <w:t xml:space="preserve">Machining OUT</w:t>
      </w:r>
      <w:r>
        <w:t xml:space="preserve"> </w:t>
      </w:r>
      <w:r>
        <w:t xml:space="preserve">per FDS v1.3 / Phased Plan v1.1;</w:t>
      </w:r>
      <w:r>
        <w:t xml:space="preserve"> </w:t>
      </w:r>
      <w:r>
        <w:rPr>
          <w:rStyle w:val="VerbatimChar"/>
        </w:rPr>
        <w:t xml:space="preserve">Parts.OperationTemplate.RequiresSubLotSplit</w:t>
      </w:r>
      <w:r>
        <w:t xml:space="preserve"> </w:t>
      </w:r>
      <w:r>
        <w:t xml:space="preserve">now controls the Machining OUT outbound flow (FDS-05-009), and the ALTER lands in Phase 5 migration</w:t>
      </w:r>
      <w:r>
        <w:t xml:space="preserve"> </w:t>
      </w:r>
      <w:r>
        <w:rPr>
          <w:rStyle w:val="VerbatimChar"/>
        </w:rPr>
        <w:t xml:space="preserve">0018</w:t>
      </w:r>
      <w:r>
        <w:t xml:space="preserve"> </w:t>
      </w:r>
      <w:r>
        <w:t xml:space="preserve">rather than Phase 4</w:t>
      </w:r>
      <w:r>
        <w:t xml:space="preserve"> </w:t>
      </w:r>
      <w:r>
        <w:rPr>
          <w:rStyle w:val="VerbatimChar"/>
        </w:rPr>
        <w:t xml:space="preserve">0017</w:t>
      </w:r>
      <w:r>
        <w:t xml:space="preserve">. v1.9m (2026-04-29) had added the column under the prior Trim-OUT design.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1.9q</w:t>
            </w:r>
          </w:p>
        </w:tc>
        <w:tc>
          <w:tcPr/>
          <w:p>
            <w:pPr>
              <w:pStyle w:val="Compact"/>
            </w:pPr>
            <w:r>
              <w:t xml:space="preserve">2026-06-08</w:t>
            </w:r>
          </w:p>
        </w:tc>
        <w:tc>
          <w:tcPr/>
          <w:p>
            <w:pPr>
              <w:pStyle w:val="Compact"/>
            </w:pPr>
            <w:r>
              <w:t xml:space="preserve">Blue Ridge Automation</w:t>
            </w:r>
          </w:p>
        </w:tc>
        <w:tc>
          <w:tcPr/>
          <w:p>
            <w:pPr>
              <w:pStyle w:val="Compact"/>
            </w:pPr>
            <w:r>
              <w:rPr>
                <w:b/>
                <w:bCs/>
              </w:rPr>
              <w:t xml:space="preserve">section 3 Lot -</w:t>
            </w:r>
            <w:r>
              <w:rPr>
                <w:b/>
                <w:bCs/>
              </w:rPr>
              <w:t xml:space="preserve"> </w:t>
            </w:r>
            <w:r>
              <w:rPr>
                <w:rStyle w:val="VerbatimChar"/>
                <w:b/>
                <w:bCs/>
              </w:rPr>
              <w:t xml:space="preserve">CrtActive BIT NOT NULL DEFAULT 0</w:t>
            </w:r>
            <w:r>
              <w:rPr>
                <w:b/>
                <w:bCs/>
              </w:rPr>
              <w:t xml:space="preserve"> </w:t>
            </w:r>
            <w:r>
              <w:rPr>
                <w:b/>
                <w:bCs/>
              </w:rPr>
              <w:t xml:space="preserve">added (FDS-10-012 Controlled Run Tag).</w:t>
            </w:r>
            <w:r>
              <w:t xml:space="preserve"> </w:t>
            </w:r>
            <w:r>
              <w:t xml:space="preserve">CRT workflow ratified for MVP 2026-06-08: a CRT-active LOT forces 200% downstream inspection (via</w:t>
            </w:r>
            <w:r>
              <w:t xml:space="preserve"> </w:t>
            </w:r>
            <w:r>
              <w:rPr>
                <w:rStyle w:val="VerbatimChar"/>
              </w:rPr>
              <w:t xml:space="preserve">Quality.QualitySample</w:t>
            </w:r>
            <w:r>
              <w:t xml:space="preserve">) with a supervisor-elevated release path and a</w:t>
            </w:r>
            <w:r>
              <w:t xml:space="preserve"> </w:t>
            </w:r>
            <w:r>
              <w:rPr>
                <w:rStyle w:val="VerbatimChar"/>
              </w:rPr>
              <w:t xml:space="preserve">MissedCrtInspect</w:t>
            </w:r>
            <w:r>
              <w:t xml:space="preserve"> </w:t>
            </w:r>
            <w:r>
              <w:t xml:space="preserve">re-run rule. The column lands in the Arc 2 Phase 1</w:t>
            </w:r>
            <w:r>
              <w:t xml:space="preserve"> </w:t>
            </w:r>
            <w:r>
              <w:rPr>
                <w:rStyle w:val="VerbatimChar"/>
              </w:rPr>
              <w:t xml:space="preserve">Lots.Lot</w:t>
            </w:r>
            <w:r>
              <w:t xml:space="preserve"> </w:t>
            </w:r>
            <w:r>
              <w:t xml:space="preserve">CREATE; the workflow procs + audit event types build in the Arc 2 Quality phase. No other shipped table affected.</w:t>
            </w:r>
          </w:p>
        </w:tc>
      </w:tr>
      <w:tr>
        <w:tc>
          <w:tcPr>
            <w:shd w:val="clear" w:color="auto" w:fill="F2F2F2"/>
          </w:tcPr>
          <w:tcPr/>
          <w:p>
            <w:pPr>
              <w:pStyle w:val="Compact"/>
            </w:pPr>
            <w:r>
              <w:t xml:space="preserve">1.9p</w:t>
            </w:r>
          </w:p>
        </w:tc>
        <w:tc>
          <w:tcPr>
            <w:shd w:val="clear" w:color="auto" w:fill="F2F2F2"/>
          </w:tcPr>
          <w:tcPr/>
          <w:p>
            <w:pPr>
              <w:pStyle w:val="Compact"/>
            </w:pPr>
            <w:r>
              <w:t xml:space="preserve">2026-06-08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EAV-at-scale review follow-up — two structural changes + scaling-plan fold-in.</w:t>
            </w:r>
            <w:r>
              <w:t xml:space="preserve"> </w:t>
            </w:r>
            <w:r>
              <w:t xml:space="preserve">(1)</w:t>
            </w:r>
            <w:r>
              <w:t xml:space="preserve"> </w:t>
            </w:r>
            <w:r>
              <w:rPr>
                <w:b/>
                <w:bCs/>
              </w:rPr>
              <w:t xml:space="preserve">§1 Location —</w:t>
            </w:r>
            <w:r>
              <w:rPr>
                <w:b/>
                <w:bCs/>
              </w:rPr>
              <w:t xml:space="preserve"> </w:t>
            </w:r>
            <w:r>
              <w:rPr>
                <w:rStyle w:val="VerbatimChar"/>
                <w:b/>
                <w:bCs/>
              </w:rPr>
              <w:t xml:space="preserve">CoupledDownstreamCellLocationId</w:t>
            </w:r>
            <w:r>
              <w:rPr>
                <w:b/>
                <w:bCs/>
              </w:rPr>
              <w:t xml:space="preserve"> </w:t>
            </w:r>
            <w:r>
              <w:rPr>
                <w:b/>
                <w:bCs/>
              </w:rPr>
              <w:t xml:space="preserve">promoted from a</w:t>
            </w:r>
            <w:r>
              <w:rPr>
                <w:b/>
                <w:bCs/>
              </w:rPr>
              <w:t xml:space="preserve"> </w:t>
            </w:r>
            <w:r>
              <w:rPr>
                <w:rStyle w:val="VerbatimChar"/>
                <w:b/>
                <w:bCs/>
              </w:rPr>
              <w:t xml:space="preserve">CNCMachine</w:t>
            </w:r>
            <w:r>
              <w:rPr>
                <w:b/>
                <w:bCs/>
              </w:rPr>
              <w:t xml:space="preserve"> </w:t>
            </w:r>
            <w:r>
              <w:rPr>
                <w:b/>
                <w:bCs/>
              </w:rPr>
              <w:t xml:space="preserve">LocationAttribute (EAV, NVARCHAR(255)) to a typed self-FK column</w:t>
            </w:r>
            <w:r>
              <w:rPr>
                <w:b/>
                <w:bCs/>
              </w:rPr>
              <w:t xml:space="preserve"> </w:t>
            </w:r>
            <w:r>
              <w:rPr>
                <w:rStyle w:val="VerbatimChar"/>
                <w:b/>
                <w:bCs/>
              </w:rPr>
              <w:t xml:space="preserve">BIGINT NULL FK → Location.Location.Id</w:t>
            </w:r>
            <w:r>
              <w:t xml:space="preserve"> </w:t>
            </w:r>
            <w:r>
              <w:t xml:space="preserve">(migration</w:t>
            </w:r>
            <w:r>
              <w:t xml:space="preserve"> </w:t>
            </w:r>
            <w:r>
              <w:rPr>
                <w:rStyle w:val="VerbatimChar"/>
              </w:rPr>
              <w:t xml:space="preserve">0019_location_coupled_downstream_cell</w:t>
            </w:r>
            <w:r>
              <w:t xml:space="preserve">). It is a</w:t>
            </w:r>
            <w:r>
              <w:t xml:space="preserve"> </w:t>
            </w:r>
            <w:r>
              <w:rPr>
                <w:rStyle w:val="VerbatimChar"/>
              </w:rPr>
              <w:t xml:space="preserve">Location → Location</w:t>
            </w:r>
            <w:r>
              <w:t xml:space="preserve"> </w:t>
            </w:r>
            <w:r>
              <w:t xml:space="preserve">relationship read on the hot path of every coupled Machining-OUT completion (FDS-06-008) — EAV gave it no referential integrity and forced a string→Id pivot per event. It was spec’d in v1.9k but</w:t>
            </w:r>
            <w:r>
              <w:t xml:space="preserve"> </w:t>
            </w:r>
            <w:r>
              <w:rPr>
                <w:b/>
                <w:bCs/>
              </w:rPr>
              <w:t xml:space="preserve">never seeded</w:t>
            </w:r>
            <w:r>
              <w:t xml:space="preserve">, so this is pure-forward (no value backfill, no</w:t>
            </w:r>
            <w:r>
              <w:t xml:space="preserve"> </w:t>
            </w:r>
            <w:r>
              <w:rPr>
                <w:rStyle w:val="VerbatimChar"/>
              </w:rPr>
              <w:t xml:space="preserve">0002</w:t>
            </w:r>
            <w:r>
              <w:t xml:space="preserve"> </w:t>
            </w:r>
            <w:r>
              <w:t xml:space="preserve">seed to remove). The self-FK enforces integrity; the</w:t>
            </w:r>
            <w:r>
              <w:t xml:space="preserve"> </w:t>
            </w:r>
            <w:r>
              <w:t xml:space="preserve">“target must be a Cell-tier Assembly Location”</w:t>
            </w:r>
            <w:r>
              <w:t xml:space="preserve"> </w:t>
            </w:r>
            <w:r>
              <w:t xml:space="preserve">rule stays in the Arc 2 write proc (mirrors</w:t>
            </w:r>
            <w:r>
              <w:t xml:space="preserve"> </w:t>
            </w:r>
            <w:r>
              <w:rPr>
                <w:rStyle w:val="VerbatimChar"/>
              </w:rPr>
              <w:t xml:space="preserve">Tools.ToolType.CompatibleLocationTypeDefinitionId</w:t>
            </w:r>
            <w:r>
              <w:t xml:space="preserve">, migration</w:t>
            </w:r>
            <w:r>
              <w:t xml:space="preserve"> </w:t>
            </w:r>
            <w:r>
              <w:rPr>
                <w:rStyle w:val="VerbatimChar"/>
              </w:rPr>
              <w:t xml:space="preserve">0018</w:t>
            </w:r>
            <w:r>
              <w:t xml:space="preserve">). The CNCMachine attribute-example block is removed; FDS-06-008 already referenced it as a location property, so no FDS change. Surfacing it in</w:t>
            </w:r>
            <w:r>
              <w:t xml:space="preserve"> </w:t>
            </w:r>
            <w:r>
              <w:rPr>
                <w:rStyle w:val="VerbatimChar"/>
              </w:rPr>
              <w:t xml:space="preserve">Location_Get</w:t>
            </w:r>
            <w:r>
              <w:t xml:space="preserve"> </w:t>
            </w:r>
            <w:r>
              <w:t xml:space="preserve">+ a Config Tool Cell-picker is Arc 2 wiring — the column + constraint exist now. (2)</w:t>
            </w:r>
            <w:r>
              <w:t xml:space="preserve"> </w:t>
            </w:r>
            <w:r>
              <w:rPr>
                <w:b/>
                <w:bCs/>
              </w:rPr>
              <w:t xml:space="preserve">§5 QualityResult —</w:t>
            </w:r>
            <w:r>
              <w:rPr>
                <w:b/>
                <w:bCs/>
              </w:rPr>
              <w:t xml:space="preserve"> </w:t>
            </w:r>
            <w:r>
              <w:rPr>
                <w:rStyle w:val="VerbatimChar"/>
                <w:b/>
                <w:bCs/>
              </w:rPr>
              <w:t xml:space="preserve">NumericValue DECIMAL(18,4) NULL</w:t>
            </w:r>
            <w:r>
              <w:rPr>
                <w:b/>
                <w:bCs/>
              </w:rPr>
              <w:t xml:space="preserve"> </w:t>
            </w:r>
            <w:r>
              <w:rPr>
                <w:b/>
                <w:bCs/>
              </w:rPr>
              <w:t xml:space="preserve">added</w:t>
            </w:r>
            <w:r>
              <w:t xml:space="preserve">, a numeric shadow of</w:t>
            </w:r>
            <w:r>
              <w:t xml:space="preserve"> </w:t>
            </w:r>
            <w:r>
              <w:rPr>
                <w:rStyle w:val="VerbatimChar"/>
              </w:rPr>
              <w:t xml:space="preserve">MeasuredValue</w:t>
            </w:r>
            <w:r>
              <w:t xml:space="preserve"> </w:t>
            </w:r>
            <w:r>
              <w:t xml:space="preserve">enabling indexable range / SPC / Cpk queries without string parsing. Mirrors the existing</w:t>
            </w:r>
            <w:r>
              <w:t xml:space="preserve"> </w:t>
            </w:r>
            <w:r>
              <w:rPr>
                <w:rStyle w:val="VerbatimChar"/>
              </w:rPr>
              <w:t xml:space="preserve">Workorder.ProductionEventValue.NumericValue</w:t>
            </w:r>
            <w:r>
              <w:t xml:space="preserve">. QualityResult is Arc 2-deferred (unbuilt) so this is a spec-only change — the column lands when the Arc 2 Quality CREATE migration writes the table; cheap now, painful to retrofit onto a 20M+ row table. (3)</w:t>
            </w:r>
            <w:r>
              <w:t xml:space="preserve"> </w:t>
            </w:r>
            <w:r>
              <w:rPr>
                <w:b/>
                <w:bCs/>
              </w:rPr>
              <w:t xml:space="preserve">Scaling plan (OI-35) folded in the two runtime-EAV children</w:t>
            </w:r>
            <w:r>
              <w:t xml:space="preserve"> </w:t>
            </w:r>
            <w:r>
              <w:rPr>
                <w:rStyle w:val="VerbatimChar"/>
              </w:rPr>
              <w:t xml:space="preserve">Workorder.ProductionEventValue</w:t>
            </w:r>
            <w:r>
              <w:t xml:space="preserve"> </w:t>
            </w:r>
            <w:r>
              <w:t xml:space="preserve">and</w:t>
            </w:r>
            <w:r>
              <w:t xml:space="preserve"> </w:t>
            </w:r>
            <w:r>
              <w:rPr>
                <w:rStyle w:val="VerbatimChar"/>
              </w:rPr>
              <w:t xml:space="preserve">Quality.QualityResult</w:t>
            </w:r>
            <w:r>
              <w:t xml:space="preserve"> </w:t>
            </w:r>
            <w:r>
              <w:t xml:space="preserve">— they grow as multiples of their parents (events × extension-fields; samples × attrs-per-spec) but were absent from the OI-35 row-estimate table and the 2026-04-28 indexing-review gap table. Both now carry index commitments and partition-alignment notes so the Arc 2 Phase 1 CREATE doesn’t miss them. No change to any currently-shipped table beyond the additive Location column. Source: 2026-06-08 EAV-at-scale review session.</w:t>
            </w:r>
          </w:p>
        </w:tc>
      </w:tr>
      <w:tr>
        <w:tc>
          <w:tcPr/>
          <w:p>
            <w:pPr>
              <w:pStyle w:val="Compact"/>
            </w:pPr>
            <w:r>
              <w:t xml:space="preserve">1.9o</w:t>
            </w:r>
          </w:p>
        </w:tc>
        <w:tc>
          <w:tcPr/>
          <w:p>
            <w:pPr>
              <w:pStyle w:val="Compact"/>
            </w:pPr>
            <w:r>
              <w:t xml:space="preserve">2026-06-05</w:t>
            </w:r>
          </w:p>
        </w:tc>
        <w:tc>
          <w:tcPr/>
          <w:p>
            <w:pPr>
              <w:pStyle w:val="Compact"/>
            </w:pPr>
            <w:r>
              <w:t xml:space="preserve">Blue Ridge Automation</w:t>
            </w:r>
          </w:p>
        </w:tc>
        <w:tc>
          <w:tcPr/>
          <w:p>
            <w:pPr>
              <w:pStyle w:val="Compact"/>
            </w:pPr>
            <w:r>
              <w:rPr>
                <w:b/>
                <w:bCs/>
              </w:rPr>
              <w:t xml:space="preserve">§7 ToolType —</w:t>
            </w:r>
            <w:r>
              <w:rPr>
                <w:b/>
                <w:bCs/>
              </w:rPr>
              <w:t xml:space="preserve"> </w:t>
            </w:r>
            <w:r>
              <w:rPr>
                <w:rStyle w:val="VerbatimChar"/>
                <w:b/>
                <w:bCs/>
              </w:rPr>
              <w:t xml:space="preserve">CompatibleLocationTypeDefinitionId BIGINT NULL FK → Location.LocationTypeDefinition</w:t>
            </w:r>
            <w:r>
              <w:rPr>
                <w:b/>
                <w:bCs/>
              </w:rPr>
              <w:t xml:space="preserve"> </w:t>
            </w:r>
            <w:r>
              <w:rPr>
                <w:b/>
                <w:bCs/>
              </w:rPr>
              <w:t xml:space="preserve">added (migration</w:t>
            </w:r>
            <w:r>
              <w:rPr>
                <w:b/>
                <w:bCs/>
              </w:rPr>
              <w:t xml:space="preserve"> </w:t>
            </w:r>
            <w:r>
              <w:rPr>
                <w:rStyle w:val="VerbatimChar"/>
                <w:b/>
                <w:bCs/>
              </w:rPr>
              <w:t xml:space="preserve">0018_tooltype_compatible_celldef</w:t>
            </w:r>
            <w:r>
              <w:rPr>
                <w:b/>
                <w:bCs/>
              </w:rPr>
              <w:t xml:space="preserve">).</w:t>
            </w:r>
            <w:r>
              <w:t xml:space="preserve"> </w:t>
            </w:r>
            <w:r>
              <w:t xml:space="preserve">Gives each tool type a one-to-one mapping to the</w:t>
            </w:r>
            <w:r>
              <w:t xml:space="preserve"> </w:t>
            </w:r>
            <w:r>
              <w:rPr>
                <w:rStyle w:val="VerbatimChar"/>
              </w:rPr>
              <w:t xml:space="preserve">Cell</w:t>
            </w:r>
            <w:r>
              <w:t xml:space="preserve">-kind it mounts on, so the Configuration Tool’s Mount-to-Cell dropdown filters Cell-tier Locations down to the relevant kind (a Die Cast Die lists only Die Cast Machine cells, not CNC machines / terminals / printers / scales — the seeded Cell tier had 146 Locations, only 22 of them presses). NON-NULL restricts the dropdown; NULL = no restriction (all</w:t>
            </w:r>
            <w:r>
              <w:t xml:space="preserve"> </w:t>
            </w:r>
            <w:r>
              <w:rPr>
                <w:rStyle w:val="VerbatimChar"/>
              </w:rPr>
              <w:t xml:space="preserve">Cell</w:t>
            </w:r>
            <w:r>
              <w:t xml:space="preserve">-tier Locations). Seeded</w:t>
            </w:r>
            <w:r>
              <w:t xml:space="preserve"> </w:t>
            </w:r>
            <w:r>
              <w:rPr>
                <w:rStyle w:val="VerbatimChar"/>
              </w:rPr>
              <w:t xml:space="preserve">Die → DieCastMachine</w:t>
            </w:r>
            <w:r>
              <w:t xml:space="preserve"> </w:t>
            </w:r>
            <w:r>
              <w:t xml:space="preserve">by Code; all other tool types NULL until their flows activate. Consumed by new repeatable proc</w:t>
            </w:r>
            <w:r>
              <w:t xml:space="preserve"> </w:t>
            </w:r>
            <w:r>
              <w:rPr>
                <w:rStyle w:val="VerbatimChar"/>
              </w:rPr>
              <w:t xml:space="preserve">Tools.Tool_ListCompatibleCells @ToolId</w:t>
            </w:r>
            <w:r>
              <w:t xml:space="preserve"> </w:t>
            </w:r>
            <w:r>
              <w:t xml:space="preserve">(rule lives in SQL, not the Jython layer per the no-business-logic-in-Python convention);</w:t>
            </w:r>
            <w:r>
              <w:t xml:space="preserve"> </w:t>
            </w:r>
            <w:r>
              <w:rPr>
                <w:rStyle w:val="VerbatimChar"/>
              </w:rPr>
              <w:t xml:space="preserve">ToolType_List</w:t>
            </w:r>
            <w:r>
              <w:t xml:space="preserve"> </w:t>
            </w:r>
            <w:r>
              <w:t xml:space="preserve">/</w:t>
            </w:r>
            <w:r>
              <w:t xml:space="preserve"> </w:t>
            </w:r>
            <w:r>
              <w:rPr>
                <w:rStyle w:val="VerbatimChar"/>
              </w:rPr>
              <w:t xml:space="preserve">ToolType_Get</w:t>
            </w:r>
            <w:r>
              <w:t xml:space="preserve"> </w:t>
            </w:r>
            <w:r>
              <w:t xml:space="preserve">extended to surface the column. Frontend:</w:t>
            </w:r>
            <w:r>
              <w:t xml:space="preserve"> </w:t>
            </w:r>
            <w:r>
              <w:rPr>
                <w:rStyle w:val="VerbatimChar"/>
              </w:rPr>
              <w:t xml:space="preserve">BlueRidge.Parts.Tool.getCellsForDropdown(toolId)</w:t>
            </w:r>
            <w:r>
              <w:t xml:space="preserve"> </w:t>
            </w:r>
            <w:r>
              <w:t xml:space="preserve">+</w:t>
            </w:r>
            <w:r>
              <w:t xml:space="preserve"> </w:t>
            </w:r>
            <w:r>
              <w:rPr>
                <w:rStyle w:val="VerbatimChar"/>
              </w:rPr>
              <w:t xml:space="preserve">MountToCell</w:t>
            </w:r>
            <w:r>
              <w:t xml:space="preserve"> </w:t>
            </w:r>
            <w:r>
              <w:t xml:space="preserve">popup binding pass the tool id.</w:t>
            </w:r>
            <w:r>
              <w:t xml:space="preserve"> </w:t>
            </w:r>
            <w:r>
              <w:rPr>
                <w:b/>
                <w:bCs/>
              </w:rPr>
              <w:t xml:space="preserve">Migration-number note:</w:t>
            </w:r>
            <w:r>
              <w:t xml:space="preserve"> </w:t>
            </w:r>
            <w:r>
              <w:t xml:space="preserve">this took the next free versioned number</w:t>
            </w:r>
            <w:r>
              <w:t xml:space="preserve"> </w:t>
            </w:r>
            <w:r>
              <w:rPr>
                <w:rStyle w:val="VerbatimChar"/>
              </w:rPr>
              <w:t xml:space="preserve">0018</w:t>
            </w:r>
            <w:r>
              <w:t xml:space="preserve">; the doc header / Arc 2 plan had earmarked a</w:t>
            </w:r>
            <w:r>
              <w:t xml:space="preserve"> </w:t>
            </w:r>
            <w:r>
              <w:rPr>
                <w:i/>
                <w:iCs/>
              </w:rPr>
              <w:t xml:space="preserve">planned</w:t>
            </w:r>
            <w:r>
              <w:t xml:space="preserve"> </w:t>
            </w:r>
            <w:r>
              <w:t xml:space="preserve">Phase 5</w:t>
            </w:r>
            <w:r>
              <w:t xml:space="preserve"> </w:t>
            </w:r>
            <w:r>
              <w:rPr>
                <w:rStyle w:val="VerbatimChar"/>
              </w:rPr>
              <w:t xml:space="preserve">0018</w:t>
            </w:r>
            <w:r>
              <w:t xml:space="preserve"> </w:t>
            </w:r>
            <w:r>
              <w:t xml:space="preserve">for the OperationTemplate sub-LOT-split ALTER — that future Arc 2 migration re-numbers to</w:t>
            </w:r>
            <w:r>
              <w:t xml:space="preserve"> </w:t>
            </w:r>
            <w:r>
              <w:rPr>
                <w:rStyle w:val="VerbatimChar"/>
              </w:rPr>
              <w:t xml:space="preserve">0019+</w:t>
            </w:r>
            <w:r>
              <w:t xml:space="preserve"> </w:t>
            </w:r>
            <w:r>
              <w:t xml:space="preserve">when it actually builds (Arc 2 is OI-35-gated and unbuilt). No change to currently-shipped tables beyond the additive column.</w:t>
            </w:r>
          </w:p>
        </w:tc>
      </w:tr>
      <w:tr>
        <w:tc>
          <w:tcPr>
            <w:shd w:val="clear" w:color="auto" w:fill="F2F2F2"/>
          </w:tcPr>
          <w:tcPr/>
          <w:p>
            <w:pPr>
              <w:pStyle w:val="Compact"/>
            </w:pPr>
            <w:r>
              <w:t xml:space="preserve">1.9n</w:t>
            </w:r>
          </w:p>
        </w:tc>
        <w:tc>
          <w:tcPr>
            <w:shd w:val="clear" w:color="auto" w:fill="F2F2F2"/>
          </w:tcPr>
          <w:tcPr/>
          <w:p>
            <w:pPr>
              <w:pStyle w:val="Compact"/>
            </w:pPr>
            <w:r>
              <w:t xml:space="preserve">2026-06-04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Sub-LOT split relocated Trim OUT → Machining OUT</w:t>
            </w:r>
            <w:r>
              <w:t xml:space="preserve"> </w:t>
            </w:r>
            <w:r>
              <w:t xml:space="preserve">(per MPP, confirmed 2026-06; mirrors FDS v1.3 + Phased Plan v1.1).</w:t>
            </w:r>
            <w:r>
              <w:t xml:space="preserve"> </w:t>
            </w:r>
            <w:r>
              <w:rPr>
                <w:rStyle w:val="VerbatimChar"/>
              </w:rPr>
              <w:t xml:space="preserve">Parts.OperationTemplate.RequiresSubLotSplit</w:t>
            </w:r>
            <w:r>
              <w:t xml:space="preserve"> </w:t>
            </w:r>
            <w:r>
              <w:t xml:space="preserve">(§2) now controls the</w:t>
            </w:r>
            <w:r>
              <w:t xml:space="preserve"> </w:t>
            </w:r>
            <w:r>
              <w:rPr>
                <w:b/>
                <w:bCs/>
              </w:rPr>
              <w:t xml:space="preserve">Machining OUT</w:t>
            </w:r>
            <w:r>
              <w:t xml:space="preserve"> </w:t>
            </w:r>
            <w:r>
              <w:t xml:space="preserve">outbound flow, not Trim OUT — when</w:t>
            </w:r>
            <w:r>
              <w:t xml:space="preserve"> </w:t>
            </w:r>
            <w:r>
              <w:rPr>
                <w:rStyle w:val="VerbatimChar"/>
              </w:rPr>
              <w:t xml:space="preserve">1</w:t>
            </w:r>
            <w:r>
              <w:t xml:space="preserve"> </w:t>
            </w:r>
            <w:r>
              <w:t xml:space="preserve">the line splits the machined LOT into N sub-LOTs at Machining OUT (</w:t>
            </w:r>
            <w:r>
              <w:rPr>
                <w:rStyle w:val="VerbatimChar"/>
              </w:rPr>
              <w:t xml:space="preserve">MachiningOut_RecordSplit</w:t>
            </w:r>
            <w:r>
              <w:t xml:space="preserve">); Trim OUT is a 1:1 whole-LOT move. The ALTER moves from Phase 4 migration</w:t>
            </w:r>
            <w:r>
              <w:t xml:space="preserve"> </w:t>
            </w:r>
            <w:r>
              <w:rPr>
                <w:rStyle w:val="VerbatimChar"/>
              </w:rPr>
              <w:t xml:space="preserve">0017</w:t>
            </w:r>
            <w:r>
              <w:t xml:space="preserve"> </w:t>
            </w:r>
            <w:r>
              <w:t xml:space="preserve">to</w:t>
            </w:r>
            <w:r>
              <w:t xml:space="preserve"> </w:t>
            </w:r>
            <w:r>
              <w:rPr>
                <w:b/>
                <w:bCs/>
              </w:rPr>
              <w:t xml:space="preserve">Phase 5</w:t>
            </w:r>
            <w:r>
              <w:rPr>
                <w:b/>
                <w:bCs/>
              </w:rPr>
              <w:t xml:space="preserve"> </w:t>
            </w:r>
            <w:r>
              <w:rPr>
                <w:rStyle w:val="VerbatimChar"/>
                <w:b/>
                <w:bCs/>
              </w:rPr>
              <w:t xml:space="preserve">0018</w:t>
            </w:r>
            <w:r>
              <w:t xml:space="preserve">.</w:t>
            </w:r>
            <w:r>
              <w:t xml:space="preserve"> </w:t>
            </w:r>
            <w:r>
              <w:rPr>
                <w:rStyle w:val="VerbatimChar"/>
              </w:rPr>
              <w:t xml:space="preserve">Parts.Item.DefaultSubLotQty</w:t>
            </w:r>
            <w:r>
              <w:t xml:space="preserve"> </w:t>
            </w:r>
            <w:r>
              <w:t xml:space="preserve">description corrected (split at Machining OUT).</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the column definition is unchanged, only its consuming operation moved. Also:</w:t>
            </w:r>
            <w:r>
              <w:t xml:space="preserve"> </w:t>
            </w:r>
            <w:r>
              <w:rPr>
                <w:b/>
                <w:bCs/>
              </w:rPr>
              <w:t xml:space="preserve">§3 ContainerConfig.ClosureMethod</w:t>
            </w:r>
            <w:r>
              <w:t xml:space="preserve"> </w:t>
            </w:r>
            <w:r>
              <w:t xml:space="preserve">description aligned to FDS-06-014 tray-level semantics (camera validates the full tray as one image — one event per tray, not per piece; prior text said</w:t>
            </w:r>
            <w:r>
              <w:t xml:space="preserve"> </w:t>
            </w:r>
            <w:r>
              <w:t xml:space="preserve">“per piece”</w:t>
            </w:r>
            <w:r>
              <w:t xml:space="preserve">) and annotated with the customer-dependent-completion decision (2026-06-04):</w:t>
            </w:r>
            <w:r>
              <w:t xml:space="preserve"> </w:t>
            </w:r>
            <w:r>
              <w:rPr>
                <w:rStyle w:val="VerbatimChar"/>
              </w:rPr>
              <w:t xml:space="preserve">ClosureMethod</w:t>
            </w:r>
            <w:r>
              <w:t xml:space="preserve"> </w:t>
            </w:r>
            <w:r>
              <w:t xml:space="preserve">is per-Item/per-customer (one line runs both</w:t>
            </w:r>
            <w:r>
              <w:t xml:space="preserve"> </w:t>
            </w:r>
            <w:r>
              <w:rPr>
                <w:rStyle w:val="VerbatimChar"/>
              </w:rPr>
              <w:t xml:space="preserve">ByCount</w:t>
            </w:r>
            <w:r>
              <w:t xml:space="preserve"> </w:t>
            </w:r>
            <w:r>
              <w:t xml:space="preserve">and</w:t>
            </w:r>
            <w:r>
              <w:t xml:space="preserve"> </w:t>
            </w:r>
            <w:r>
              <w:rPr>
                <w:rStyle w:val="VerbatimChar"/>
              </w:rPr>
              <w:t xml:space="preserve">ByVision</w:t>
            </w:r>
            <w:r>
              <w:t xml:space="preserve"> </w:t>
            </w:r>
            <w:r>
              <w:t xml:space="preserve">parts for different customers), and the binding to a camera/MIP-capable Cell is</w:t>
            </w:r>
            <w:r>
              <w:t xml:space="preserve"> </w:t>
            </w:r>
            <w:r>
              <w:rPr>
                <w:b/>
                <w:bCs/>
              </w:rPr>
              <w:t xml:space="preserve">routing-trusted, not proc-enforced</w:t>
            </w:r>
            <w:r>
              <w:t xml:space="preserve">.</w:t>
            </w:r>
          </w:p>
        </w:tc>
      </w:tr>
      <w:tr>
        <w:tc>
          <w:tcPr/>
          <w:p>
            <w:pPr>
              <w:pStyle w:val="Compact"/>
            </w:pPr>
            <w:r>
              <w:t xml:space="preserve">1.9m</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§2 OperationTemplate —</w:t>
            </w:r>
            <w:r>
              <w:rPr>
                <w:b/>
                <w:bCs/>
              </w:rPr>
              <w:t xml:space="preserve"> </w:t>
            </w:r>
            <w:r>
              <w:rPr>
                <w:rStyle w:val="VerbatimChar"/>
                <w:b/>
                <w:bCs/>
              </w:rPr>
              <w:t xml:space="preserve">RequiresSubLotSplit BIT NOT NULL DEFAULT 0</w:t>
            </w:r>
            <w:r>
              <w:rPr>
                <w:b/>
                <w:bCs/>
              </w:rPr>
              <w:t xml:space="preserve"> </w:t>
            </w:r>
            <w:r>
              <w:rPr>
                <w:b/>
                <w:bCs/>
              </w:rPr>
              <w:t xml:space="preserve">added.</w:t>
            </w:r>
            <w:r>
              <w:t xml:space="preserve"> </w:t>
            </w:r>
            <w:r>
              <w:t xml:space="preserve">Control flag flowing from the 2026-04-29 Phased Plan v1.0 rebuild — Phase 4 Trim OUT branches on this flag (per FDS-05-009): when</w:t>
            </w:r>
            <w:r>
              <w:t xml:space="preserve"> </w:t>
            </w:r>
            <w:r>
              <w:rPr>
                <w:rStyle w:val="VerbatimChar"/>
              </w:rPr>
              <w:t xml:space="preserve">1</w:t>
            </w:r>
            <w:r>
              <w:t xml:space="preserve">, the closing proc splits the parent LOT into N children and calls</w:t>
            </w:r>
            <w:r>
              <w:t xml:space="preserve"> </w:t>
            </w:r>
            <w:r>
              <w:rPr>
                <w:rStyle w:val="VerbatimChar"/>
              </w:rPr>
              <w:t xml:space="preserve">Lot_MoveTo</w:t>
            </w:r>
            <w:r>
              <w:t xml:space="preserve"> </w:t>
            </w:r>
            <w:r>
              <w:t xml:space="preserve">per child to selected destination Machining Cells; when</w:t>
            </w:r>
            <w:r>
              <w:t xml:space="preserve"> </w:t>
            </w:r>
            <w:r>
              <w:rPr>
                <w:rStyle w:val="VerbatimChar"/>
              </w:rPr>
              <w:t xml:space="preserve">0</w:t>
            </w:r>
            <w:r>
              <w:t xml:space="preserve"> </w:t>
            </w:r>
            <w:r>
              <w:t xml:space="preserve">(default), the closing proc calls only</w:t>
            </w:r>
            <w:r>
              <w:t xml:space="preserve"> </w:t>
            </w:r>
            <w:r>
              <w:rPr>
                <w:rStyle w:val="VerbatimChar"/>
              </w:rPr>
              <w:t xml:space="preserve">Lot_MoveTo</w:t>
            </w:r>
            <w:r>
              <w:t xml:space="preserve"> </w:t>
            </w:r>
            <w:r>
              <w:t xml:space="preserve">and the parent LOT moves whole. Engineering authors per Item per Cell via the Configuration Tool. Versioned with the rest of the OperationTemplate row per the existing clone-to-modify pattern. Not all OperationTemplate codes consume the flag — Die Cast, Receiving, Machining IN, and Assembly operations ignore it (they have no outbound-distribution branch). SQL ALTER lands in the Phase 4 Plant-Floor migration (</w:t>
            </w:r>
            <w:r>
              <w:rPr>
                <w:rStyle w:val="VerbatimChar"/>
              </w:rPr>
              <w:t xml:space="preserve">0017_arc2_phase4_movement_trim_receiving.sql</w:t>
            </w:r>
            <w:r>
              <w:t xml:space="preserve">). No companion FDS change — FDS-05-009 already specifies the per-Item-per-Cell split decision; this column gives the FDS rule a queryable home in the data model.</w:t>
            </w:r>
          </w:p>
        </w:tc>
      </w:tr>
      <w:tr>
        <w:tc>
          <w:tcPr>
            <w:shd w:val="clear" w:color="auto" w:fill="F2F2F2"/>
          </w:tcPr>
          <w:tcPr/>
          <w:p>
            <w:pPr>
              <w:pStyle w:val="Compact"/>
            </w:pPr>
            <w:r>
              <w:t xml:space="preserve">1.9l</w:t>
            </w:r>
          </w:p>
        </w:tc>
        <w:tc>
          <w:tcPr>
            <w:shd w:val="clear" w:color="auto" w:fill="F2F2F2"/>
          </w:tcPr>
          <w:tcPr/>
          <w:p>
            <w:pPr>
              <w:pStyle w:val="Compact"/>
            </w:pPr>
            <w:r>
              <w:t xml:space="preserve">2026-04-29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FDS v0.11m reconciliation pass — DM aligned to FDS as source of truth.</w:t>
            </w:r>
            <w:r>
              <w:t xml:space="preserve"> </w:t>
            </w:r>
            <w:r>
              <w:t xml:space="preserve">Comprehensive sweep of stale wording across the doc following the FDS continuity + clarity passes in v0.11k/l/m.</w:t>
            </w:r>
            <w:r>
              <w:t xml:space="preserve"> </w:t>
            </w:r>
            <w:r>
              <w:rPr>
                <w:b/>
                <w:bCs/>
              </w:rPr>
              <w:t xml:space="preserve">§2 ContainerConfig:</w:t>
            </w:r>
            <w:r>
              <w:t xml:space="preserve"> </w:t>
            </w:r>
            <w:r>
              <w:rPr>
                <w:rStyle w:val="VerbatimChar"/>
              </w:rPr>
              <w:t xml:space="preserve">ClosureMethod</w:t>
            </w:r>
            <w:r>
              <w:t xml:space="preserve"> </w:t>
            </w:r>
            <w:r>
              <w:t xml:space="preserve">row reframed as</w:t>
            </w:r>
            <w:r>
              <w:t xml:space="preserve"> </w:t>
            </w:r>
            <w:r>
              <w:rPr>
                <w:b/>
                <w:bCs/>
              </w:rPr>
              <w:t xml:space="preserve">tray-level</w:t>
            </w:r>
            <w:r>
              <w:t xml:space="preserve"> </w:t>
            </w:r>
            <w:r>
              <w:t xml:space="preserve">trigger per FDS-06-014 —</w:t>
            </w:r>
            <w:r>
              <w:t xml:space="preserve">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all describe per-tray validation; container fill is MES-side accumulation (no PLC</w:t>
            </w:r>
            <w:r>
              <w:t xml:space="preserve"> </w:t>
            </w:r>
            <w:r>
              <w:rPr>
                <w:rStyle w:val="VerbatimChar"/>
              </w:rPr>
              <w:t xml:space="preserve">ContainerFullFlag</w:t>
            </w:r>
            <w:r>
              <w:t xml:space="preserve"> </w:t>
            </w:r>
            <w:r>
              <w:t xml:space="preserve">tag).</w:t>
            </w:r>
            <w:r>
              <w:t xml:space="preserve"> </w:t>
            </w:r>
            <w:r>
              <w:rPr>
                <w:b/>
                <w:bCs/>
              </w:rPr>
              <w:t xml:space="preserve">§2 Casting → Trim subsection retitled</w:t>
            </w:r>
            <w:r>
              <w:rPr>
                <w:b/>
                <w:bCs/>
              </w:rPr>
              <w:t xml:space="preserve"> </w:t>
            </w:r>
            <w:r>
              <w:rPr>
                <w:rStyle w:val="VerbatimChar"/>
                <w:b/>
                <w:bCs/>
              </w:rPr>
              <w:t xml:space="preserve">Trim → Machining</w:t>
            </w:r>
            <w:r>
              <w:t xml:space="preserve"> </w:t>
            </w:r>
            <w:r>
              <w:t xml:space="preserve">per FDS-05-033 v0.11m boundary clarification — LOT keeps cast-part identity through Casting and Trim; Trim sprue/deburr is yield loss via</w:t>
            </w:r>
            <w:r>
              <w:t xml:space="preserve"> </w:t>
            </w:r>
            <w:r>
              <w:rPr>
                <w:rStyle w:val="VerbatimChar"/>
              </w:rPr>
              <w:t xml:space="preserve">RejectEvent</w:t>
            </w:r>
            <w:r>
              <w:t xml:space="preserve"> </w:t>
            </w:r>
            <w:r>
              <w:t xml:space="preserve">on the same LOT; rename fires at first Machining Cell. BOM example rewritten (</w:t>
            </w:r>
            <w:r>
              <w:rPr>
                <w:rStyle w:val="VerbatimChar"/>
              </w:rPr>
              <w:t xml:space="preserve">5G0-TRIM</w:t>
            </w:r>
            <w:r>
              <w:t xml:space="preserve"> </w:t>
            </w:r>
            <w:r>
              <w:t xml:space="preserve">Component +</w:t>
            </w:r>
            <w:r>
              <w:t xml:space="preserve"> </w:t>
            </w:r>
            <w:r>
              <w:rPr>
                <w:rStyle w:val="VerbatimChar"/>
              </w:rPr>
              <w:t xml:space="preserve">5G0-MACHINED</w:t>
            </w:r>
            <w:r>
              <w:t xml:space="preserve"> </w:t>
            </w:r>
            <w:r>
              <w:t xml:space="preserve">Sub-Assembly). Backward-trace narrative rewritten — single Machining-IN consumption hop.</w:t>
            </w:r>
            <w:r>
              <w:t xml:space="preserve"> </w:t>
            </w:r>
            <w:r>
              <w:rPr>
                <w:b/>
                <w:bCs/>
              </w:rPr>
              <w:t xml:space="preserve">§2 NEW VIEW</w:t>
            </w:r>
            <w:r>
              <w:rPr>
                <w:b/>
                <w:bCs/>
              </w:rPr>
              <w:t xml:space="preserve"> </w:t>
            </w:r>
            <w:r>
              <w:rPr>
                <w:rStyle w:val="VerbatimChar"/>
                <w:b/>
                <w:bCs/>
              </w:rPr>
              <w:t xml:space="preserve">Parts.v_EffectiveItemLocation</w:t>
            </w:r>
            <w:r>
              <w:rPr>
                <w:b/>
                <w:bCs/>
              </w:rPr>
              <w:t xml:space="preserve"> </w:t>
            </w:r>
            <w:r>
              <w:rPr>
                <w:b/>
                <w:bCs/>
              </w:rPr>
              <w:t xml:space="preserve">(LocationId, ItemId, Source)</w:t>
            </w:r>
            <w:r>
              <w:t xml:space="preserve"> </w:t>
            </w:r>
            <w:r>
              <w:t xml:space="preserve">documented per FDS-02-012 — Direct ∪ BomDerived eligibility resolution; created in Arc 2 Phase 1 alongside</w:t>
            </w:r>
            <w:r>
              <w:t xml:space="preserve"> </w:t>
            </w:r>
            <w:r>
              <w:rPr>
                <w:rStyle w:val="VerbatimChar"/>
              </w:rPr>
              <w:t xml:space="preserve">ItemLocation_CheckEligibility</w:t>
            </w:r>
            <w:r>
              <w:t xml:space="preserve">.</w:t>
            </w:r>
            <w:r>
              <w:t xml:space="preserve"> </w:t>
            </w:r>
            <w:r>
              <w:rPr>
                <w:b/>
                <w:bCs/>
              </w:rPr>
              <w:t xml:space="preserve">§2 Item.DefaultSubLotQty</w:t>
            </w:r>
            <w:r>
              <w:t xml:space="preserve"> </w:t>
            </w:r>
            <w:r>
              <w:t xml:space="preserve">description corrected — split fires at Trim OUT (FDS-05-009), not Machining IN.</w:t>
            </w:r>
            <w:r>
              <w:t xml:space="preserve"> </w:t>
            </w:r>
            <w:r>
              <w:rPr>
                <w:b/>
                <w:bCs/>
              </w:rPr>
              <w:t xml:space="preserve">§2 ContainerSerial</w:t>
            </w:r>
            <w:r>
              <w:t xml:space="preserve"> </w:t>
            </w:r>
            <w:r>
              <w:t xml:space="preserve">UJ-16</w:t>
            </w:r>
            <w:r>
              <w:t xml:space="preserve"> </w:t>
            </w:r>
            <w:r>
              <w:rPr>
                <w:rStyle w:val="VerbatimChar"/>
              </w:rPr>
              <w:t xml:space="preserve">🔶 PENDING</w:t>
            </w:r>
            <w:r>
              <w:t xml:space="preserve"> </w:t>
            </w:r>
            <w:r>
              <w:t xml:space="preserve">callout converted to flowing prose — Resolved 2026-04-27 per OIR v2.14, Option A:</w:t>
            </w:r>
            <w:r>
              <w:t xml:space="preserve"> </w:t>
            </w:r>
            <w:r>
              <w:rPr>
                <w:rStyle w:val="VerbatimChar"/>
              </w:rPr>
              <w:t xml:space="preserve">HardwareInterlockBypassed BIT</w:t>
            </w:r>
            <w:r>
              <w:t xml:space="preserve"> </w:t>
            </w:r>
            <w:r>
              <w:t xml:space="preserve">lands on</w:t>
            </w:r>
            <w:r>
              <w:t xml:space="preserve"> </w:t>
            </w:r>
            <w:r>
              <w:rPr>
                <w:rStyle w:val="VerbatimChar"/>
              </w:rPr>
              <w:t xml:space="preserve">Lots.ContainerSerial</w:t>
            </w:r>
            <w:r>
              <w:t xml:space="preserve">.</w:t>
            </w:r>
            <w:r>
              <w:t xml:space="preserve"> </w:t>
            </w:r>
            <w:r>
              <w:rPr>
                <w:b/>
                <w:bCs/>
              </w:rPr>
              <w:t xml:space="preserve">§4 WorkOrderType</w:t>
            </w:r>
            <w:r>
              <w:t xml:space="preserve"> </w:t>
            </w:r>
            <w:r>
              <w:t xml:space="preserve">SQL correction follow-up note replaced with past-tense one-liner — migration</w:t>
            </w:r>
            <w:r>
              <w:t xml:space="preserve"> </w:t>
            </w:r>
            <w:r>
              <w:rPr>
                <w:rStyle w:val="VerbatimChar"/>
              </w:rPr>
              <w:t xml:space="preserve">0013_oi07_oi12_corrections.sql</w:t>
            </w:r>
            <w:r>
              <w:t xml:space="preserve"> </w:t>
            </w:r>
            <w:r>
              <w:t xml:space="preserve">landed 2026-04-28, 858/858 tests passing.</w:t>
            </w:r>
            <w:r>
              <w:t xml:space="preserve"> </w:t>
            </w:r>
            <w:r>
              <w:rPr>
                <w:b/>
                <w:bCs/>
              </w:rPr>
              <w:t xml:space="preserve">§4 WorkOrder</w:t>
            </w:r>
            <w:r>
              <w:t xml:space="preserve"> </w:t>
            </w:r>
            <w:r>
              <w:t xml:space="preserve">narrative tightened — dropped Arc 2 Phase 1 deployment-state admonition; column contract is the spec.</w:t>
            </w:r>
            <w:r>
              <w:t xml:space="preserve"> </w:t>
            </w:r>
            <w:r>
              <w:rPr>
                <w:b/>
                <w:bCs/>
              </w:rPr>
              <w:t xml:space="preserve">§4 ProductionEvent</w:t>
            </w:r>
            <w:r>
              <w:t xml:space="preserve"> </w:t>
            </w:r>
            <w:r>
              <w:t xml:space="preserve">narrative tightened — dropped v1.9 reshape framing and Arc 2 admonition;</w:t>
            </w:r>
            <w:r>
              <w:t xml:space="preserve"> </w:t>
            </w:r>
            <w:r>
              <w:t xml:space="preserve">“Checkpoint-shape event table”</w:t>
            </w:r>
            <w:r>
              <w:t xml:space="preserve"> </w:t>
            </w:r>
            <w:r>
              <w:t xml:space="preserve">describes the shape directly.</w:t>
            </w:r>
            <w:r>
              <w:t xml:space="preserve"> </w:t>
            </w:r>
            <w:r>
              <w:rPr>
                <w:b/>
                <w:bCs/>
              </w:rPr>
              <w:t xml:space="preserve">§4 deferred event tables (</w:t>
            </w:r>
            <w:r>
              <w:rPr>
                <w:rStyle w:val="VerbatimChar"/>
                <w:b/>
                <w:bCs/>
              </w:rPr>
              <w:t xml:space="preserve">WorkOrderOperation</w:t>
            </w:r>
            <w:r>
              <w:rPr>
                <w:b/>
                <w:bCs/>
              </w:rPr>
              <w:t xml:space="preserve">,</w:t>
            </w:r>
            <w:r>
              <w:rPr>
                <w:b/>
                <w:bCs/>
              </w:rPr>
              <w:t xml:space="preserve"> </w:t>
            </w:r>
            <w:r>
              <w:rPr>
                <w:rStyle w:val="VerbatimChar"/>
                <w:b/>
                <w:bCs/>
              </w:rPr>
              <w:t xml:space="preserve">ConsumptionEvent</w:t>
            </w:r>
            <w:r>
              <w:rPr>
                <w:b/>
                <w:bCs/>
              </w:rPr>
              <w:t xml:space="preserve">,</w:t>
            </w:r>
            <w:r>
              <w:rPr>
                <w:b/>
                <w:bCs/>
              </w:rPr>
              <w:t xml:space="preserve"> </w:t>
            </w:r>
            <w:r>
              <w:rPr>
                <w:rStyle w:val="VerbatimChar"/>
                <w:b/>
                <w:bCs/>
              </w:rPr>
              <w:t xml:space="preserve">RejectEvent</w:t>
            </w:r>
            <w:r>
              <w:rPr>
                <w:b/>
                <w:bCs/>
              </w:rPr>
              <w:t xml:space="preserve">) and §6</w:t>
            </w:r>
            <w:r>
              <w:rPr>
                <w:b/>
                <w:bCs/>
              </w:rPr>
              <w:t xml:space="preserve"> </w:t>
            </w:r>
            <w:r>
              <w:rPr>
                <w:rStyle w:val="VerbatimChar"/>
                <w:b/>
                <w:bCs/>
              </w:rPr>
              <w:t xml:space="preserve">DowntimeEvent</w:t>
            </w:r>
            <w:r>
              <w:rPr>
                <w:b/>
                <w:bCs/>
              </w:rPr>
              <w:t xml:space="preserve">:</w:t>
            </w:r>
            <w:r>
              <w:t xml:space="preserve"> </w:t>
            </w:r>
            <w:r>
              <w:rPr>
                <w:rStyle w:val="VerbatimChar"/>
              </w:rPr>
              <w:t xml:space="preserve">OperatorId</w:t>
            </w:r>
            <w:r>
              <w:t xml:space="preserve"> </w:t>
            </w:r>
            <w:r>
              <w:t xml:space="preserve">columns renamed to</w:t>
            </w:r>
            <w:r>
              <w:t xml:space="preserve"> </w:t>
            </w:r>
            <w:r>
              <w:rPr>
                <w:rStyle w:val="VerbatimChar"/>
              </w:rPr>
              <w:t xml:space="preserve">AppUserId</w:t>
            </w:r>
            <w:r>
              <w:t xml:space="preserve"> </w:t>
            </w:r>
            <w:r>
              <w:t xml:space="preserve">for consistency with the SP template (</w:t>
            </w:r>
            <w:r>
              <w:rPr>
                <w:rStyle w:val="VerbatimChar"/>
              </w:rPr>
              <w:t xml:space="preserve">@AppUserId BIGINT</w:t>
            </w:r>
            <w:r>
              <w:t xml:space="preserve">) and the v1.9</w:t>
            </w:r>
            <w:r>
              <w:t xml:space="preserve"> </w:t>
            </w:r>
            <w:r>
              <w:rPr>
                <w:rStyle w:val="VerbatimChar"/>
              </w:rPr>
              <w:t xml:space="preserve">ProductionEvent</w:t>
            </w:r>
            <w:r>
              <w:t xml:space="preserve"> </w:t>
            </w:r>
            <w:r>
              <w:t xml:space="preserve">reshape. Rule-of-law check: SP template at</w:t>
            </w:r>
            <w:r>
              <w:t xml:space="preserve"> </w:t>
            </w:r>
            <w:r>
              <w:rPr>
                <w:rStyle w:val="VerbatimChar"/>
              </w:rPr>
              <w:t xml:space="preserve">sql/scripts/_TEMPLATE_stored_procedure.sql</w:t>
            </w:r>
            <w:r>
              <w:t xml:space="preserve"> </w:t>
            </w:r>
            <w:r>
              <w:t xml:space="preserve">uses</w:t>
            </w:r>
            <w:r>
              <w:t xml:space="preserve"> </w:t>
            </w:r>
            <w:r>
              <w:rPr>
                <w:rStyle w:val="VerbatimChar"/>
              </w:rPr>
              <w:t xml:space="preserve">@AppUserId</w:t>
            </w:r>
            <w:r>
              <w:t xml:space="preserve">; the deferred event tables are not yet CREATEd in any of the 13 shipped migrations, so this is purely a DM spec alignment with no SQL impact.</w:t>
            </w:r>
            <w:r>
              <w:t xml:space="preserve"> </w:t>
            </w:r>
            <w:r>
              <w:rPr>
                <w:b/>
                <w:bCs/>
              </w:rPr>
              <w:t xml:space="preserve">§6 DowntimeEvent</w:t>
            </w:r>
            <w:r>
              <w:t xml:space="preserve"> </w:t>
            </w:r>
            <w:r>
              <w:t xml:space="preserve">UJ-14</w:t>
            </w:r>
            <w:r>
              <w:t xml:space="preserve"> </w:t>
            </w:r>
            <w:r>
              <w:rPr>
                <w:rStyle w:val="VerbatimChar"/>
              </w:rPr>
              <w:t xml:space="preserve">🔶 PENDING</w:t>
            </w:r>
            <w:r>
              <w:t xml:space="preserve"> </w:t>
            </w:r>
            <w:r>
              <w:t xml:space="preserve">callout converted to flowing prose — Resolved 2026-04-27 per OIR v2.14.</w:t>
            </w:r>
            <w:r>
              <w:t xml:space="preserve"> </w:t>
            </w:r>
            <w:r>
              <w:rPr>
                <w:b/>
                <w:bCs/>
              </w:rPr>
              <w:t xml:space="preserve">§7 Tools cross-references rewritten:</w:t>
            </w:r>
            <w:r>
              <w:t xml:space="preserve"> </w:t>
            </w:r>
            <w:r>
              <w:rPr>
                <w:rStyle w:val="VerbatimChar"/>
              </w:rPr>
              <w:t xml:space="preserve">Workorder.WorkOrder.ToolId</w:t>
            </w:r>
            <w:r>
              <w:t xml:space="preserve"> </w:t>
            </w:r>
            <w:r>
              <w:t xml:space="preserve">parenthetical no longer references the deleted</w:t>
            </w:r>
            <w:r>
              <w:t xml:space="preserve"> </w:t>
            </w:r>
            <w:r>
              <w:rPr>
                <w:rStyle w:val="VerbatimChar"/>
              </w:rPr>
              <w:t xml:space="preserve">Recipe</w:t>
            </w:r>
            <w:r>
              <w:t xml:space="preserve"> </w:t>
            </w:r>
            <w:r>
              <w:t xml:space="preserve">WorkOrderType (OI-07);</w:t>
            </w:r>
            <w:r>
              <w:t xml:space="preserve"> </w:t>
            </w:r>
            <w:r>
              <w:rPr>
                <w:rStyle w:val="VerbatimChar"/>
              </w:rPr>
              <w:t xml:space="preserve">Workorder.ProductionEvent.DieIdentifier</w:t>
            </w:r>
            <w:r>
              <w:t xml:space="preserve"> </w:t>
            </w:r>
            <w:r>
              <w:t xml:space="preserve">cross-ref replaced with</w:t>
            </w:r>
            <w:r>
              <w:t xml:space="preserve"> </w:t>
            </w:r>
            <w:r>
              <w:rPr>
                <w:rStyle w:val="VerbatimChar"/>
              </w:rPr>
              <w:t xml:space="preserve">Lots.Lot.ToolId</w:t>
            </w:r>
            <w:r>
              <w:t xml:space="preserve"> </w:t>
            </w:r>
            <w:r>
              <w:t xml:space="preserve">derivation rule (DieIdentifier column was DROPPED in v1.9 reshape); ItemTransform tombstone clause removed.</w:t>
            </w:r>
            <w:r>
              <w:t xml:space="preserve"> </w:t>
            </w:r>
            <w:r>
              <w:rPr>
                <w:b/>
                <w:bCs/>
              </w:rPr>
              <w:t xml:space="preserve">§1 Location:</w:t>
            </w:r>
            <w:r>
              <w:t xml:space="preserve"> </w:t>
            </w:r>
            <w:r>
              <w:rPr>
                <w:rStyle w:val="VerbatimChar"/>
              </w:rPr>
              <w:t xml:space="preserve">Terminal</w:t>
            </w:r>
            <w:r>
              <w:t xml:space="preserve"> </w:t>
            </w:r>
            <w:r>
              <w:t xml:space="preserve">LocationTypeDefinition seed-row description updated to</w:t>
            </w:r>
            <w:r>
              <w:t xml:space="preserve"> </w:t>
            </w:r>
            <w:r>
              <w:t xml:space="preserve">“mode derived from parent tier”</w:t>
            </w:r>
            <w:r>
              <w:t xml:space="preserve">;</w:t>
            </w:r>
            <w:r>
              <w:t xml:space="preserve"> </w:t>
            </w:r>
            <w:r>
              <w:t xml:space="preserve">“Terminals in the New Model”</w:t>
            </w:r>
            <w:r>
              <w:t xml:space="preserve"> </w:t>
            </w:r>
            <w:r>
              <w:t xml:space="preserve">callout rewritten for FDS-02-009/010/011 (two-mode model + scan-or-dropdown context selection);</w:t>
            </w:r>
            <w:r>
              <w:t xml:space="preserve"> </w:t>
            </w:r>
            <w:r>
              <w:rPr>
                <w:rStyle w:val="VerbatimChar"/>
              </w:rPr>
              <w:t xml:space="preserve">NumberOfCavities</w:t>
            </w:r>
            <w:r>
              <w:t xml:space="preserve"> </w:t>
            </w:r>
            <w:r>
              <w:t xml:space="preserve">removed as</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 explanatory note added — cavities belong to the die, not the press.</w:t>
            </w:r>
            <w:r>
              <w:t xml:space="preserve"> </w:t>
            </w:r>
            <w:r>
              <w:rPr>
                <w:b/>
                <w:bCs/>
              </w:rPr>
              <w:t xml:space="preserve">§3 Lots</w:t>
            </w:r>
            <w:r>
              <w:rPr>
                <w:b/>
                <w:bCs/>
              </w:rPr>
              <w:t xml:space="preserve"> </w:t>
            </w:r>
            <w:r>
              <w:rPr>
                <w:rStyle w:val="VerbatimChar"/>
                <w:b/>
                <w:bCs/>
              </w:rPr>
              <w:t xml:space="preserve">IdentifierSequence</w:t>
            </w:r>
            <w:r>
              <w:rPr>
                <w:b/>
                <w:bCs/>
              </w:rPr>
              <w:t xml:space="preserve"> </w:t>
            </w:r>
            <w:r>
              <w:rPr>
                <w:b/>
                <w:bCs/>
              </w:rPr>
              <w:t xml:space="preserve">reference</w:t>
            </w:r>
            <w:r>
              <w:t xml:space="preserve"> </w:t>
            </w:r>
            <w:r>
              <w:t xml:space="preserve">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for the OIR cross-ref (matches FDS v0.11m convention).</w:t>
            </w:r>
            <w:r>
              <w:t xml:space="preserve"> </w:t>
            </w:r>
            <w:r>
              <w:rPr>
                <w:b/>
                <w:bCs/>
              </w:rPr>
              <w:t xml:space="preserve">Document-wide:</w:t>
            </w:r>
            <w:r>
              <w:t xml:space="preserve"> </w:t>
            </w:r>
            <w:r>
              <w:rPr>
                <w:rStyle w:val="VerbatimChar"/>
              </w:rPr>
              <w:t xml:space="preserve">⚠ Implementation deferred to Arc 2 Phase N</w:t>
            </w:r>
            <w:r>
              <w:t xml:space="preserve"> </w:t>
            </w:r>
            <w:r>
              <w:t xml:space="preserve">admonitions stripped (5 instances) — DM is the big-picture end-goal final solution; deployment state belongs in the phased plan. No schema changes to currently-shipped tables; all changes are spec-doc alignment to FDS v0.11m.</w:t>
            </w:r>
          </w:p>
        </w:tc>
      </w:tr>
      <w:tr>
        <w:tc>
          <w:tcPr/>
          <w:p>
            <w:pPr>
              <w:pStyle w:val="Compact"/>
            </w:pPr>
            <w:r>
              <w:t xml:space="preserve">1.9k</w:t>
            </w:r>
          </w:p>
        </w:tc>
        <w:tc>
          <w:tcPr/>
          <w:p>
            <w:pPr>
              <w:pStyle w:val="Compact"/>
            </w:pPr>
            <w:r>
              <w:t xml:space="preserve">2026-04-28</w:t>
            </w:r>
          </w:p>
        </w:tc>
        <w:tc>
          <w:tcPr/>
          <w:p>
            <w:pPr>
              <w:pStyle w:val="Compact"/>
            </w:pPr>
            <w:r>
              <w:t xml:space="preserve">Blue Ridge Automation</w:t>
            </w:r>
          </w:p>
        </w:tc>
        <w:tc>
          <w:tcPr/>
          <w:p>
            <w:pPr>
              <w:pStyle w:val="Compact"/>
            </w:pPr>
            <w:r>
              <w:rPr>
                <w:b/>
                <w:bCs/>
              </w:rPr>
              <w:t xml:space="preserve">Two FDS-driven additions queued from 2026-04-28 working sessions.</w:t>
            </w:r>
            <w:r>
              <w:t xml:space="preserve"> </w:t>
            </w:r>
            <w:r>
              <w:t xml:space="preserve">(1)</w:t>
            </w:r>
            <w:r>
              <w:t xml:space="preserve"> </w:t>
            </w:r>
            <w:r>
              <w:rPr>
                <w:rStyle w:val="VerbatimChar"/>
                <w:b/>
                <w:bCs/>
              </w:rPr>
              <w:t xml:space="preserve">Lots.ShippingLabel.BannerAcknowledgedAt DATETIME2(3) NULL</w:t>
            </w:r>
            <w:r>
              <w:t xml:space="preserve"> </w:t>
            </w:r>
            <w:r>
              <w:t xml:space="preserve">— supports the FDS-07-006b broadcast-with-session-filter Acknowledge action, where the per-terminal print-failure banner shown by FDS-07-006a’s retry-exhausted state can be dismissed by the operator. Independent of</w:t>
            </w:r>
            <w:r>
              <w:t xml:space="preserve"> </w:t>
            </w:r>
            <w:r>
              <w:rPr>
                <w:rStyle w:val="VerbatimChar"/>
              </w:rPr>
              <w:t xml:space="preserve">PrintFailedAt</w:t>
            </w:r>
            <w:r>
              <w:t xml:space="preserve">: the row stays in failed state for the safety-sweep alarm even after acknowledgement; this column only suppresses the banner UI on the closing terminal. State derivation table updated: Failed =</w:t>
            </w:r>
            <w:r>
              <w:t xml:space="preserve"> </w:t>
            </w:r>
            <w:r>
              <w:rPr>
                <w:rStyle w:val="VerbatimChar"/>
              </w:rPr>
              <w:t xml:space="preserve">PrintFailedAt IS NOT NULL AND BannerAcknowledgedAt IS NULL</w:t>
            </w:r>
            <w:r>
              <w:t xml:space="preserve">; Failed-acknowledged = both non-NULL. SQL deferred to Arc 2 Phase 7 alongside the rest of the Container schema CREATE — column contract above is authoritative. (2)</w:t>
            </w:r>
            <w:r>
              <w:t xml:space="preserve"> </w:t>
            </w:r>
            <w:r>
              <w:rPr>
                <w:rStyle w:val="VerbatimChar"/>
                <w:b/>
                <w:bCs/>
              </w:rPr>
              <w:t xml:space="preserve">CoupledDownstreamCellLocationId</w:t>
            </w:r>
            <w:r>
              <w:rPr>
                <w:b/>
                <w:bCs/>
              </w:rPr>
              <w:t xml:space="preserve"> </w:t>
            </w:r>
            <w:r>
              <w:rPr>
                <w:b/>
                <w:bCs/>
              </w:rPr>
              <w:t xml:space="preserve">LocationAttributeDefinition seed under</w:t>
            </w:r>
            <w:r>
              <w:rPr>
                <w:b/>
                <w:bCs/>
              </w:rPr>
              <w:t xml:space="preserve"> </w:t>
            </w:r>
            <w:r>
              <w:rPr>
                <w:rStyle w:val="VerbatimChar"/>
                <w:b/>
                <w:bCs/>
              </w:rPr>
              <w:t xml:space="preserve">CNCMachine</w:t>
            </w:r>
            <w:r>
              <w:t xml:space="preserve"> </w:t>
            </w:r>
            <w:r>
              <w:t xml:space="preserve">— supports the FDS-06-008 Machining OUT auto-move-to-coupled-Assembly-Cell flow. New illustrative seed row added to the §2 LocationAttributeDefinition examples block under a new</w:t>
            </w:r>
            <w:r>
              <w:t xml:space="preserve"> </w:t>
            </w:r>
            <w:r>
              <w:t xml:space="preserve">“For</w:t>
            </w:r>
            <w:r>
              <w:t xml:space="preserve"> </w:t>
            </w:r>
            <w:r>
              <w:rPr>
                <w:rStyle w:val="VerbatimChar"/>
              </w:rPr>
              <w:t xml:space="preserve">Cell</w:t>
            </w:r>
            <w:r>
              <w:t xml:space="preserve"> </w:t>
            </w:r>
            <w:r>
              <w:t xml:space="preserve">→</w:t>
            </w:r>
            <w:r>
              <w:t xml:space="preserve"> </w:t>
            </w:r>
            <w:r>
              <w:rPr>
                <w:rStyle w:val="VerbatimChar"/>
              </w:rPr>
              <w:t xml:space="preserve">CNCMachine</w:t>
            </w:r>
            <w:r>
              <w:t xml:space="preserve"> </w:t>
            </w:r>
            <w:r>
              <w:t xml:space="preserve">definition”</w:t>
            </w:r>
            <w:r>
              <w:t xml:space="preserve"> </w:t>
            </w:r>
            <w:r>
              <w:t xml:space="preserve">subsection:</w:t>
            </w:r>
            <w:r>
              <w:t xml:space="preserve"> </w:t>
            </w:r>
            <w:r>
              <w:rPr>
                <w:rStyle w:val="VerbatimChar"/>
              </w:rPr>
              <w:t xml:space="preserve">AttributeName=CoupledDownstreamCellLocationId</w:t>
            </w:r>
            <w:r>
              <w:t xml:space="preserve">,</w:t>
            </w:r>
            <w:r>
              <w:t xml:space="preserve"> </w:t>
            </w:r>
            <w:r>
              <w:rPr>
                <w:rStyle w:val="VerbatimChar"/>
              </w:rPr>
              <w:t xml:space="preserve">DataType=Integer</w:t>
            </w:r>
            <w:r>
              <w:t xml:space="preserve"> </w:t>
            </w:r>
            <w:r>
              <w:t xml:space="preserve">(parsed as a</w:t>
            </w:r>
            <w:r>
              <w:t xml:space="preserve"> </w:t>
            </w:r>
            <w:r>
              <w:rPr>
                <w:rStyle w:val="VerbatimChar"/>
              </w:rPr>
              <w:t xml:space="preserve">Location.Location.Id</w:t>
            </w:r>
            <w:r>
              <w:t xml:space="preserve"> </w:t>
            </w:r>
            <w:r>
              <w:t xml:space="preserve">reference),</w:t>
            </w:r>
            <w:r>
              <w:t xml:space="preserve"> </w:t>
            </w:r>
            <w:r>
              <w:rPr>
                <w:rStyle w:val="VerbatimChar"/>
              </w:rPr>
              <w:t xml:space="preserve">IsRequired=0</w:t>
            </w:r>
            <w:r>
              <w:t xml:space="preserve"> </w:t>
            </w:r>
            <w:r>
              <w:t xml:space="preserve">(NULL = legacy uncoupled path). When non-NULL, PLC-signalled machining completion writes the</w:t>
            </w:r>
            <w:r>
              <w:t xml:space="preserve"> </w:t>
            </w:r>
            <w:r>
              <w:rPr>
                <w:rStyle w:val="VerbatimChar"/>
              </w:rPr>
              <w:t xml:space="preserve">ProductionEvent</w:t>
            </w:r>
            <w:r>
              <w:t xml:space="preserve"> </w:t>
            </w:r>
            <w:r>
              <w:t xml:space="preserve">and a</w:t>
            </w:r>
            <w:r>
              <w:t xml:space="preserve"> </w:t>
            </w:r>
            <w:r>
              <w:rPr>
                <w:rStyle w:val="VerbatimChar"/>
              </w:rPr>
              <w:t xml:space="preserve">LotMovement</w:t>
            </w:r>
            <w:r>
              <w:t xml:space="preserve"> </w:t>
            </w:r>
            <w:r>
              <w:t xml:space="preserve">to the referenced Cell + updates</w:t>
            </w:r>
            <w:r>
              <w:t xml:space="preserve"> </w:t>
            </w:r>
            <w:r>
              <w:rPr>
                <w:rStyle w:val="VerbatimChar"/>
              </w:rPr>
              <w:t xml:space="preserve">CurrentLocationId</w:t>
            </w:r>
            <w:r>
              <w:t xml:space="preserve">; when NULL, completion writes the event only and the LOT stays at the Machining Cell awaiting operator-driven movement. Phase G seed delta on the next migration: +1 row for</w:t>
            </w:r>
            <w:r>
              <w:t xml:space="preserve"> </w:t>
            </w:r>
            <w:r>
              <w:rPr>
                <w:rStyle w:val="VerbatimChar"/>
              </w:rPr>
              <w:t xml:space="preserve">CoupledDownstreamCellLocationId</w:t>
            </w:r>
            <w:r>
              <w:t xml:space="preserve"> </w:t>
            </w:r>
            <w:r>
              <w:t xml:space="preserve">on the</w:t>
            </w:r>
            <w:r>
              <w:t xml:space="preserve"> </w:t>
            </w:r>
            <w:r>
              <w:rPr>
                <w:rStyle w:val="VerbatimChar"/>
              </w:rPr>
              <w:t xml:space="preserve">CNCMachine</w:t>
            </w:r>
            <w:r>
              <w:t xml:space="preserve"> </w:t>
            </w:r>
            <w:r>
              <w:t xml:space="preserve">definition. No other schema changes.</w:t>
            </w:r>
          </w:p>
        </w:tc>
      </w:tr>
      <w:tr>
        <w:tc>
          <w:tcPr>
            <w:shd w:val="clear" w:color="auto" w:fill="F2F2F2"/>
          </w:tcPr>
          <w:tcPr/>
          <w:p>
            <w:pPr>
              <w:pStyle w:val="Compact"/>
            </w:pPr>
            <w:r>
              <w:t xml:space="preserve">1.9j</w:t>
            </w:r>
          </w:p>
        </w:tc>
        <w:tc>
          <w:tcPr>
            <w:shd w:val="clear" w:color="auto" w:fill="F2F2F2"/>
          </w:tcPr>
          <w:tcPr/>
          <w:p>
            <w:pPr>
              <w:pStyle w:val="Compact"/>
            </w:pPr>
            <w:r>
              <w:t xml:space="preserve">2026-04-28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ContainerConfig —</w:t>
            </w:r>
            <w:r>
              <w:rPr>
                <w:b/>
                <w:bCs/>
              </w:rPr>
              <w:t xml:space="preserve"> </w:t>
            </w:r>
            <w:r>
              <w:rPr>
                <w:rStyle w:val="VerbatimChar"/>
                <w:b/>
                <w:bCs/>
              </w:rPr>
              <w:t xml:space="preserve">ClosureMethod</w:t>
            </w:r>
            <w:r>
              <w:rPr>
                <w:b/>
                <w:bCs/>
              </w:rPr>
              <w:t xml:space="preserve"> </w:t>
            </w:r>
            <w:r>
              <w:rPr>
                <w:b/>
                <w:bCs/>
              </w:rPr>
              <w:t xml:space="preserve">extended with</w:t>
            </w:r>
            <w:r>
              <w:rPr>
                <w:b/>
                <w:bCs/>
              </w:rPr>
              <w:t xml:space="preserve"> </w:t>
            </w:r>
            <w:r>
              <w:rPr>
                <w:rStyle w:val="VerbatimChar"/>
                <w:b/>
                <w:bCs/>
              </w:rPr>
              <w:t xml:space="preserve">ByVision</w:t>
            </w:r>
            <w:r>
              <w:rPr>
                <w:b/>
                <w:bCs/>
              </w:rPr>
              <w:t xml:space="preserve">.</w:t>
            </w:r>
            <w:r>
              <w:t xml:space="preserve"> </w:t>
            </w:r>
            <w:r>
              <w:t xml:space="preserve">Camera-validated container closure added per Jacques’s 2026-04-28 review: a third trigger alongside the existing count and weight modes. Camera validates each part (pass/fail), PLC accumulates the validated count, asserts</w:t>
            </w:r>
            <w:r>
              <w:t xml:space="preserve"> </w:t>
            </w:r>
            <w:r>
              <w:rPr>
                <w:rStyle w:val="VerbatimChar"/>
              </w:rPr>
              <w:t xml:space="preserve">ContainerFullFlag</w:t>
            </w:r>
            <w:r>
              <w:t xml:space="preserve"> </w:t>
            </w:r>
            <w:r>
              <w:t xml:space="preserve">when target met. Code values renamed to UpperCamelCase per project convention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previously documented as</w:t>
            </w:r>
            <w:r>
              <w:t xml:space="preserve"> </w:t>
            </w:r>
            <w:r>
              <w:rPr>
                <w:rStyle w:val="VerbatimChar"/>
              </w:rPr>
              <w:t xml:space="preserve">BY_COUNT</w:t>
            </w:r>
            <w:r>
              <w:t xml:space="preserve"> </w:t>
            </w:r>
            <w:r>
              <w:t xml:space="preserve">/</w:t>
            </w:r>
            <w:r>
              <w:t xml:space="preserve"> </w:t>
            </w:r>
            <w:r>
              <w:rPr>
                <w:rStyle w:val="VerbatimChar"/>
              </w:rPr>
              <w:t xml:space="preserve">BY_WEIGHT</w:t>
            </w:r>
            <w:r>
              <w:t xml:space="preserve">).</w:t>
            </w:r>
            <w:r>
              <w:t xml:space="preserve"> </w:t>
            </w:r>
            <w:r>
              <w:t xml:space="preserve">“Pending OI-02 closure”</w:t>
            </w:r>
            <w:r>
              <w:t xml:space="preserve"> </w:t>
            </w:r>
            <w:r>
              <w:t xml:space="preserve">caveat retired (OI-02 ✅ Resolved 2026-04-24 per OIR v2.14). No schema change —</w:t>
            </w:r>
            <w:r>
              <w:t xml:space="preserve"> </w:t>
            </w:r>
            <w:r>
              <w:rPr>
                <w:rStyle w:val="VerbatimChar"/>
              </w:rPr>
              <w:t xml:space="preserve">ClosureMethod</w:t>
            </w:r>
            <w:r>
              <w:t xml:space="preserve"> </w:t>
            </w:r>
            <w:r>
              <w:t xml:space="preserve">is</w:t>
            </w:r>
            <w:r>
              <w:t xml:space="preserve"> </w:t>
            </w:r>
            <w:r>
              <w:rPr>
                <w:rStyle w:val="VerbatimChar"/>
              </w:rPr>
              <w:t xml:space="preserve">NVARCHAR(20) NULL</w:t>
            </w:r>
            <w:r>
              <w:t xml:space="preserve">; the new value is purely an additional allowed string. FDS-03-017 + FDS-06-014 are authoritative for the per-method mechanics.</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1.9i</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§3 ShippingLabel — UJ-18 Gateway-script-async print pattern.</w:t>
            </w:r>
            <w:r>
              <w:t xml:space="preserve"> </w:t>
            </w:r>
            <w:r>
              <w:rPr>
                <w:rStyle w:val="VerbatimChar"/>
              </w:rPr>
              <w:t xml:space="preserve">Lots.ShippingLabel</w:t>
            </w:r>
            <w:r>
              <w:t xml:space="preserve"> </w:t>
            </w:r>
            <w:r>
              <w:t xml:space="preserve">+5 columns:</w:t>
            </w:r>
            <w:r>
              <w:t xml:space="preserve"> </w:t>
            </w:r>
            <w:r>
              <w:rPr>
                <w:rStyle w:val="VerbatimChar"/>
              </w:rPr>
              <w:t xml:space="preserve">PrintAttempts INT DEFAULT 0</w:t>
            </w:r>
            <w:r>
              <w:t xml:space="preserve">,</w:t>
            </w:r>
            <w:r>
              <w:t xml:space="preserve"> </w:t>
            </w:r>
            <w:r>
              <w:rPr>
                <w:rStyle w:val="VerbatimChar"/>
              </w:rPr>
              <w:t xml:space="preserve">LastPrintAttemptAt DATETIME2(3) NULL</w:t>
            </w:r>
            <w:r>
              <w:t xml:space="preserve">,</w:t>
            </w:r>
            <w:r>
              <w:t xml:space="preserve"> </w:t>
            </w:r>
            <w:r>
              <w:rPr>
                <w:rStyle w:val="VerbatimChar"/>
              </w:rPr>
              <w:t xml:space="preserve">LastPrintError NVARCHAR(2000) NULL</w:t>
            </w:r>
            <w:r>
              <w:t xml:space="preserve">,</w:t>
            </w:r>
            <w:r>
              <w:t xml:space="preserve"> </w:t>
            </w:r>
            <w:r>
              <w:rPr>
                <w:rStyle w:val="VerbatimChar"/>
              </w:rPr>
              <w:t xml:space="preserve">PrintFailedAt DATETIME2(3) NULL</w:t>
            </w:r>
            <w:r>
              <w:t xml:space="preserve">,</w:t>
            </w:r>
            <w:r>
              <w:t xml:space="preserve"> </w:t>
            </w:r>
            <w:r>
              <w:rPr>
                <w:rStyle w:val="VerbatimChar"/>
              </w:rPr>
              <w:t xml:space="preserve">TerminalLocationId BIGINT FK → Location.Location.Id NULL</w:t>
            </w:r>
            <w:r>
              <w:t xml:space="preserve">. State derivation: Pending =</w:t>
            </w:r>
            <w:r>
              <w:t xml:space="preserve"> </w:t>
            </w:r>
            <w:r>
              <w:rPr>
                <w:rStyle w:val="VerbatimChar"/>
              </w:rPr>
              <w:t xml:space="preserve">PrintedAt IS NULL AND PrintFailedAt IS NULL</w:t>
            </w:r>
            <w:r>
              <w:t xml:space="preserve">; Completed =</w:t>
            </w:r>
            <w:r>
              <w:t xml:space="preserve"> </w:t>
            </w:r>
            <w:r>
              <w:rPr>
                <w:rStyle w:val="VerbatimChar"/>
              </w:rPr>
              <w:t xml:space="preserve">PrintedAt IS NOT NULL</w:t>
            </w:r>
            <w:r>
              <w:t xml:space="preserve">; Failed =</w:t>
            </w:r>
            <w:r>
              <w:t xml:space="preserve"> </w:t>
            </w:r>
            <w:r>
              <w:rPr>
                <w:rStyle w:val="VerbatimChar"/>
              </w:rPr>
              <w:t xml:space="preserve">PrintFailedAt IS NOT NULL</w:t>
            </w:r>
            <w:r>
              <w:t xml:space="preserve">. No separate queue table — print state lives on the audit row. FDS v0.11j companion. SQL deferred to Arc 2 Phase 7 alongside the rest of the Container schema.</w:t>
            </w:r>
          </w:p>
        </w:tc>
      </w:tr>
      <w:tr>
        <w:tc>
          <w:tcPr>
            <w:shd w:val="clear" w:color="auto" w:fill="F2F2F2"/>
          </w:tcPr>
          <w:tcPr/>
          <w:p>
            <w:pPr>
              <w:pStyle w:val="Compact"/>
            </w:pPr>
            <w:r>
              <w:t xml:space="preserve">1.9h</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UJ-04 —</w:t>
            </w:r>
            <w:r>
              <w:rPr>
                <w:b/>
                <w:bCs/>
              </w:rPr>
              <w:t xml:space="preserve"> </w:t>
            </w:r>
            <w:r>
              <w:rPr>
                <w:rStyle w:val="VerbatimChar"/>
                <w:b/>
                <w:bCs/>
              </w:rPr>
              <w:t xml:space="preserve">Lots.AimShipperIdPool</w:t>
            </w:r>
            <w:r>
              <w:rPr>
                <w:b/>
                <w:bCs/>
              </w:rPr>
              <w:t xml:space="preserve"> </w:t>
            </w:r>
            <w:r>
              <w:rPr>
                <w:b/>
                <w:bCs/>
              </w:rPr>
              <w:t xml:space="preserve">+</w:t>
            </w:r>
            <w:r>
              <w:rPr>
                <w:b/>
                <w:bCs/>
              </w:rPr>
              <w:t xml:space="preserve"> </w:t>
            </w:r>
            <w:r>
              <w:rPr>
                <w:rStyle w:val="VerbatimChar"/>
                <w:b/>
                <w:bCs/>
              </w:rPr>
              <w:t xml:space="preserve">Lots.AimPoolConfig</w:t>
            </w:r>
            <w:r>
              <w:rPr>
                <w:b/>
                <w:bCs/>
              </w:rPr>
              <w:t xml:space="preserve"> </w:t>
            </w:r>
            <w:r>
              <w:rPr>
                <w:b/>
                <w:bCs/>
              </w:rPr>
              <w:t xml:space="preserve">for synchronous container closure (zero AIM latency).</w:t>
            </w:r>
            <w:r>
              <w:t xml:space="preserve"> </w:t>
            </w:r>
            <w:r>
              <w:t xml:space="preserve">Per Jacques’s 2026-04-27 design lock: AIM Shipper IDs are pre-fetched into a local pool by a background Gateway script and consumed FIFO by</w:t>
            </w:r>
            <w:r>
              <w:t xml:space="preserve"> </w:t>
            </w:r>
            <w:r>
              <w:rPr>
                <w:rStyle w:val="VerbatimChar"/>
              </w:rPr>
              <w:t xml:space="preserve">Container_Complete</w:t>
            </w:r>
            <w:r>
              <w:t xml:space="preserve"> </w:t>
            </w:r>
            <w:r>
              <w:t xml:space="preserve">synchronously — never blocks production on AIM availability. Container closure with an empty pool</w:t>
            </w:r>
            <w:r>
              <w:t xml:space="preserve"> </w:t>
            </w:r>
            <w:r>
              <w:rPr>
                <w:b/>
                <w:bCs/>
              </w:rPr>
              <w:t xml:space="preserve">hard fails</w:t>
            </w:r>
            <w:r>
              <w:t xml:space="preserve"> </w:t>
            </w:r>
            <w:r>
              <w:t xml:space="preserve">(rejects close, operator sees error, line stops). All Assembly Lines have dedicated terminals; AIM IDs attach to Containers only (never sub-assemblies / sub-LOTs). New</w:t>
            </w:r>
            <w:r>
              <w:t xml:space="preserve"> </w:t>
            </w:r>
            <w:r>
              <w:rPr>
                <w:rStyle w:val="VerbatimChar"/>
              </w:rPr>
              <w:t xml:space="preserve">Lots.AimShipperIdPool</w:t>
            </w:r>
            <w:r>
              <w:t xml:space="preserve"> </w:t>
            </w:r>
            <w:r>
              <w:t xml:space="preserve">table:</w:t>
            </w:r>
            <w:r>
              <w:t xml:space="preserve"> </w:t>
            </w:r>
            <w:r>
              <w:rPr>
                <w:rStyle w:val="VerbatimChar"/>
              </w:rPr>
              <w:t xml:space="preserve">AimShipperId</w:t>
            </w:r>
            <w:r>
              <w:t xml:space="preserve"> </w:t>
            </w:r>
            <w:r>
              <w:t xml:space="preserve">(the Honda-issued ID, UNIQUE),</w:t>
            </w:r>
            <w:r>
              <w:t xml:space="preserve"> </w:t>
            </w:r>
            <w:r>
              <w:rPr>
                <w:rStyle w:val="VerbatimChar"/>
              </w:rPr>
              <w:t xml:space="preserve">FetchedAt</w:t>
            </w:r>
            <w:r>
              <w:t xml:space="preserve">,</w:t>
            </w:r>
            <w:r>
              <w:t xml:space="preserve"> </w:t>
            </w:r>
            <w:r>
              <w:rPr>
                <w:rStyle w:val="VerbatimChar"/>
              </w:rPr>
              <w:t xml:space="preserve">FetchedInterfaceLogId</w:t>
            </w:r>
            <w:r>
              <w:t xml:space="preserve"> </w:t>
            </w:r>
            <w:r>
              <w:t xml:space="preserve">FK →</w:t>
            </w:r>
            <w:r>
              <w:t xml:space="preserve"> </w:t>
            </w:r>
            <w:r>
              <w:rPr>
                <w:rStyle w:val="VerbatimChar"/>
              </w:rPr>
              <w:t xml:space="preserve">Audit.InterfaceLog</w:t>
            </w:r>
            <w:r>
              <w:t xml:space="preserve"> </w:t>
            </w:r>
            <w:r>
              <w:t xml:space="preserve">(provenance),</w:t>
            </w:r>
            <w:r>
              <w:t xml:space="preserve"> </w:t>
            </w:r>
            <w:r>
              <w:rPr>
                <w:rStyle w:val="VerbatimChar"/>
              </w:rPr>
              <w:t xml:space="preserve">ConsumedAt</w:t>
            </w:r>
            <w:r>
              <w:t xml:space="preserve"> </w:t>
            </w:r>
            <w:r>
              <w:t xml:space="preserve">/</w:t>
            </w:r>
            <w:r>
              <w:t xml:space="preserve"> </w:t>
            </w:r>
            <w:r>
              <w:rPr>
                <w:rStyle w:val="VerbatimChar"/>
              </w:rPr>
              <w:t xml:space="preserve">ConsumedByContainerId</w:t>
            </w:r>
            <w:r>
              <w:t xml:space="preserve"> </w:t>
            </w:r>
            <w:r>
              <w:t xml:space="preserve">FK →</w:t>
            </w:r>
            <w:r>
              <w:t xml:space="preserve"> </w:t>
            </w:r>
            <w:r>
              <w:rPr>
                <w:rStyle w:val="VerbatimChar"/>
              </w:rPr>
              <w:t xml:space="preserve">Lots.Container</w:t>
            </w:r>
            <w:r>
              <w:t xml:space="preserve"> </w:t>
            </w:r>
            <w:r>
              <w:t xml:space="preserve">/</w:t>
            </w:r>
            <w:r>
              <w:t xml:space="preserve"> </w:t>
            </w:r>
            <w:r>
              <w:rPr>
                <w:rStyle w:val="VerbatimChar"/>
              </w:rPr>
              <w:t xml:space="preserve">ConsumedByUserId</w:t>
            </w:r>
            <w:r>
              <w:t xml:space="preserve"> </w:t>
            </w:r>
            <w:r>
              <w:t xml:space="preserve">FK →</w:t>
            </w:r>
            <w:r>
              <w:t xml:space="preserve"> </w:t>
            </w:r>
            <w:r>
              <w:rPr>
                <w:rStyle w:val="VerbatimChar"/>
              </w:rPr>
              <w:t xml:space="preserve">Location.AppUser</w:t>
            </w:r>
            <w:r>
              <w:t xml:space="preserve"> </w:t>
            </w:r>
            <w:r>
              <w:t xml:space="preserve">(all NULL while available). Filtered index</w:t>
            </w:r>
            <w:r>
              <w:t xml:space="preserve"> </w:t>
            </w:r>
            <w:r>
              <w:rPr>
                <w:rStyle w:val="VerbatimChar"/>
              </w:rPr>
              <w:t xml:space="preserve">IX_AimShipperIdPool_Available (FetchedAt) WHERE ConsumedAt IS NULL</w:t>
            </w:r>
            <w:r>
              <w:t xml:space="preserve"> </w:t>
            </w:r>
            <w:r>
              <w:t xml:space="preserve">drives the FIFO claim.</w:t>
            </w:r>
            <w:r>
              <w:t xml:space="preserve"> </w:t>
            </w:r>
            <w:r>
              <w:rPr>
                <w:b/>
                <w:bCs/>
              </w:rPr>
              <w:t xml:space="preserve">No reuse on void</w:t>
            </w:r>
            <w:r>
              <w:t xml:space="preserve"> </w:t>
            </w:r>
            <w:r>
              <w:t xml:space="preserve">— once</w:t>
            </w:r>
            <w:r>
              <w:t xml:space="preserve"> </w:t>
            </w:r>
            <w:r>
              <w:rPr>
                <w:rStyle w:val="VerbatimChar"/>
              </w:rPr>
              <w:t xml:space="preserve">ConsumedAt</w:t>
            </w:r>
            <w:r>
              <w:t xml:space="preserve"> </w:t>
            </w:r>
            <w:r>
              <w:t xml:space="preserve">is set, the row never returns to available state regardless of subsequent container void / re-pack (Honda treats every issued ID as permanently consumed).</w:t>
            </w:r>
            <w:r>
              <w:t xml:space="preserve"> </w:t>
            </w:r>
            <w:r>
              <w:rPr>
                <w:b/>
                <w:bCs/>
              </w:rPr>
              <w:t xml:space="preserve">No expiry</w:t>
            </w:r>
            <w:r>
              <w:t xml:space="preserve"> </w:t>
            </w:r>
            <w:r>
              <w:t xml:space="preserve">— Honda doesn’t TTL Shipper IDs. New</w:t>
            </w:r>
            <w:r>
              <w:t xml:space="preserve"> </w:t>
            </w:r>
            <w:r>
              <w:rPr>
                <w:rStyle w:val="VerbatimChar"/>
              </w:rPr>
              <w:t xml:space="preserve">Lots.AimPoolConfig</w:t>
            </w:r>
            <w:r>
              <w:t xml:space="preserve"> </w:t>
            </w:r>
            <w:r>
              <w:t xml:space="preserve">single-row table (</w:t>
            </w:r>
            <w:r>
              <w:rPr>
                <w:rStyle w:val="VerbatimChar"/>
              </w:rPr>
              <w:t xml:space="preserve">Id INT CHECK Id=1</w:t>
            </w:r>
            <w:r>
              <w:t xml:space="preserve">) holds the operator-configurable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 </w:t>
            </w:r>
            <w:r>
              <w:t xml:space="preserve">(topup script refills toward target when below this),</w:t>
            </w:r>
            <w:r>
              <w:t xml:space="preserve"> </w:t>
            </w:r>
            <w:r>
              <w:rPr>
                <w:rStyle w:val="VerbatimChar"/>
              </w:rPr>
              <w:t xml:space="preserve">AlarmWarningDepth INT DEFAULT 20</w:t>
            </w:r>
            <w:r>
              <w:t xml:space="preserve"> </w:t>
            </w:r>
            <w:r>
              <w:t xml:space="preserve">(supervisor wallboard tile),</w:t>
            </w:r>
            <w:r>
              <w:t xml:space="preserve"> </w:t>
            </w:r>
            <w:r>
              <w:rPr>
                <w:rStyle w:val="VerbatimChar"/>
              </w:rPr>
              <w:t xml:space="preserve">AlarmCriticalDepth INT DEFAULT 10</w:t>
            </w:r>
            <w:r>
              <w:t xml:space="preserve"> </w:t>
            </w:r>
            <w:r>
              <w:t xml:space="preserve">(supervisor alarm + IT notification). Configuration Tool exposes the four thresholds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Procs (Arc 2 Phase 7):</w:t>
            </w:r>
            <w:r>
              <w:t xml:space="preserve"> </w:t>
            </w:r>
            <w:r>
              <w:rPr>
                <w:rStyle w:val="VerbatimChar"/>
              </w:rPr>
              <w:t xml:space="preserve">Lots.AimShipperIdPool_Claim</w:t>
            </w:r>
            <w:r>
              <w:t xml:space="preserve"> </w:t>
            </w:r>
            <w:r>
              <w:t xml:space="preserve">(atomic FIFO claim using</w:t>
            </w:r>
            <w:r>
              <w:t xml:space="preserve"> </w:t>
            </w:r>
            <w:r>
              <w:rPr>
                <w:rStyle w:val="VerbatimChar"/>
              </w:rPr>
              <w:t xml:space="preserve">UPDATE TOP (1) WITH (UPDLOCK, READPAST, ROWLOCK) ... OUTPUT ... ORDER BY FetchedAt</w:t>
            </w:r>
            <w:r>
              <w:t xml:space="preserve">, raises on empty pool — caller’s transaction ROLLBACKs the container close),</w:t>
            </w:r>
            <w:r>
              <w:t xml:space="preserve"> </w:t>
            </w:r>
            <w:r>
              <w:rPr>
                <w:rStyle w:val="VerbatimChar"/>
              </w:rPr>
              <w:t xml:space="preserve">_Topup</w:t>
            </w:r>
            <w:r>
              <w:t xml:space="preserve">,</w:t>
            </w:r>
            <w:r>
              <w:t xml:space="preserve"> </w:t>
            </w:r>
            <w:r>
              <w:rPr>
                <w:rStyle w:val="VerbatimChar"/>
              </w:rPr>
              <w:t xml:space="preserve">_GetDepth</w:t>
            </w:r>
            <w:r>
              <w:t xml:space="preserve">,</w:t>
            </w:r>
            <w:r>
              <w:t xml:space="preserve"> </w:t>
            </w:r>
            <w:r>
              <w:rPr>
                <w:rStyle w:val="VerbatimChar"/>
              </w:rPr>
              <w:t xml:space="preserve">_GetByContainer</w:t>
            </w:r>
            <w:r>
              <w:t xml:space="preserve">.</w:t>
            </w:r>
            <w:r>
              <w:t xml:space="preserve"> </w:t>
            </w:r>
            <w:r>
              <w:rPr>
                <w:rStyle w:val="VerbatimChar"/>
              </w:rPr>
              <w:t xml:space="preserve">Audit.LogEntityType</w:t>
            </w:r>
            <w:r>
              <w:t xml:space="preserve"> </w:t>
            </w:r>
            <w:r>
              <w:t xml:space="preserve">+2 rows (</w:t>
            </w:r>
            <w:r>
              <w:rPr>
                <w:rStyle w:val="VerbatimChar"/>
              </w:rPr>
              <w:t xml:space="preserve">AimShipperIdPool</w:t>
            </w:r>
            <w:r>
              <w:t xml:space="preserve">,</w:t>
            </w:r>
            <w:r>
              <w:t xml:space="preserve"> </w:t>
            </w:r>
            <w:r>
              <w:rPr>
                <w:rStyle w:val="VerbatimChar"/>
              </w:rPr>
              <w:t xml:space="preserve">AimPoolConfig</w:t>
            </w:r>
            <w:r>
              <w:t xml:space="preserve">) at Arc 2 Phase 7. SQL deferred to Arc 2 Phase 7 (Container schema doesn’t yet exist either).</w:t>
            </w:r>
          </w:p>
        </w:tc>
      </w:tr>
      <w:tr>
        <w:tc>
          <w:tcPr/>
          <w:p>
            <w:pPr>
              <w:pStyle w:val="Compact"/>
            </w:pPr>
            <w:r>
              <w:t xml:space="preserve">1.9g</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OI-21 —</w:t>
            </w:r>
            <w:r>
              <w:rPr>
                <w:b/>
                <w:bCs/>
              </w:rPr>
              <w:t xml:space="preserve"> </w:t>
            </w:r>
            <w:r>
              <w:rPr>
                <w:rStyle w:val="VerbatimChar"/>
                <w:b/>
                <w:bCs/>
              </w:rPr>
              <w:t xml:space="preserve">Lots.PauseEvent</w:t>
            </w:r>
            <w:r>
              <w:rPr>
                <w:b/>
                <w:bCs/>
              </w:rPr>
              <w:t xml:space="preserve"> </w:t>
            </w:r>
            <w:r>
              <w:rPr>
                <w:b/>
                <w:bCs/>
              </w:rPr>
              <w:t xml:space="preserve">table for Pausable LOT at Workstation.</w:t>
            </w:r>
            <w:r>
              <w:t xml:space="preserve"> </w:t>
            </w:r>
            <w:r>
              <w:t xml:space="preserve">Per Jacques’s 2026-04-27 design lock: pause is a (Lot, Location) lifecycle event — operator pauses a partially-progressed LOT at a Cell to attend to a different LOT at the same Cell, returns later (could be the next shift, by a different operator). New append-only table</w:t>
            </w:r>
            <w:r>
              <w:t xml:space="preserve"> </w:t>
            </w:r>
            <w:r>
              <w:rPr>
                <w:rStyle w:val="VerbatimChar"/>
              </w:rPr>
              <w:t xml:space="preserve">Lots.PauseEvent</w:t>
            </w:r>
            <w:r>
              <w:t xml:space="preserve"> </w:t>
            </w:r>
            <w:r>
              <w:t xml:space="preserve">with open + close lifecycle (mirrors</w:t>
            </w:r>
            <w:r>
              <w:t xml:space="preserve"> </w:t>
            </w:r>
            <w:r>
              <w:rPr>
                <w:rStyle w:val="VerbatimChar"/>
              </w:rPr>
              <w:t xml:space="preserve">Quality.HoldEvent</w:t>
            </w:r>
            <w:r>
              <w:t xml:space="preserve"> </w:t>
            </w:r>
            <w:r>
              <w:t xml:space="preserve">shape):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w:t>
            </w:r>
            <w:r>
              <w:t xml:space="preserve">/</w:t>
            </w:r>
            <w:r>
              <w:rPr>
                <w:rStyle w:val="VerbatimChar"/>
              </w:rPr>
              <w:t xml:space="preserve">ResumedAt</w:t>
            </w:r>
            <w:r>
              <w:t xml:space="preserve">/</w:t>
            </w:r>
            <w:r>
              <w:rPr>
                <w:rStyle w:val="VerbatimChar"/>
              </w:rPr>
              <w:t xml:space="preserve">ResumedRemarks</w:t>
            </w:r>
            <w:r>
              <w:t xml:space="preserve">. CHECK pairing on resume columns; filtered UNIQUE on</w:t>
            </w:r>
            <w:r>
              <w:t xml:space="preserve"> </w:t>
            </w:r>
            <w:r>
              <w:rPr>
                <w:rStyle w:val="VerbatimChar"/>
              </w:rPr>
              <w:t xml:space="preserve">(LotId, LocationId) WHERE ResumedAt IS NULL</w:t>
            </w:r>
            <w:r>
              <w:t xml:space="preserve"> </w:t>
            </w:r>
            <w:r>
              <w:t xml:space="preserve">(at most one open pause per LOT-at-Location — same LOT MAY pause at multiple Cells simultaneously, e.g., Machining + Assembly partial-progress). No TTL — paused LOTs persist indefinitely; manual operational cleanup.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 </w:t>
            </w:r>
            <w:r>
              <w:t xml:space="preserve">and</w:t>
            </w:r>
            <w:r>
              <w:t xml:space="preserve"> </w:t>
            </w:r>
            <w:r>
              <w:rPr>
                <w:rStyle w:val="VerbatimChar"/>
              </w:rPr>
              <w:t xml:space="preserve">Workorder.OperationStatus</w:t>
            </w:r>
            <w:r>
              <w:t xml:space="preserve"> </w:t>
            </w:r>
            <w:r>
              <w:t xml:space="preserve">— no</w:t>
            </w:r>
            <w:r>
              <w:t xml:space="preserve"> </w:t>
            </w:r>
            <w:r>
              <w:rPr>
                <w:rStyle w:val="VerbatimChar"/>
              </w:rPr>
              <w:t xml:space="preserve">Paused</w:t>
            </w:r>
            <w:r>
              <w:t xml:space="preserve"> </w:t>
            </w:r>
            <w:r>
              <w:t xml:space="preserve">rows added to those code tables (WO/WOO are MVP-LITE/invisible per OI-07; pause is a LOT-level operator workflow concept). No</w:t>
            </w:r>
            <w:r>
              <w:t xml:space="preserve"> </w:t>
            </w:r>
            <w:r>
              <w:rPr>
                <w:rStyle w:val="VerbatimChar"/>
              </w:rPr>
              <w:t xml:space="preserve">Paused</w:t>
            </w:r>
            <w:r>
              <w:t xml:space="preserve"> </w:t>
            </w:r>
            <w:r>
              <w:t xml:space="preserve">row added to</w:t>
            </w:r>
            <w:r>
              <w:t xml:space="preserve"> </w:t>
            </w:r>
            <w:r>
              <w:rPr>
                <w:rStyle w:val="VerbatimChar"/>
              </w:rPr>
              <w:t xml:space="preserve">Lots.LotStatusCode</w:t>
            </w:r>
            <w:r>
              <w:t xml:space="preserve"> </w:t>
            </w:r>
            <w:r>
              <w:t xml:space="preserve">— pause is a transient operator focus shift, not a LOT quality status.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 alongside the rest of the Lots schema CREATE. FDS-05-038 authoritative. SQL deferred to Arc 2 Phase 1 (Lots schema does not yet exist in the Phase 1–8 codebase).</w:t>
            </w:r>
          </w:p>
        </w:tc>
      </w:tr>
      <w:tr>
        <w:tc>
          <w:tcPr>
            <w:shd w:val="clear" w:color="auto" w:fill="F2F2F2"/>
          </w:tcPr>
          <w:tcPr/>
          <w:p>
            <w:pPr>
              <w:pStyle w:val="Compact"/>
            </w:pPr>
            <w:r>
              <w:t xml:space="preserve">1.9f</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p>
            <w:pPr>
              <w:pStyle w:val="Compact"/>
            </w:pPr>
            <w:r>
              <w:t xml:space="preserve">1.9e</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shd w:val="clear" w:color="auto" w:fill="F2F2F2"/>
          </w:tcPr>
          <w:tcPr/>
          <w:p>
            <w:pPr>
              <w:pStyle w:val="Compact"/>
            </w:pPr>
            <w:r>
              <w:t xml:space="preserve">1.9d</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p>
            <w:pPr>
              <w:pStyle w:val="Compact"/>
            </w:pPr>
            <w:r>
              <w:t xml:space="preserve">1.9c</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shd w:val="clear" w:color="auto" w:fill="F2F2F2"/>
          </w:tcPr>
          <w:tcPr/>
          <w:p>
            <w:pPr>
              <w:pStyle w:val="Compact"/>
            </w:pPr>
            <w:r>
              <w:t xml:space="preserve">1.9b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p>
            <w:pPr>
              <w:pStyle w:val="Compact"/>
            </w:pPr>
            <w:r>
              <w:t xml:space="preserve">1.9</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shd w:val="clear" w:color="auto" w:fill="F2F2F2"/>
          </w:tcPr>
          <w:tcPr/>
          <w:p>
            <w:pPr>
              <w:pStyle w:val="Compact"/>
            </w:pPr>
            <w:r>
              <w:t xml:space="preserve">1.8-rev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p>
            <w:pPr>
              <w:pStyle w:val="Compact"/>
            </w:pPr>
            <w:r>
              <w:t xml:space="preserve">1.7</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shd w:val="clear" w:color="auto" w:fill="F2F2F2"/>
          </w:tcPr>
          <w:tcPr/>
          <w:p>
            <w:pPr>
              <w:pStyle w:val="Compact"/>
            </w:pPr>
            <w:r>
              <w:t xml:space="preserve">1.6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p>
            <w:pPr>
              <w:pStyle w:val="Compact"/>
            </w:pPr>
            <w:r>
              <w:t xml:space="preserve">1.5</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shd w:val="clear" w:color="auto" w:fill="F2F2F2"/>
          </w:tcPr>
          <w:tcPr/>
          <w:p>
            <w:pPr>
              <w:pStyle w:val="Compact"/>
            </w:pPr>
            <w:r>
              <w:t xml:space="preserve">1.4</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p>
            <w:pPr>
              <w:pStyle w:val="Compact"/>
            </w:pPr>
            <w:r>
              <w:t xml:space="preserve">1.3</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shd w:val="clear" w:color="auto" w:fill="F2F2F2"/>
          </w:tcPr>
          <w:tcPr/>
          <w:p>
            <w:pPr>
              <w:pStyle w:val="Compact"/>
            </w:pPr>
            <w:r>
              <w:t xml:space="preserve">1.2</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p>
            <w:pPr>
              <w:pStyle w:val="Compact"/>
            </w:pPr>
            <w:r>
              <w:t xml:space="preserve">1.0</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shd w:val="clear" w:color="auto" w:fill="F2F2F2"/>
          </w:tcPr>
          <w:tcPr/>
          <w:p>
            <w:pPr>
              <w:pStyle w:val="Compact"/>
            </w:pPr>
            <w:r>
              <w:t xml:space="preserve">0.9</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p>
            <w:pPr>
              <w:pStyle w:val="Compact"/>
            </w:pPr>
            <w:r>
              <w:t xml:space="preserve">0.8</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shd w:val="clear" w:color="auto" w:fill="F2F2F2"/>
          </w:tcPr>
          <w:tcPr/>
          <w:p>
            <w:pPr>
              <w:pStyle w:val="Compact"/>
            </w:pPr>
            <w:r>
              <w:t xml:space="preserve">0.7</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RefCycleTimeSec</w:t>
      </w:r>
      <w:r>
        <w:t xml:space="preserve">. Different definitions carry different attribute sets. (Cavity count is</w:t>
      </w:r>
      <w:r>
        <w:t xml:space="preserve"> </w:t>
      </w:r>
      <w:r>
        <w:rPr>
          <w:b/>
          <w:bCs/>
        </w:rPr>
        <w:t xml:space="preserve">not</w:t>
      </w:r>
      <w:r>
        <w:t xml:space="preserve"> </w:t>
      </w:r>
      <w:r>
        <w:t xml:space="preserve">a press attribute — cavities belong to the die; see</w:t>
      </w:r>
      <w:r>
        <w:t xml:space="preserv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in §7.)</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Operator HMI station — mode derived from parent tier (Cell-parent = Dedicated; WorkCenter- or Area-parent = Shared, per FDS-02-010)</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Cavity count is not a press attribute.</w:t>
      </w:r>
      <w:r>
        <w:t xml:space="preserve"> </w:t>
      </w:r>
      <w:r>
        <w:t xml:space="preserve">Cavities belong to the die that’s currently mounted on the press, not to the press itself. See</w:t>
      </w:r>
      <w:r>
        <w:t xml:space="preserve"> </w:t>
      </w:r>
      <w:r>
        <w:rPr>
          <w:rStyle w:val="VerbatimChar"/>
        </w:rPr>
        <w:t xml:space="preserve">Tools.Tool</w:t>
      </w:r>
      <w:r>
        <w:t xml:space="preserve"> </w:t>
      </w:r>
      <w:r>
        <w:t xml:space="preserve">(</w:t>
      </w:r>
      <w:r>
        <w:rPr>
          <w:rStyle w:val="VerbatimChar"/>
        </w:rPr>
        <w:t xml:space="preserve">HasCavities=1</w:t>
      </w:r>
      <w:r>
        <w:t xml:space="preserve"> </w:t>
      </w:r>
      <w:r>
        <w:t xml:space="preserve">for Die-type Tools) and</w:t>
      </w:r>
      <w:r>
        <w:t xml:space="preserve"> </w:t>
      </w:r>
      <w:r>
        <w:rPr>
          <w:rStyle w:val="VerbatimChar"/>
        </w:rPr>
        <w:t xml:space="preserve">Tools.ToolCavity</w:t>
      </w:r>
      <w:r>
        <w:t xml:space="preserve"> </w:t>
      </w:r>
      <w:r>
        <w:t xml:space="preserve">in §7. The press’s cavity behavior changes with each die change; the data model captures that via</w:t>
      </w:r>
      <w:r>
        <w:t xml:space="preserve"> </w:t>
      </w:r>
      <w:r>
        <w:rPr>
          <w:rStyle w:val="VerbatimChar"/>
        </w:rPr>
        <w:t xml:space="preserve">Tools.ToolAssignment</w:t>
      </w:r>
      <w:r>
        <w:t xml:space="preserve"> </w:t>
      </w:r>
      <w:r>
        <w:t xml:space="preserve">(which die is currently on which Cell) rather than as a fixed press attribute.</w:t>
      </w:r>
    </w:p>
    <w:p>
      <w:pPr>
        <w:pStyle w:val="FirstParagraph"/>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p>
      <w:pPr>
        <w:pStyle w:val="BlockText"/>
      </w:pPr>
      <w:r>
        <w:t xml:space="preserve">The</w:t>
      </w:r>
      <w:r>
        <w:t xml:space="preserve"> </w:t>
      </w:r>
      <w:r>
        <w:rPr>
          <w:rStyle w:val="VerbatimChar"/>
        </w:rPr>
        <w:t xml:space="preserve">CNCMachine</w:t>
      </w:r>
      <w:r>
        <w:t xml:space="preserve"> </w:t>
      </w:r>
      <w:r>
        <w:t xml:space="preserve">definition’s machining→assembly auto-move pairing is</w:t>
      </w:r>
      <w:r>
        <w:t xml:space="preserve"> </w:t>
      </w:r>
      <w:r>
        <w:rPr>
          <w:b/>
          <w:bCs/>
        </w:rPr>
        <w:t xml:space="preserve">not</w:t>
      </w:r>
      <w:r>
        <w:t xml:space="preserve"> </w:t>
      </w:r>
      <w:r>
        <w:t xml:space="preserve">an EAV attribute —</w:t>
      </w:r>
      <w:r>
        <w:t xml:space="preserve"> </w:t>
      </w:r>
      <w:r>
        <w:rPr>
          <w:rStyle w:val="VerbatimChar"/>
        </w:rPr>
        <w:t xml:space="preserve">CoupledDownstreamCellLocationId</w:t>
      </w:r>
      <w:r>
        <w:t xml:space="preserve"> </w:t>
      </w:r>
      <w:r>
        <w:t xml:space="preserve">is a typed self-FK column on</w:t>
      </w:r>
      <w:r>
        <w:t xml:space="preserve"> </w:t>
      </w:r>
      <w:r>
        <w:rPr>
          <w:rStyle w:val="VerbatimChar"/>
        </w:rPr>
        <w:t xml:space="preserve">Location.Location</w:t>
      </w:r>
      <w:r>
        <w:t xml:space="preserve"> </w:t>
      </w:r>
      <w:r>
        <w:t xml:space="preserve">(see the Location table below). Promoted out of the attribute model in v1.9p because it is a</w:t>
      </w:r>
      <w:r>
        <w:t xml:space="preserve"> </w:t>
      </w:r>
      <w:r>
        <w:rPr>
          <w:rStyle w:val="VerbatimChar"/>
        </w:rPr>
        <w:t xml:space="preserve">Location → Location</w:t>
      </w:r>
      <w:r>
        <w:t xml:space="preserve"> </w:t>
      </w:r>
      <w:r>
        <w:t xml:space="preserve">relationship read on the hot path of every coupled Machining OUT (FDS-06-008).</w:t>
      </w:r>
    </w:p>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CoupledDownstreamCellLocationId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(self), NULL</w:t>
            </w:r>
          </w:p>
        </w:tc>
        <w:tc>
          <w:tcPr>
            <w:shd w:val="clear" w:color="auto" w:fill="F2F2F2"/>
          </w:tcPr>
          <w:tcPr/>
          <w:p>
            <w:pPr>
              <w:pStyle w:val="Compact"/>
            </w:pPr>
            <w:r>
              <w:rPr>
                <w:b/>
                <w:bCs/>
              </w:rPr>
              <w:t xml:space="preserve">Typed column (was a</w:t>
            </w:r>
            <w:r>
              <w:rPr>
                <w:b/>
                <w:bCs/>
              </w:rPr>
              <w:t xml:space="preserve"> </w:t>
            </w:r>
            <w:r>
              <w:rPr>
                <w:rStyle w:val="VerbatimChar"/>
                <w:b/>
                <w:bCs/>
              </w:rPr>
              <w:t xml:space="preserve">CNCMachine</w:t>
            </w:r>
            <w:r>
              <w:rPr>
                <w:b/>
                <w:bCs/>
              </w:rPr>
              <w:t xml:space="preserve"> </w:t>
            </w:r>
            <w:r>
              <w:rPr>
                <w:b/>
                <w:bCs/>
              </w:rPr>
              <w:t xml:space="preserve">LocationAttribute pre-v1.9p).</w:t>
            </w:r>
            <w:r>
              <w:t xml:space="preserve"> </w:t>
            </w:r>
            <w:r>
              <w:t xml:space="preserve">On a Machining Cell, the</w:t>
            </w:r>
            <w:r>
              <w:t xml:space="preserve"> </w:t>
            </w:r>
            <w:r>
              <w:rPr>
                <w:rStyle w:val="VerbatimChar"/>
              </w:rPr>
              <w:t xml:space="preserve">Location.Id</w:t>
            </w:r>
            <w:r>
              <w:t xml:space="preserve"> </w:t>
            </w:r>
            <w:r>
              <w:t xml:space="preserve">of the Cell that machined LOTs auto-move to on Machining OUT (FDS-06-008) — typically the paired Assembly Cell in the same WorkCenter. When non-NULL, PLC-signalled machining completion writes a</w:t>
            </w:r>
            <w:r>
              <w:t xml:space="preserve"> </w:t>
            </w:r>
            <w:r>
              <w:rPr>
                <w:rStyle w:val="VerbatimChar"/>
              </w:rPr>
              <w:t xml:space="preserve">Workorder.ProductionEvent</w:t>
            </w:r>
            <w:r>
              <w:t xml:space="preserve"> </w:t>
            </w:r>
            <w:r>
              <w:t xml:space="preserve">+ a</w:t>
            </w:r>
            <w:r>
              <w:t xml:space="preserve"> </w:t>
            </w:r>
            <w:r>
              <w:rPr>
                <w:rStyle w:val="VerbatimChar"/>
              </w:rPr>
              <w:t xml:space="preserve">Lots.LotMovement</w:t>
            </w:r>
            <w:r>
              <w:t xml:space="preserve"> </w:t>
            </w:r>
            <w:r>
              <w:t xml:space="preserve">from this Cell to the referenced Cell and updates the LOT’s</w:t>
            </w:r>
            <w:r>
              <w:t xml:space="preserve"> </w:t>
            </w:r>
            <w:r>
              <w:rPr>
                <w:rStyle w:val="VerbatimChar"/>
              </w:rPr>
              <w:t xml:space="preserve">CurrentLocationId</w:t>
            </w:r>
            <w:r>
              <w:t xml:space="preserve"> </w:t>
            </w:r>
            <w:r>
              <w:t xml:space="preserve">— no operator scan. NULL = uncoupled/legacy path: completion writes the</w:t>
            </w:r>
            <w:r>
              <w:t xml:space="preserve"> </w:t>
            </w:r>
            <w:r>
              <w:rPr>
                <w:rStyle w:val="VerbatimChar"/>
              </w:rPr>
              <w:t xml:space="preserve">ProductionEvent</w:t>
            </w:r>
            <w:r>
              <w:t xml:space="preserve"> </w:t>
            </w:r>
            <w:r>
              <w:t xml:space="preserve">only and the LOT stays put awaiting operator-driven movement. The self-FK gives referential integrity; the</w:t>
            </w:r>
            <w:r>
              <w:t xml:space="preserve"> </w:t>
            </w:r>
            <w:r>
              <w:t xml:space="preserve">“target must be a Cell-tier (Assembly) Location”</w:t>
            </w:r>
            <w:r>
              <w:t xml:space="preserve"> </w:t>
            </w:r>
            <w:r>
              <w:t xml:space="preserve">rule is enforced by the Arc 2 write/config-save proc, not a CHECK (mirrors</w:t>
            </w:r>
            <w:r>
              <w:t xml:space="preserve"> </w:t>
            </w:r>
            <w:r>
              <w:rPr>
                <w:rStyle w:val="VerbatimChar"/>
              </w:rPr>
              <w:t xml:space="preserve">Tools.ToolType.CompatibleLocationTypeDefinitionId</w:t>
            </w:r>
            <w:r>
              <w:t xml:space="preserve">). Migration</w:t>
            </w:r>
            <w:r>
              <w:t xml:space="preserve"> </w:t>
            </w:r>
            <w:r>
              <w:rPr>
                <w:rStyle w:val="VerbatimChar"/>
              </w:rPr>
              <w:t xml:space="preserve">0019_location_coupled_downstream_cell</w:t>
            </w:r>
            <w:r>
              <w:t xml:space="preserve">.</w:t>
            </w: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p>
      <w:pPr>
        <w:pStyle w:val="BlockText"/>
      </w:pPr>
      <w:r>
        <w:rPr>
          <w:b/>
          <w:bCs/>
        </w:rPr>
        <w:t xml:space="preserve">Why</w:t>
      </w:r>
      <w:r>
        <w:rPr>
          <w:b/>
          <w:bCs/>
        </w:rPr>
        <w:t xml:space="preserve"> </w:t>
      </w:r>
      <w:r>
        <w:rPr>
          <w:rStyle w:val="VerbatimChar"/>
          <w:b/>
          <w:bCs/>
        </w:rPr>
        <w:t xml:space="preserve">CoupledDownstreamCellLocationId</w:t>
      </w:r>
      <w:r>
        <w:rPr>
          <w:b/>
          <w:bCs/>
        </w:rPr>
        <w:t xml:space="preserve"> </w:t>
      </w:r>
      <w:r>
        <w:rPr>
          <w:b/>
          <w:bCs/>
        </w:rPr>
        <w:t xml:space="preserve">is a typed self-FK, not a</w:t>
      </w:r>
      <w:r>
        <w:rPr>
          <w:b/>
          <w:bCs/>
        </w:rPr>
        <w:t xml:space="preserve"> </w:t>
      </w:r>
      <w:r>
        <w:rPr>
          <w:rStyle w:val="VerbatimChar"/>
          <w:b/>
          <w:bCs/>
        </w:rPr>
        <w:t xml:space="preserve">LocationAttribute</w:t>
      </w:r>
      <w:r>
        <w:rPr>
          <w:b/>
          <w:bCs/>
        </w:rPr>
        <w:t xml:space="preserve"> </w:t>
      </w:r>
      <w:r>
        <w:rPr>
          <w:b/>
          <w:bCs/>
        </w:rPr>
        <w:t xml:space="preserve">(v1.9p):</w:t>
      </w:r>
      <w:r>
        <w:t xml:space="preserve"> </w:t>
      </w:r>
      <w:r>
        <w:t xml:space="preserve">it is a</w:t>
      </w:r>
      <w:r>
        <w:t xml:space="preserve"> </w:t>
      </w:r>
      <w:r>
        <w:rPr>
          <w:rStyle w:val="VerbatimChar"/>
        </w:rPr>
        <w:t xml:space="preserve">Location → Location</w:t>
      </w:r>
      <w:r>
        <w:t xml:space="preserve"> </w:t>
      </w:r>
      <w:r>
        <w:t xml:space="preserve">relationship read on the hot path of every coupled Machining-OUT completion. As an EAV</w:t>
      </w:r>
      <w:r>
        <w:t xml:space="preserve"> </w:t>
      </w:r>
      <w:r>
        <w:rPr>
          <w:rStyle w:val="VerbatimChar"/>
        </w:rPr>
        <w:t xml:space="preserve">LocationAttribute.AttributeValue NVARCHAR(255)</w:t>
      </w:r>
      <w:r>
        <w:t xml:space="preserve"> </w:t>
      </w:r>
      <w:r>
        <w:t xml:space="preserve">it carried no referential integrity (could dangle to a deprecated / non-Cell row) and forced a string→Id pivot per event. Promoted to a typed column</w:t>
      </w:r>
      <w:r>
        <w:t xml:space="preserve"> </w:t>
      </w:r>
      <w:r>
        <w:rPr>
          <w:b/>
          <w:bCs/>
        </w:rPr>
        <w:t xml:space="preserve">before</w:t>
      </w:r>
      <w:r>
        <w:t xml:space="preserve"> </w:t>
      </w:r>
      <w:r>
        <w:t xml:space="preserve">the Arc 2 auto-move flow consumes it (cheapest moment — it was spec’d but never seeded, so no value backfill). The generic LocationAttribute editor no longer manages it; surfacing it in</w:t>
      </w:r>
      <w:r>
        <w:t xml:space="preserve"> </w:t>
      </w:r>
      <w:r>
        <w:rPr>
          <w:rStyle w:val="VerbatimChar"/>
        </w:rPr>
        <w:t xml:space="preserve">Location_Get</w:t>
      </w:r>
      <w:r>
        <w:t xml:space="preserve"> </w:t>
      </w:r>
      <w:r>
        <w:t xml:space="preserve">+ a Config Tool Cell-picker dropdown is Arc 2 wiring — the column exists and is integrity-checked now.</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WorkCenter- or Area-parented terminals operate in</w:t>
      </w:r>
      <w:r>
        <w:t xml:space="preserve"> </w:t>
      </w:r>
      <w:r>
        <w:rPr>
          <w:b/>
          <w:bCs/>
        </w:rPr>
        <w:t xml:space="preserve">Shared</w:t>
      </w:r>
      <w:r>
        <w:t xml:space="preserve"> </w:t>
      </w:r>
      <w:r>
        <w:t xml:space="preserve">mode (operator selects the active Cell at session start by scan</w:t>
      </w:r>
      <w:r>
        <w:t xml:space="preserve"> </w:t>
      </w:r>
      <w:r>
        <w:rPr>
          <w:b/>
          <w:bCs/>
        </w:rPr>
        <w:t xml:space="preserve">or</w:t>
      </w:r>
      <w:r>
        <w:t xml:space="preserve"> </w:t>
      </w:r>
      <w:r>
        <w:t xml:space="preserve">dropdown, MAY switch mid-session by either mechanism). Descendant Cells of the terminal’s parent Location define the eligible context set on Shared terminals.</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(the active Cell context — either fixed by parent on Dedicated terminals or selected by scan/dropdown on Shared terminals)</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p>
      <w:pPr>
        <w:pStyle w:val="BodyText"/>
      </w:pPr>
      <w:r>
        <w:rPr>
          <w:b/>
          <w:bCs/>
        </w:rPr>
        <w:t xml:space="preserve">Views (v1.9l):</w:t>
      </w:r>
      <w:r>
        <w:t xml:space="preserve"> </w:t>
      </w:r>
      <w:r>
        <w:rPr>
          <w:rStyle w:val="VerbatimChar"/>
        </w:rPr>
        <w:t xml:space="preserve">Parts.v_EffectiveItemLocation (LocationId, ItemId, Source)</w:t>
      </w:r>
      <w:r>
        <w:t xml:space="preserve"> </w:t>
      </w:r>
      <w:r>
        <w:t xml:space="preserve">— fronts the FDS-02-012 eligibility check at scan-in. Computes the union of two paths:</w:t>
      </w:r>
      <w:r>
        <w:t xml:space="preserve"> </w:t>
      </w:r>
      <w:r>
        <w:rPr>
          <w:b/>
          <w:bCs/>
        </w:rPr>
        <w:t xml:space="preserve">Direct</w:t>
      </w:r>
      <w:r>
        <w:t xml:space="preserve"> </w:t>
      </w:r>
      <w:r>
        <w:t xml:space="preserve">= a</w:t>
      </w:r>
      <w:r>
        <w:t xml:space="preserve"> </w:t>
      </w:r>
      <w:r>
        <w:rPr>
          <w:rStyle w:val="VerbatimChar"/>
        </w:rPr>
        <w:t xml:space="preserve">Parts.ItemLocation</w:t>
      </w:r>
      <w:r>
        <w:t xml:space="preserve"> </w:t>
      </w:r>
      <w:r>
        <w:t xml:space="preserve">row exists for the LOT’s</w:t>
      </w:r>
      <w:r>
        <w:t xml:space="preserve"> </w:t>
      </w:r>
      <w:r>
        <w:rPr>
          <w:rStyle w:val="VerbatimChar"/>
        </w:rPr>
        <w:t xml:space="preserve">ItemId</w:t>
      </w:r>
      <w:r>
        <w:t xml:space="preserve"> </w:t>
      </w:r>
      <w:r>
        <w:t xml:space="preserve">at the scanned Cell or any ancestor tier (per FDS-03-014 hierarchy cascade — Cell → WorkCenter → Area → Site);</w:t>
      </w:r>
      <w:r>
        <w:t xml:space="preserve"> </w:t>
      </w:r>
      <w:r>
        <w:rPr>
          <w:b/>
          <w:bCs/>
        </w:rPr>
        <w:t xml:space="preserve">BomDerived</w:t>
      </w:r>
      <w:r>
        <w:t xml:space="preserve"> </w:t>
      </w:r>
      <w:r>
        <w:t xml:space="preserve">= 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resolves at this Cell. A LOT is eligible if</w:t>
      </w:r>
      <w:r>
        <w:t xml:space="preserve"> </w:t>
      </w:r>
      <w:r>
        <w:rPr>
          <w:b/>
          <w:bCs/>
        </w:rPr>
        <w:t xml:space="preserve">either</w:t>
      </w:r>
      <w:r>
        <w:t xml:space="preserve"> </w:t>
      </w:r>
      <w:r>
        <w:t xml:space="preserve">path matches. Active BOM membership requires</w:t>
      </w:r>
      <w:r>
        <w:t xml:space="preserve"> </w:t>
      </w:r>
      <w:r>
        <w:rPr>
          <w:rStyle w:val="VerbatimChar"/>
        </w:rPr>
        <w:t xml:space="preserve">Parts.Bom.PublishedAt IS NOT NULL AND Parts.Bom.DeprecatedAt IS NULL</w:t>
      </w:r>
      <w:r>
        <w:t xml:space="preserve">. The</w:t>
      </w:r>
      <w:r>
        <w:t xml:space="preserve"> </w:t>
      </w:r>
      <w:r>
        <w:rPr>
          <w:rStyle w:val="VerbatimChar"/>
        </w:rPr>
        <w:t xml:space="preserve">Source</w:t>
      </w:r>
      <w:r>
        <w:t xml:space="preserve"> </w:t>
      </w:r>
      <w:r>
        <w:t xml:space="preserve">column distinguishes</w:t>
      </w:r>
      <w:r>
        <w:t xml:space="preserve"> </w:t>
      </w:r>
      <w:r>
        <w:rPr>
          <w:rStyle w:val="VerbatimChar"/>
        </w:rPr>
        <w:t xml:space="preserve">Direct</w:t>
      </w:r>
      <w:r>
        <w:t xml:space="preserve"> </w:t>
      </w:r>
      <w:r>
        <w:t xml:space="preserve">vs</w:t>
      </w:r>
      <w:r>
        <w:t xml:space="preserve"> </w:t>
      </w:r>
      <w:r>
        <w:rPr>
          <w:rStyle w:val="VerbatimChar"/>
        </w:rPr>
        <w:t xml:space="preserve">BomDerived</w:t>
      </w:r>
      <w:r>
        <w:t xml:space="preserve"> </w:t>
      </w:r>
      <w:r>
        <w:t xml:space="preserve">for diagnostic queries; the eligibility check itself only cares whether</w:t>
      </w:r>
      <w:r>
        <w:t xml:space="preserve"> </w:t>
      </w:r>
      <w:r>
        <w:rPr>
          <w:i/>
          <w:iCs/>
        </w:rPr>
        <w:t xml:space="preserve">any</w:t>
      </w:r>
      <w:r>
        <w:t xml:space="preserve"> </w:t>
      </w:r>
      <w:r>
        <w:t xml:space="preserve">row exists. Consumed by the</w:t>
      </w:r>
      <w:r>
        <w:t xml:space="preserve"> </w:t>
      </w:r>
      <w:r>
        <w:rPr>
          <w:rStyle w:val="VerbatimChar"/>
        </w:rPr>
        <w:t xml:space="preserve">Parts.ItemLocation_CheckEligibility</w:t>
      </w:r>
      <w:r>
        <w:t xml:space="preserve"> </w:t>
      </w:r>
      <w:r>
        <w:t xml:space="preserve">proc that fronts every scan-in mutation. Avoids the configuration explosion of enumerating every pass-through component (e.g., a 20-line BOM × N assembly Cells = 20N rows). Created in the Arc 2 Phase 1 migration alongside</w:t>
      </w:r>
      <w:r>
        <w:t xml:space="preserve"> </w:t>
      </w:r>
      <w:r>
        <w:rPr>
          <w:rStyle w:val="VerbatimChar"/>
        </w:rPr>
        <w:t xml:space="preserve">Parts.ItemLocation_CheckEligibility</w:t>
      </w:r>
      <w:r>
        <w:t xml:space="preserve">. See FDS-02-012 for the eligibility resolution rule.</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Used at</w:t>
            </w:r>
            <w:r>
              <w:t xml:space="preserve"> </w:t>
            </w:r>
            <w:r>
              <w:rPr>
                <w:b/>
                <w:bCs/>
              </w:rPr>
              <w:t xml:space="preserve">Machining OUT</w:t>
            </w:r>
            <w:r>
              <w:t xml:space="preserve"> </w:t>
            </w:r>
            <w:r>
              <w:t xml:space="preserve">when a machined LOT is split across N downstream destinations on a sublotting line (per FDS-05-009).</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RequiresSubLotSplit</w:t>
            </w:r>
          </w:p>
        </w:tc>
        <w:tc>
          <w:tcPr/>
          <w:p>
            <w:pPr>
              <w:pStyle w:val="Compact"/>
            </w:pPr>
            <w:r>
              <w:t xml:space="preserve">BIT</w:t>
            </w:r>
          </w:p>
        </w:tc>
        <w:tc>
          <w:tcPr/>
          <w:p>
            <w:pPr>
              <w:pStyle w:val="Compact"/>
            </w:pPr>
            <w:r>
              <w:t xml:space="preserve">NOT NULL, DEFAULT 0</w:t>
            </w:r>
          </w:p>
        </w:tc>
        <w:tc>
          <w:tcPr/>
          <w:p>
            <w:pPr>
              <w:pStyle w:val="Compact"/>
            </w:pPr>
            <w:r>
              <w:rPr>
                <w:b/>
                <w:bCs/>
              </w:rPr>
              <w:t xml:space="preserve">Added v1.9m; relocated to Machining OUT in v1.9n.</w:t>
            </w:r>
            <w:r>
              <w:t xml:space="preserve"> </w:t>
            </w:r>
            <w:r>
              <w:t xml:space="preserve">Control flag for outbound flows that split a LOT across multiple downstream destinations (used at</w:t>
            </w:r>
            <w:r>
              <w:t xml:space="preserve"> </w:t>
            </w:r>
            <w:r>
              <w:rPr>
                <w:b/>
                <w:bCs/>
              </w:rPr>
              <w:t xml:space="preserve">Machining OUT</w:t>
            </w:r>
            <w:r>
              <w:t xml:space="preserve"> </w:t>
            </w:r>
            <w:r>
              <w:t xml:space="preserve">per FDS-05-009 — the physical correlate is a line with a dedicated Machining OUT terminal). When</w:t>
            </w:r>
            <w:r>
              <w:t xml:space="preserve"> </w:t>
            </w:r>
            <w:r>
              <w:rPr>
                <w:rStyle w:val="VerbatimChar"/>
              </w:rPr>
              <w:t xml:space="preserve">1</w:t>
            </w:r>
            <w:r>
              <w:t xml:space="preserve">, the Machining OUT screen presents a multi-destination split UX (one sub-LOT per destination, N total); the closing proc (</w:t>
            </w:r>
            <w:r>
              <w:rPr>
                <w:rStyle w:val="VerbatimChar"/>
              </w:rPr>
              <w:t xml:space="preserve">MachiningOut_RecordSplit</w:t>
            </w:r>
            <w:r>
              <w:t xml:space="preserve">) calls</w:t>
            </w:r>
            <w:r>
              <w:t xml:space="preserve"> </w:t>
            </w:r>
            <w:r>
              <w:rPr>
                <w:rStyle w:val="VerbatimChar"/>
              </w:rPr>
              <w:t xml:space="preserve">Lot_Split</w:t>
            </w:r>
            <w:r>
              <w:t xml:space="preserve"> </w:t>
            </w:r>
            <w:r>
              <w:t xml:space="preserve">and</w:t>
            </w:r>
            <w:r>
              <w:t xml:space="preserve"> </w:t>
            </w:r>
            <w:r>
              <w:rPr>
                <w:rStyle w:val="VerbatimChar"/>
              </w:rPr>
              <w:t xml:space="preserve">Lot_MoveTo</w:t>
            </w:r>
            <w:r>
              <w:t xml:space="preserve"> </w:t>
            </w:r>
            <w:r>
              <w:t xml:space="preserve">per child. When</w:t>
            </w:r>
            <w:r>
              <w:t xml:space="preserve"> </w:t>
            </w:r>
            <w:r>
              <w:rPr>
                <w:rStyle w:val="VerbatimChar"/>
              </w:rPr>
              <w:t xml:space="preserve">0</w:t>
            </w:r>
            <w:r>
              <w:t xml:space="preserve"> </w:t>
            </w:r>
            <w:r>
              <w:t xml:space="preserve">(default), Machining OUT is the PLC-driven auto-move (coupled) or a manual whole-move (uncoupled) — no split. Engineering authors per Item per Cell via the Configuration Tool. Versioned with the rest of the row per the clone-to-modify pattern. Operations with no outbound-split branch — Die Cast, Receiving,</w:t>
            </w:r>
            <w:r>
              <w:t xml:space="preserve"> </w:t>
            </w:r>
            <w:r>
              <w:rPr>
                <w:b/>
                <w:bCs/>
              </w:rPr>
              <w:t xml:space="preserve">Trim OUT</w:t>
            </w:r>
            <w:r>
              <w:t xml:space="preserve"> </w:t>
            </w:r>
            <w:r>
              <w:t xml:space="preserve">(now a 1:1 whole-LOT move), Machining IN, Assembly — ignore the column. The ALTER lands in Phase 5 migration</w:t>
            </w:r>
            <w:r>
              <w:t xml:space="preserve"> </w:t>
            </w:r>
            <w:r>
              <w:rPr>
                <w:rStyle w:val="VerbatimChar"/>
              </w:rPr>
              <w:t xml:space="preserve">0018</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One of</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w:t>
            </w:r>
            <w:r>
              <w:t xml:space="preserve">(NULL when not yet configured). Selects the</w:t>
            </w:r>
            <w:r>
              <w:t xml:space="preserve"> </w:t>
            </w:r>
            <w:r>
              <w:rPr>
                <w:b/>
                <w:bCs/>
              </w:rPr>
              <w:t xml:space="preserve">tray-level</w:t>
            </w:r>
            <w:r>
              <w:t xml:space="preserve"> </w:t>
            </w:r>
            <w:r>
              <w:t xml:space="preserve">closure trigger per FDS-06-014.</w:t>
            </w:r>
            <w:r>
              <w:t xml:space="preserve"> </w:t>
            </w:r>
            <w:r>
              <w:rPr>
                <w:rStyle w:val="VerbatimChar"/>
              </w:rPr>
              <w:t xml:space="preserve">ByCount</w:t>
            </w:r>
            <w:r>
              <w:t xml:space="preserve"> </w:t>
            </w:r>
            <w:r>
              <w:t xml:space="preserve">= operator-entered count per tray;</w:t>
            </w:r>
            <w:r>
              <w:t xml:space="preserve"> </w:t>
            </w:r>
            <w:r>
              <w:rPr>
                <w:rStyle w:val="VerbatimChar"/>
              </w:rPr>
              <w:t xml:space="preserve">ByWeight</w:t>
            </w:r>
            <w:r>
              <w:t xml:space="preserve"> </w:t>
            </w:r>
            <w:r>
              <w:t xml:space="preserve">= scale feedback via OmniServer (target on</w:t>
            </w:r>
            <w:r>
              <w:t xml:space="preserve"> </w:t>
            </w:r>
            <w:r>
              <w:rPr>
                <w:rStyle w:val="VerbatimChar"/>
              </w:rPr>
              <w:t xml:space="preserve">TargetWeight</w:t>
            </w:r>
            <w:r>
              <w:t xml:space="preserve">, PLC asserts</w:t>
            </w:r>
            <w:r>
              <w:t xml:space="preserve"> </w:t>
            </w:r>
            <w:r>
              <w:rPr>
                <w:rStyle w:val="VerbatimChar"/>
              </w:rPr>
              <w:t xml:space="preserve">TrayFullFlag</w:t>
            </w:r>
            <w:r>
              <w:t xml:space="preserve"> </w:t>
            </w:r>
            <w:r>
              <w:t xml:space="preserve">at threshold);</w:t>
            </w:r>
            <w:r>
              <w:t xml:space="preserve"> </w:t>
            </w:r>
            <w:r>
              <w:rPr>
                <w:rStyle w:val="VerbatimChar"/>
              </w:rPr>
              <w:t xml:space="preserve">ByVision</w:t>
            </w:r>
            <w:r>
              <w:t xml:space="preserve"> </w:t>
            </w:r>
            <w:r>
              <w:t xml:space="preserve">= camera validates the</w:t>
            </w:r>
            <w:r>
              <w:t xml:space="preserve"> </w:t>
            </w:r>
            <w:r>
              <w:rPr>
                <w:b/>
                <w:bCs/>
              </w:rPr>
              <w:t xml:space="preserve">full tray as a single image</w:t>
            </w:r>
            <w:r>
              <w:t xml:space="preserve"> </w:t>
            </w:r>
            <w:r>
              <w:t xml:space="preserve">(one validation event per tray, not per piece), PLC asserts</w:t>
            </w:r>
            <w:r>
              <w:t xml:space="preserve"> </w:t>
            </w:r>
            <w:r>
              <w:rPr>
                <w:rStyle w:val="VerbatimChar"/>
              </w:rPr>
              <w:t xml:space="preserve">TrayFullFlag</w:t>
            </w:r>
            <w:r>
              <w:t xml:space="preserve"> </w:t>
            </w:r>
            <w:r>
              <w:t xml:space="preserve">on pass. Container fill is derived in MES from accumulated tray closes — no separate</w:t>
            </w:r>
            <w:r>
              <w:t xml:space="preserve"> </w:t>
            </w:r>
            <w:r>
              <w:rPr>
                <w:rStyle w:val="VerbatimChar"/>
              </w:rPr>
              <w:t xml:space="preserve">ContainerFullFlag</w:t>
            </w:r>
            <w:r>
              <w:t xml:space="preserve"> </w:t>
            </w:r>
            <w:r>
              <w:t xml:space="preserve">PLC tag is required.</w:t>
            </w:r>
            <w:r>
              <w:t xml:space="preserve"> </w:t>
            </w:r>
            <w:r>
              <w:rPr>
                <w:rStyle w:val="VerbatimChar"/>
                <w:b/>
                <w:bCs/>
              </w:rPr>
              <w:t xml:space="preserve">ClosureMethod</w:t>
            </w:r>
            <w:r>
              <w:rPr>
                <w:b/>
                <w:bCs/>
              </w:rPr>
              <w:t xml:space="preserve"> </w:t>
            </w:r>
            <w:r>
              <w:rPr>
                <w:b/>
                <w:bCs/>
              </w:rPr>
              <w:t xml:space="preserve">is a per-Item / per-customer attribute</w:t>
            </w:r>
            <w:r>
              <w:t xml:space="preserve"> </w:t>
            </w:r>
            <w:r>
              <w:t xml:space="preserve">— a</w:t>
            </w:r>
            <w:r>
              <w:t xml:space="preserve"> </w:t>
            </w:r>
            <w:r>
              <w:rPr>
                <w:rStyle w:val="VerbatimChar"/>
              </w:rPr>
              <w:t xml:space="preserve">ByVision</w:t>
            </w:r>
            <w:r>
              <w:t xml:space="preserve"> </w:t>
            </w:r>
            <w:r>
              <w:t xml:space="preserve">part and a</w:t>
            </w:r>
            <w:r>
              <w:t xml:space="preserve"> </w:t>
            </w:r>
            <w:r>
              <w:rPr>
                <w:rStyle w:val="VerbatimChar"/>
              </w:rPr>
              <w:t xml:space="preserve">ByCount</w:t>
            </w:r>
            <w:r>
              <w:t xml:space="preserve"> </w:t>
            </w:r>
            <w:r>
              <w:t xml:space="preserve">part may run on the same physical line for different customers, each with its own</w:t>
            </w:r>
            <w:r>
              <w:t xml:space="preserve"> </w:t>
            </w:r>
            <w:r>
              <w:rPr>
                <w:rStyle w:val="VerbatimChar"/>
              </w:rPr>
              <w:t xml:space="preserve">ContainerConfig</w:t>
            </w:r>
            <w:r>
              <w:t xml:space="preserve">. The binding to a camera/MIP-capable Cell is</w:t>
            </w:r>
            <w:r>
              <w:t xml:space="preserve"> </w:t>
            </w:r>
            <w:r>
              <w:rPr>
                <w:b/>
                <w:bCs/>
              </w:rPr>
              <w:t xml:space="preserve">routing-trusted, not proc-enforced</w:t>
            </w:r>
            <w:r>
              <w:t xml:space="preserve"> </w:t>
            </w:r>
            <w:r>
              <w:t xml:space="preserve">(decided 2026-06-04): Engineering routes a</w:t>
            </w:r>
            <w:r>
              <w:t xml:space="preserve"> </w:t>
            </w:r>
            <w:r>
              <w:rPr>
                <w:rStyle w:val="VerbatimChar"/>
              </w:rPr>
              <w:t xml:space="preserve">ByVision</w:t>
            </w:r>
            <w:r>
              <w:t xml:space="preserve"> </w:t>
            </w:r>
            <w:r>
              <w:t xml:space="preserve">part to a vision-equipped Cell; a mis-route simply never receives</w:t>
            </w:r>
            <w:r>
              <w:t xml:space="preserve"> </w:t>
            </w:r>
            <w:r>
              <w:rPr>
                <w:rStyle w:val="VerbatimChar"/>
              </w:rPr>
              <w:t xml:space="preserve">TrayFullFlag</w:t>
            </w:r>
            <w:r>
              <w:t xml:space="preserve">. Distinct from the per-Cell</w:t>
            </w:r>
            <w:r>
              <w:t xml:space="preserve"> </w:t>
            </w:r>
            <w:r>
              <w:rPr>
                <w:rStyle w:val="VerbatimChar"/>
              </w:rPr>
              <w:t xml:space="preserve">ConfirmationMethod</w:t>
            </w:r>
            <w:r>
              <w:t xml:space="preserve"> </w:t>
            </w:r>
            <w:r>
              <w:t xml:space="preserve">LocationAttribute (part-identity verification, FDS-10-013) — they may use the same physical Cognex but are separate concerns.</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w:t>
            </w:r>
            <w:r>
              <w:t xml:space="preserve"> </w:t>
            </w:r>
            <w:r>
              <w:rPr>
                <w:rStyle w:val="VerbatimChar"/>
              </w:rPr>
              <w:t xml:space="preserve">ByWeight</w:t>
            </w:r>
            <w:r>
              <w:t xml:space="preserve"> </w:t>
            </w:r>
            <w:r>
              <w:t xml:space="preserve">closure. Required when</w:t>
            </w:r>
            <w:r>
              <w:t xml:space="preserve"> </w:t>
            </w:r>
            <w:r>
              <w:rPr>
                <w:rStyle w:val="VerbatimChar"/>
              </w:rPr>
              <w:t xml:space="preserve">ClosureMethod = 'ByWeight'</w:t>
            </w:r>
            <w:r>
              <w:t xml:space="preserve">; ignored otherwise.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X929bf30983d616970e41147b9fb35af747c6e6a"/>
    <w:p>
      <w:pPr>
        <w:pStyle w:val="Heading3"/>
      </w:pPr>
      <w:r>
        <w:t xml:space="preserve">✅ Resolved (v1.8 rev / FDS-05-033 v0.11m): Trim → Machining Part Identity Change → 1-line BOM</w:t>
      </w:r>
    </w:p>
    <w:p>
      <w:pPr>
        <w:pStyle w:val="BlockText"/>
      </w:pPr>
      <w:r>
        <w:rPr>
          <w:b/>
          <w:bCs/>
        </w:rPr>
        <w:t xml:space="preserve">OI-11 resolution (2026-04-22) + FDS v0.11m boundary clarification (2026-04-28):</w:t>
      </w:r>
      <w:r>
        <w:t xml:space="preserve"> </w:t>
      </w:r>
      <w:r>
        <w:t xml:space="preserve">The part-identity rename was originally framed as</w:t>
      </w:r>
      <w:r>
        <w:t xml:space="preserve"> </w:t>
      </w:r>
      <w:r>
        <w:rPr>
          <w:b/>
          <w:bCs/>
        </w:rPr>
        <w:t xml:space="preserve">Casting → Trim</w:t>
      </w:r>
      <w:r>
        <w:t xml:space="preserve">; the v0.11m FDS continuity pass clarified that the rename actually fires one step downstream at</w:t>
      </w:r>
      <w:r>
        <w:t xml:space="preserve"> </w:t>
      </w:r>
      <w:r>
        <w:rPr>
          <w:b/>
          <w:bCs/>
        </w:rPr>
        <w:t xml:space="preserve">Trim → Machining</w:t>
      </w:r>
      <w:r>
        <w:t xml:space="preserve">. Within Casting and Trim the LOT retains a single cast-part identity — Trim’s sprue removal / deburr / wash work is yield loss recorded via</w:t>
      </w:r>
      <w:r>
        <w:t xml:space="preserve"> </w:t>
      </w:r>
      <w:r>
        <w:rPr>
          <w:rStyle w:val="VerbatimChar"/>
        </w:rPr>
        <w:t xml:space="preserve">Workorder.RejectEvent</w:t>
      </w:r>
      <w:r>
        <w:t xml:space="preserve"> </w:t>
      </w:r>
      <w:r>
        <w:t xml:space="preserve">on the same LOT, not a rename. The earlier v1.8 draft of a dedicated</w:t>
      </w:r>
      <w:r>
        <w:t xml:space="preserve"> </w:t>
      </w:r>
      <w:r>
        <w:rPr>
          <w:rStyle w:val="VerbatimChar"/>
        </w:rPr>
        <w:t xml:space="preserve">Parts.ItemTransform</w:t>
      </w:r>
      <w:r>
        <w:t xml:space="preserve"> </w:t>
      </w:r>
      <w:r>
        <w:t xml:space="preserve">table is still rejected on the same OI-11 grounds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AppUserId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trim piece becomes one machined piece) is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5G0-TRIM-4102</w:t>
      </w:r>
      <w:r>
        <w:t xml:space="preserve"> </w:t>
      </w:r>
      <w:r>
        <w:t xml:space="preserve">on the machined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5G0-TRIM-4102</w:t>
      </w:r>
      <w:r>
        <w:t xml:space="preserve"> </w:t>
      </w:r>
      <w:r>
        <w:t xml:space="preserve">(Component — covers both Casting and Trim work) and</w:t>
      </w:r>
      <w:r>
        <w:t xml:space="preserve"> </w:t>
      </w:r>
      <w:r>
        <w:rPr>
          <w:rStyle w:val="VerbatimChar"/>
        </w:rPr>
        <w:t xml:space="preserve">5G0-MACHINED-4102</w:t>
      </w:r>
      <w:r>
        <w:t xml:space="preserve"> </w:t>
      </w:r>
      <w:r>
        <w:t xml:space="preserve">(Sub-Assembly or Component depending on downstream use). Trim does</w:t>
      </w:r>
      <w:r>
        <w:t xml:space="preserve"> </w:t>
      </w:r>
      <w:r>
        <w:rPr>
          <w:b/>
          <w:bCs/>
        </w:rPr>
        <w:t xml:space="preserve">not</w:t>
      </w:r>
      <w:r>
        <w:t xml:space="preserve"> </w:t>
      </w:r>
      <w:r>
        <w:t xml:space="preserve">introduce a new Item; the cast/trim LOT carries the same</w:t>
      </w:r>
      <w:r>
        <w:t xml:space="preserve"> </w:t>
      </w:r>
      <w:r>
        <w:rPr>
          <w:rStyle w:val="VerbatimChar"/>
        </w:rPr>
        <w:t xml:space="preserve">ItemId</w:t>
      </w:r>
      <w:r>
        <w:t xml:space="preserve"> </w:t>
      </w:r>
      <w:r>
        <w:t xml:space="preserve">from Die Cast through Trim OUT.</w:t>
      </w:r>
    </w:p>
    <w:p>
      <w:pPr>
        <w:pStyle w:val="Compact"/>
        <w:numPr>
          <w:ilvl w:val="0"/>
          <w:numId w:val="1004"/>
        </w:numPr>
      </w:pPr>
      <w:r>
        <w:rPr>
          <w:rStyle w:val="VerbatimChar"/>
        </w:rPr>
        <w:t xml:space="preserve">Parts.Bom</w:t>
      </w:r>
      <w:r>
        <w:t xml:space="preserve"> </w:t>
      </w:r>
      <w:r>
        <w:t xml:space="preserve">for the machined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Machining Cell, the operator picks the next sub-LOT from the Cell’s FIFO queue (per FDS-06-007 — no scan-to-receive). The MES applies the BOM-driven rename:</w:t>
      </w:r>
      <w:r>
        <w:t xml:space="preserve"> </w:t>
      </w:r>
      <w:r>
        <w:rPr>
          <w:i/>
          <w:iCs/>
        </w:rPr>
        <w:t xml:space="preserve">“This LOT is 5G0-TRIM-4102. Receive as 5G0-MACHINED-4102?”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machined part is created;</w:t>
      </w:r>
      <w:r>
        <w:t xml:space="preserve"> </w:t>
      </w:r>
      <w:r>
        <w:rPr>
          <w:rStyle w:val="VerbatimChar"/>
        </w:rPr>
        <w:t xml:space="preserve">Workorder.ConsumptionEvent</w:t>
      </w:r>
      <w:r>
        <w:t xml:space="preserve"> </w:t>
      </w:r>
      <w:r>
        <w:t xml:space="preserve">records the flow (source trim LOT → produced machined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(sprue removal, deburr, wash) is captured via</w:t>
      </w:r>
      <w:r>
        <w:t xml:space="preserve"> </w:t>
      </w:r>
      <w:r>
        <w:rPr>
          <w:rStyle w:val="VerbatimChar"/>
        </w:rPr>
        <w:t xml:space="preserve">Workorder.RejectEvent</w:t>
      </w:r>
      <w:r>
        <w:t xml:space="preserve"> </w:t>
      </w:r>
      <w:r>
        <w:t xml:space="preserve">on the cast/trim LOT — no rename, no consumption event; trim work is rework against the same LOT.</w:t>
      </w:r>
    </w:p>
    <w:p>
      <w:pPr>
        <w:pStyle w:val="Compact"/>
        <w:numPr>
          <w:ilvl w:val="0"/>
          <w:numId w:val="1004"/>
        </w:numPr>
      </w:pPr>
      <w:r>
        <w:t xml:space="preserve">Yield loss at Machining (after the rename) is captured via</w:t>
      </w:r>
      <w:r>
        <w:t xml:space="preserve"> </w:t>
      </w:r>
      <w:r>
        <w:rPr>
          <w:rStyle w:val="VerbatimChar"/>
        </w:rPr>
        <w:t xml:space="preserve">Workorder.RejectEvent</w:t>
      </w:r>
      <w:r>
        <w:t xml:space="preserve"> </w:t>
      </w:r>
      <w:r>
        <w:t xml:space="preserve">on the machined LOT.</w:t>
      </w:r>
    </w:p>
    <w:p>
      <w:pPr>
        <w:pStyle w:val="Compact"/>
        <w:numPr>
          <w:ilvl w:val="0"/>
          <w:numId w:val="1004"/>
        </w:numPr>
      </w:pPr>
      <w:r>
        <w:t xml:space="preserve">Backward trace: a shipped machined LOT walks</w:t>
      </w:r>
      <w:r>
        <w:t xml:space="preserve"> </w:t>
      </w:r>
      <w:r>
        <w:rPr>
          <w:rStyle w:val="VerbatimChar"/>
        </w:rPr>
        <w:t xml:space="preserve">LotGenealogy</w:t>
      </w:r>
      <w:r>
        <w:t xml:space="preserve"> </w:t>
      </w:r>
      <w:r>
        <w:t xml:space="preserve">back to the trim/cast LOT in</w:t>
      </w:r>
      <w:r>
        <w:t xml:space="preserve"> </w:t>
      </w:r>
      <w:r>
        <w:rPr>
          <w:b/>
          <w:bCs/>
        </w:rPr>
        <w:t xml:space="preserve">one read</w:t>
      </w:r>
      <w:r>
        <w:t xml:space="preserve"> </w:t>
      </w:r>
      <w:r>
        <w:t xml:space="preserve">(single Machining-IN consumption hop). The trim/cast LOT carries the original Die Cast</w:t>
      </w:r>
      <w:r>
        <w:t xml:space="preserve"> </w:t>
      </w:r>
      <w:r>
        <w:rPr>
          <w:rStyle w:val="VerbatimChar"/>
        </w:rPr>
        <w:t xml:space="preserve">ProductionEvent</w:t>
      </w:r>
      <w:r>
        <w:t xml:space="preserve"> </w:t>
      </w:r>
      <w:r>
        <w:t xml:space="preserve">rows directly (cast machine / die / cavity / operator / timestamp reachable without a second hop) — Casting and Trim share the same</w:t>
      </w:r>
      <w:r>
        <w:t xml:space="preserve"> </w:t>
      </w:r>
      <w:r>
        <w:rPr>
          <w:rStyle w:val="VerbatimChar"/>
        </w:rPr>
        <w:t xml:space="preserve">LotId</w:t>
      </w:r>
      <w:r>
        <w:t xml:space="preserv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(FIFO pick + BOM-driven rename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6"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CrtActive</w:t>
            </w:r>
          </w:p>
        </w:tc>
        <w:tc>
          <w:tcPr/>
          <w:p>
            <w:pPr>
              <w:pStyle w:val="Compact"/>
            </w:pPr>
            <w:r>
              <w:t xml:space="preserve">BIT</w:t>
            </w:r>
          </w:p>
        </w:tc>
        <w:tc>
          <w:tcPr/>
          <w:p>
            <w:pPr>
              <w:pStyle w:val="Compact"/>
            </w:pPr>
            <w:r>
              <w:t xml:space="preserve">NOT NULL, DEFAULT 0</w:t>
            </w:r>
          </w:p>
        </w:tc>
        <w:tc>
          <w:tcPr/>
          <w:p>
            <w:pPr>
              <w:pStyle w:val="Compact"/>
            </w:pPr>
            <w:r>
              <w:t xml:space="preserve">Added v1.9q (FDS-10-012). Controlled Run Tag flag. When 1, downstream operations require 200% inspection (every part, captured via</w:t>
            </w:r>
            <w:r>
              <w:t xml:space="preserve"> </w:t>
            </w:r>
            <w:r>
              <w:rPr>
                <w:rStyle w:val="VerbatimChar"/>
              </w:rPr>
              <w:t xml:space="preserve">Quality.QualitySample</w:t>
            </w:r>
            <w:r>
              <w:t xml:space="preserve">) until cleared by a supervisor-elevated release. Missed CRT inspections (</w:t>
            </w:r>
            <w:r>
              <w:rPr>
                <w:rStyle w:val="VerbatimChar"/>
              </w:rPr>
              <w:t xml:space="preserve">MissedCrtInspect</w:t>
            </w:r>
            <w:r>
              <w:t xml:space="preserve">) are detected against the per-operation inspection record. Set / cleared by the Arc 2 CRT workflow; MVP-ratified 2026-06-08.</w:t>
            </w: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CreatedAtTerminalId</w:t>
            </w:r>
          </w:p>
        </w:tc>
        <w:tc>
          <w:tcPr/>
          <w:p>
            <w:pPr>
              <w:pStyle w:val="Compact"/>
            </w:pPr>
            <w:r>
              <w:t xml:space="preserve">BIGINT</w:t>
            </w:r>
          </w:p>
        </w:tc>
        <w:tc>
          <w:tcPr/>
          <w:p>
            <w:pPr>
              <w:pStyle w:val="Compact"/>
            </w:pPr>
            <w:r>
              <w:t xml:space="preserve">FK → Location.Id (Terminal),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MPP_MES_Open_Issues_Register.docx</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odyText"/>
      </w:pPr>
      <w:r>
        <w:rPr>
          <w:b/>
          <w:bCs/>
        </w:rPr>
        <w:t xml:space="preserve">HardwareInterlockBypassed flag (UJ-16, ✅ Resolved 2026-04-27 per OIR v2.14, Option A).</w:t>
      </w:r>
      <w:r>
        <w:t xml:space="preserve"> </w:t>
      </w:r>
      <w:r>
        <w:t xml:space="preserve">When</w:t>
      </w:r>
      <w:r>
        <w:t xml:space="preserve"> </w:t>
      </w:r>
      <w:r>
        <w:rPr>
          <w:rStyle w:val="VerbatimChar"/>
        </w:rPr>
        <w:t xml:space="preserve">HardwareInterlockEnable=false</w:t>
      </w:r>
      <w:r>
        <w:t xml:space="preserve">, parts enter containers without MES serial validation. A</w:t>
      </w:r>
      <w:r>
        <w:t xml:space="preserve"> </w:t>
      </w:r>
      <w:r>
        <w:rPr>
          <w:rStyle w:val="VerbatimChar"/>
        </w:rPr>
        <w:t xml:space="preserve">HardwareInterlockBypassed BIT NOT NULL DEFAULT 0</w:t>
      </w:r>
      <w:r>
        <w:t xml:space="preserve"> </w:t>
      </w:r>
      <w:r>
        <w:t xml:space="preserve">column SHALL be added to</w:t>
      </w:r>
      <w:r>
        <w:t xml:space="preserve"> </w:t>
      </w:r>
      <w:r>
        <w:rPr>
          <w:rStyle w:val="VerbatimChar"/>
        </w:rPr>
        <w:t xml:space="preserve">ContainerSerial</w:t>
      </w:r>
      <w:r>
        <w:t xml:space="preserve"> </w:t>
      </w:r>
      <w:r>
        <w:t xml:space="preserve">to mark the specific serial-to-container assignment as having skipped validation. The flag lives on</w:t>
      </w:r>
      <w:r>
        <w:t xml:space="preserve"> </w:t>
      </w:r>
      <w:r>
        <w:rPr>
          <w:rStyle w:val="VerbatimChar"/>
        </w:rPr>
        <w:t xml:space="preserve">ContainerSerial</w:t>
      </w:r>
      <w:r>
        <w:t xml:space="preserve"> </w:t>
      </w:r>
      <w:r>
        <w:t xml:space="preserve">(not</w:t>
      </w:r>
      <w:r>
        <w:t xml:space="preserve"> </w:t>
      </w:r>
      <w:r>
        <w:rPr>
          <w:rStyle w:val="VerbatimChar"/>
        </w:rPr>
        <w:t xml:space="preserve">ProductionEvent</w:t>
      </w:r>
      <w:r>
        <w:t xml:space="preserve">) 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51"/>
    <w:bookmarkStart w:id="52" w:name="shippinglabel"/>
    <w:p>
      <w:pPr>
        <w:pStyle w:val="Heading3"/>
      </w:pPr>
      <w:r>
        <w:t xml:space="preserve">ShippingLabel</w:t>
      </w:r>
    </w:p>
    <w:p>
      <w:pPr>
        <w:pStyle w:val="FirstParagraph"/>
      </w:pPr>
      <w:r>
        <w:t xml:space="preserve">Container shipping label print/void history.</w:t>
      </w:r>
      <w:r>
        <w:t xml:space="preserve"> </w:t>
      </w:r>
      <w:r>
        <w:rPr>
          <w:b/>
          <w:bCs/>
        </w:rPr>
        <w:t xml:space="preserve">v1.9i (UJ-18 Gateway-script-async print pattern):</w:t>
      </w:r>
      <w:r>
        <w:t xml:space="preserve"> </w:t>
      </w:r>
      <w:r>
        <w:t xml:space="preserve">print state lives on this row — no separate queue table. Operator close transaction is atomic and zero-latency (same v1.9h AIM pool flow); print dispatch is event-driven via Gateway message handler with 3 retries (2s gap), banner-on-failure at the closing terminal.</w:t>
      </w:r>
      <w:r>
        <w:t xml:space="preserve"> </w:t>
      </w:r>
      <w:r>
        <w:rPr>
          <w:b/>
          <w:bCs/>
        </w:rPr>
        <w:t xml:space="preserve">v1.9k:</w:t>
      </w:r>
      <w:r>
        <w:t xml:space="preserve"> </w:t>
      </w:r>
      <w:r>
        <w:rPr>
          <w:rStyle w:val="VerbatimChar"/>
        </w:rPr>
        <w:t xml:space="preserve">BannerAcknowledgedAt</w:t>
      </w:r>
      <w:r>
        <w:t xml:space="preserve"> </w:t>
      </w:r>
      <w:r>
        <w:t xml:space="preserve">added to record operator dismissal of the print-failure banner — supports the FDS-07-006b broadcast-with-session-filter Acknowledge action.</w:t>
      </w:r>
    </w:p>
    <w:p>
      <w:pPr>
        <w:pStyle w:val="BodyText"/>
      </w:pPr>
      <w:r>
        <w:t xml:space="preserve">State derivation:</w:t>
      </w:r>
    </w:p>
    <w:p>
      <w:pPr>
        <w:pStyle w:val="Compact"/>
        <w:numPr>
          <w:ilvl w:val="0"/>
          <w:numId w:val="1005"/>
        </w:numPr>
      </w:pPr>
      <w:r>
        <w:rPr>
          <w:b/>
          <w:bCs/>
        </w:rPr>
        <w:t xml:space="preserve">Pending</w:t>
      </w:r>
      <w:r>
        <w:t xml:space="preserve"> </w:t>
      </w:r>
      <w:r>
        <w:t xml:space="preserve">—</w:t>
      </w:r>
      <w:r>
        <w:t xml:space="preserve"> </w:t>
      </w:r>
      <w:r>
        <w:rPr>
          <w:rStyle w:val="VerbatimChar"/>
        </w:rPr>
        <w:t xml:space="preserve">PrintedAt IS NULL AND PrintFailedAt IS NULL</w:t>
      </w:r>
    </w:p>
    <w:p>
      <w:pPr>
        <w:pStyle w:val="Compact"/>
        <w:numPr>
          <w:ilvl w:val="0"/>
          <w:numId w:val="1005"/>
        </w:numPr>
      </w:pPr>
      <w:r>
        <w:rPr>
          <w:b/>
          <w:bCs/>
        </w:rPr>
        <w:t xml:space="preserve">Completed</w:t>
      </w:r>
      <w:r>
        <w:t xml:space="preserve"> </w:t>
      </w:r>
      <w:r>
        <w:t xml:space="preserve">—</w:t>
      </w:r>
      <w:r>
        <w:t xml:space="preserve"> </w:t>
      </w:r>
      <w:r>
        <w:rPr>
          <w:rStyle w:val="VerbatimChar"/>
        </w:rPr>
        <w:t xml:space="preserve">PrintedAt IS NOT NULL</w:t>
      </w:r>
    </w:p>
    <w:p>
      <w:pPr>
        <w:pStyle w:val="Compact"/>
        <w:numPr>
          <w:ilvl w:val="0"/>
          <w:numId w:val="1005"/>
        </w:numPr>
      </w:pPr>
      <w:r>
        <w:rPr>
          <w:b/>
          <w:bCs/>
        </w:rPr>
        <w:t xml:space="preserve">Failed</w:t>
      </w:r>
      <w:r>
        <w:t xml:space="preserve"> </w:t>
      </w:r>
      <w:r>
        <w:t xml:space="preserve">—</w:t>
      </w:r>
      <w:r>
        <w:t xml:space="preserve"> </w:t>
      </w:r>
      <w:r>
        <w:rPr>
          <w:rStyle w:val="VerbatimChar"/>
        </w:rPr>
        <w:t xml:space="preserve">PrintFailedAt IS NOT NULL AND BannerAcknowledgedAt IS NULL</w:t>
      </w:r>
      <w:r>
        <w:t xml:space="preserve"> </w:t>
      </w:r>
      <w:r>
        <w:t xml:space="preserve">(banner showing)</w:t>
      </w:r>
    </w:p>
    <w:p>
      <w:pPr>
        <w:pStyle w:val="Compact"/>
        <w:numPr>
          <w:ilvl w:val="0"/>
          <w:numId w:val="1005"/>
        </w:numPr>
      </w:pPr>
      <w:r>
        <w:rPr>
          <w:b/>
          <w:bCs/>
        </w:rPr>
        <w:t xml:space="preserve">Failed-acknowledged</w:t>
      </w:r>
      <w:r>
        <w:t xml:space="preserve"> </w:t>
      </w:r>
      <w:r>
        <w:t xml:space="preserve">—</w:t>
      </w:r>
      <w:r>
        <w:t xml:space="preserve"> </w:t>
      </w:r>
      <w:r>
        <w:rPr>
          <w:rStyle w:val="VerbatimChar"/>
        </w:rPr>
        <w:t xml:space="preserve">PrintFailedAt IS NOT NULL AND BannerAcknowledgedAt IS NOT NULL</w:t>
      </w:r>
      <w:r>
        <w:t xml:space="preserve"> </w:t>
      </w:r>
      <w:r>
        <w:t xml:space="preserve">(banner dismissed; row remains in failed state for the safety-sweep alarm)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the AimShipperIdPool claim at close time.</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r>
              <w:t xml:space="preserve">NULL until the Gateway print handler succeeds.</w:t>
            </w: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PrintAttempts</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rPr>
                <w:b/>
                <w:bCs/>
              </w:rPr>
              <w:t xml:space="preserve">Added v1.9i.</w:t>
            </w:r>
            <w:r>
              <w:t xml:space="preserve"> </w:t>
            </w:r>
            <w:r>
              <w:t xml:space="preserve">Increments per print attempt by the Gateway message handler.</w:t>
            </w:r>
          </w:p>
        </w:tc>
      </w:tr>
      <w:tr>
        <w:tc>
          <w:tcPr/>
          <w:p>
            <w:pPr>
              <w:pStyle w:val="Compact"/>
            </w:pPr>
            <w:r>
              <w:t xml:space="preserve">LastPrintAttemptAt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Timestamp of most recent print try.</w:t>
            </w:r>
          </w:p>
        </w:tc>
      </w:tr>
      <w:tr>
        <w:tc>
          <w:tcPr>
            <w:shd w:val="clear" w:color="auto" w:fill="F2F2F2"/>
          </w:tcPr>
          <w:tcPr/>
          <w:p>
            <w:pPr>
              <w:pStyle w:val="Compact"/>
            </w:pPr>
            <w:r>
              <w:t xml:space="preserve">LastPrintError</w:t>
            </w:r>
          </w:p>
        </w:tc>
        <w:tc>
          <w:tcPr>
            <w:shd w:val="clear" w:color="auto" w:fill="F2F2F2"/>
          </w:tcPr>
          <w:tcPr/>
          <w:p>
            <w:pPr>
              <w:pStyle w:val="Compact"/>
            </w:pPr>
            <w:r>
              <w:t xml:space="preserve">NVARCHAR(2000)</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Captured exception text from the most recent failed attempt.</w:t>
            </w:r>
          </w:p>
        </w:tc>
      </w:tr>
      <w:tr>
        <w:tc>
          <w:tcPr/>
          <w:p>
            <w:pPr>
              <w:pStyle w:val="Compact"/>
            </w:pPr>
            <w:r>
              <w:t xml:space="preserve">PrintFailedAt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Non-NULL = retries exhausted (3 attempts × 2s gap). Drives the banner shown at</w:t>
            </w:r>
            <w:r>
              <w:t xml:space="preserve"> </w:t>
            </w:r>
            <w:r>
              <w:rPr>
                <w:rStyle w:val="VerbatimChar"/>
              </w:rPr>
              <w:t xml:space="preserve">TerminalLocationId</w:t>
            </w:r>
            <w:r>
              <w:t xml:space="preserve">.</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rPr>
                <w:b/>
                <w:bCs/>
              </w:rPr>
              <w:t xml:space="preserve">Added v1.9i.</w:t>
            </w:r>
            <w:r>
              <w:t xml:space="preserve"> </w:t>
            </w:r>
            <w:r>
              <w:t xml:space="preserve">The Terminal where the closing operator was — drives both the printer pick (resolved via</w:t>
            </w:r>
            <w:r>
              <w:t xml:space="preserve"> </w:t>
            </w:r>
            <w:r>
              <w:rPr>
                <w:rStyle w:val="VerbatimChar"/>
              </w:rPr>
              <w:t xml:space="preserve">LocationAttribute</w:t>
            </w:r>
            <w:r>
              <w:t xml:space="preserve"> </w:t>
            </w:r>
            <w:r>
              <w:t xml:space="preserve">on parent Cell) and the banner routing (banner shows only at this Terminal).</w:t>
            </w:r>
          </w:p>
        </w:tc>
      </w:tr>
      <w:tr>
        <w:tc>
          <w:tcPr/>
          <w:p>
            <w:pPr>
              <w:pStyle w:val="Compact"/>
            </w:pPr>
            <w:r>
              <w:t xml:space="preserve">BannerAcknowledgedAt</w:t>
            </w:r>
          </w:p>
        </w:tc>
        <w:tc>
          <w:tcPr/>
          <w:p>
            <w:pPr>
              <w:pStyle w:val="Compact"/>
            </w:pPr>
            <w:r>
              <w:t xml:space="preserve">DATETIME2(3)</w:t>
            </w:r>
          </w:p>
        </w:tc>
        <w:tc>
          <w:tcPr/>
          <w:p>
            <w:pPr>
              <w:pStyle w:val="Compact"/>
            </w:pPr>
            <w:r>
              <w:t xml:space="preserve">NULL</w:t>
            </w:r>
          </w:p>
        </w:tc>
        <w:tc>
          <w:tcPr/>
          <w:p>
            <w:pPr>
              <w:pStyle w:val="Compact"/>
            </w:pPr>
            <w:r>
              <w:rPr>
                <w:b/>
                <w:bCs/>
              </w:rPr>
              <w:t xml:space="preserve">Added v1.9k.</w:t>
            </w:r>
            <w:r>
              <w:t xml:space="preserve"> </w:t>
            </w:r>
            <w:r>
              <w:t xml:space="preserve">Non-NULL when the operator at</w:t>
            </w:r>
            <w:r>
              <w:t xml:space="preserve"> </w:t>
            </w:r>
            <w:r>
              <w:rPr>
                <w:rStyle w:val="VerbatimChar"/>
              </w:rPr>
              <w:t xml:space="preserve">TerminalLocationId</w:t>
            </w:r>
            <w:r>
              <w:t xml:space="preserve"> </w:t>
            </w:r>
            <w:r>
              <w:t xml:space="preserve">dismissed the print-failure banner via the Acknowledge action (FDS-07-006b). Independent of</w:t>
            </w:r>
            <w:r>
              <w:t xml:space="preserve"> </w:t>
            </w:r>
            <w:r>
              <w:rPr>
                <w:rStyle w:val="VerbatimChar"/>
              </w:rPr>
              <w:t xml:space="preserve">PrintFailedAt</w:t>
            </w:r>
            <w:r>
              <w:t xml:space="preserve"> </w:t>
            </w:r>
            <w:r>
              <w:t xml:space="preserve">— the row stays in failed state for the safety-sweep alarm even after acknowledgement; this column only suppresses the banner UI. NULL while the banner is active.</w:t>
            </w:r>
          </w:p>
        </w:tc>
      </w:tr>
    </w:tbl>
    <w:bookmarkEnd w:id="52"/>
    <w:bookmarkStart w:id="53" w:name="pauseevent"/>
    <w:p>
      <w:pPr>
        <w:pStyle w:val="Heading3"/>
      </w:pPr>
      <w:r>
        <w:t xml:space="preserve">PauseEvent</w:t>
      </w:r>
    </w:p>
    <w:p>
      <w:pPr>
        <w:pStyle w:val="FirstParagraph"/>
      </w:pPr>
      <w:r>
        <w:rPr>
          <w:b/>
          <w:bCs/>
        </w:rPr>
        <w:t xml:space="preserve">Added v1.9g (OI-21 — Pausable LOT at Workstation).</w:t>
      </w:r>
      <w:r>
        <w:t xml:space="preserve"> </w:t>
      </w:r>
      <w:r>
        <w:t xml:space="preserve">Captures an operator’s deliberate pause of a partially-progressed LOT at a Cell so the operator may shift focus to a different LOT at the same Cell. Append-only place + close lifecycle — mirrors</w:t>
      </w:r>
      <w:r>
        <w:t xml:space="preserve"> </w:t>
      </w:r>
      <w:r>
        <w:rPr>
          <w:rStyle w:val="VerbatimChar"/>
        </w:rPr>
        <w:t xml:space="preserve">Quality.HoldEvent</w:t>
      </w:r>
      <w:r>
        <w:t xml:space="preserve">. The same LOT MAY be paused at multiple Cells simultaneously (e.g., a Machining LOT pending mid-assembly while another assembly LOT is run); the filtered UNIQUE limits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Pause is orthogonal 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 enum extension is required on any of those code tables. There is no TTL — paused LOTs persist indefinitely; resume MAY be performed by any operator (does not need to match</w:t>
      </w:r>
      <w:r>
        <w:t xml:space="preserve"> </w:t>
      </w:r>
      <w:r>
        <w:rPr>
          <w:rStyle w:val="VerbatimChar"/>
        </w:rPr>
        <w:t xml:space="preserve">PausedByUserId</w:t>
      </w:r>
      <w:r>
        <w:t xml:space="preserve">). Drives the</w:t>
      </w:r>
      <w:r>
        <w:t xml:space="preserve"> </w:t>
      </w:r>
      <w:r>
        <w:rPr>
          <w:b/>
          <w:bCs/>
        </w:rPr>
        <w:t xml:space="preserve">Paused-LOT indicator</w:t>
      </w:r>
      <w:r>
        <w:t xml:space="preserve"> </w:t>
      </w:r>
      <w:r>
        <w:t xml:space="preserve">on every workstation screen (count + tap-through to detail list, per FDS-05-038).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being paused at this Cell.</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The Cell where the pause is recorded. Should be a Cell-tier production location; not enforced at the schema level (proc layer enforces).</w:t>
            </w:r>
          </w:p>
        </w:tc>
      </w:tr>
      <w:tr>
        <w:tc>
          <w:tcPr>
            <w:shd w:val="clear" w:color="auto" w:fill="F2F2F2"/>
          </w:tcPr>
          <w:tcPr/>
          <w:p>
            <w:pPr>
              <w:pStyle w:val="Compact"/>
            </w:pPr>
            <w:r>
              <w:t xml:space="preserve">PausedByUserId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placed the pause.</w:t>
            </w:r>
          </w:p>
        </w:tc>
      </w:tr>
      <w:tr>
        <w:tc>
          <w:tcPr/>
          <w:p>
            <w:pPr>
              <w:pStyle w:val="Compact"/>
            </w:pPr>
            <w:r>
              <w:t xml:space="preserve">PausedAt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PausedReason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Optional — operator MAY pause without entering a reason.</w:t>
            </w:r>
          </w:p>
        </w:tc>
      </w:tr>
      <w:tr>
        <w:tc>
          <w:tcPr/>
          <w:p>
            <w:pPr>
              <w:pStyle w:val="Compact"/>
            </w:pPr>
            <w:r>
              <w:t xml:space="preserve">ResumedByUserId</w:t>
            </w:r>
          </w:p>
        </w:tc>
        <w:tc>
          <w:tcPr/>
          <w:p>
            <w:pPr>
              <w:pStyle w:val="Compact"/>
            </w:pPr>
            <w:r>
              <w:t xml:space="preserve">BIGINT</w:t>
            </w:r>
          </w:p>
        </w:tc>
        <w:tc>
          <w:tcPr/>
          <w:p>
            <w:pPr>
              <w:pStyle w:val="Compact"/>
            </w:pPr>
            <w:r>
              <w:t xml:space="preserve">FK → AppUser.Id, NULL</w:t>
            </w:r>
          </w:p>
        </w:tc>
        <w:tc>
          <w:tcPr/>
          <w:p>
            <w:pPr>
              <w:pStyle w:val="Compact"/>
            </w:pPr>
            <w:r>
              <w:t xml:space="preserve">NULL while pause is open. NOT required to match</w:t>
            </w:r>
            <w:r>
              <w:t xml:space="preserve"> </w:t>
            </w:r>
            <w:r>
              <w:rPr>
                <w:rStyle w:val="VerbatimChar"/>
              </w:rPr>
              <w:t xml:space="preserve">PausedByUserId</w:t>
            </w:r>
            <w:r>
              <w:t xml:space="preserve"> </w:t>
            </w:r>
            <w:r>
              <w:t xml:space="preserve">— paused LOTs cross shift / operator boundaries.</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pause is open.</w:t>
            </w:r>
          </w:p>
        </w:tc>
      </w:tr>
      <w:tr>
        <w:tc>
          <w:tcPr/>
          <w:p>
            <w:pPr>
              <w:pStyle w:val="Compact"/>
            </w:pPr>
            <w:r>
              <w:t xml:space="preserve">ResumedRemarks</w:t>
            </w:r>
          </w:p>
        </w:tc>
        <w:tc>
          <w:tcPr/>
          <w:p>
            <w:pPr>
              <w:pStyle w:val="Compact"/>
            </w:pPr>
            <w:r>
              <w:t xml:space="preserve">NVARCHAR(500)</w:t>
            </w:r>
          </w:p>
        </w:tc>
        <w:tc>
          <w:tcPr/>
          <w:p>
            <w:pPr>
              <w:pStyle w:val="Compact"/>
            </w:pPr>
            <w:r>
              <w:t xml:space="preserve">NULL</w:t>
            </w:r>
          </w:p>
        </w:tc>
        <w:tc>
          <w:tcPr/>
          <w:p>
            <w:pPr>
              <w:pStyle w:val="Compact"/>
            </w:pPr>
            <w:r>
              <w:t xml:space="preserve">Optional resume note.</w:t>
            </w:r>
          </w:p>
        </w:tc>
      </w:tr>
    </w:tbl>
    <w:p>
      <w:pPr>
        <w:pStyle w:val="BodyText"/>
      </w:pPr>
      <w:r>
        <w:rPr>
          <w:b/>
          <w:bCs/>
        </w:rPr>
        <w:t xml:space="preserve">Constraints:</w:t>
      </w:r>
    </w:p>
    <w:p>
      <w:pPr>
        <w:pStyle w:val="Compact"/>
        <w:numPr>
          <w:ilvl w:val="0"/>
          <w:numId w:val="1006"/>
        </w:numPr>
      </w:pPr>
      <w:r>
        <w:rPr>
          <w:rStyle w:val="VerbatimChar"/>
        </w:rPr>
        <w:t xml:space="preserve">CK_PauseEvent_ResumePaired</w:t>
      </w:r>
      <w:r>
        <w:t xml:space="preserve"> </w:t>
      </w:r>
      <w:r>
        <w:t xml:space="preserve">—</w:t>
      </w:r>
      <w:r>
        <w:t xml:space="preserve"> </w:t>
      </w:r>
      <w:r>
        <w:rPr>
          <w:rStyle w:val="VerbatimChar"/>
        </w:rPr>
        <w:t xml:space="preserve">(ResumedAt IS NULL AND ResumedByUserId IS NULL) OR (ResumedAt IS NOT NULL AND ResumedByUserId IS NOT NULL)</w:t>
      </w:r>
      <w:r>
        <w:t xml:space="preserve">. Resume timestamp and resumer are paired.</w:t>
      </w:r>
    </w:p>
    <w:p>
      <w:pPr>
        <w:pStyle w:val="Compact"/>
        <w:numPr>
          <w:ilvl w:val="0"/>
          <w:numId w:val="1006"/>
        </w:numPr>
      </w:pPr>
      <w:r>
        <w:rPr>
          <w:rStyle w:val="VerbatimChar"/>
        </w:rPr>
        <w:t xml:space="preserve">UQ_PauseEvent_OpenLotLocation</w:t>
      </w:r>
      <w:r>
        <w:t xml:space="preserve"> </w:t>
      </w:r>
      <w:r>
        <w:t xml:space="preserve">— filtered UNIQUE on</w:t>
      </w:r>
      <w:r>
        <w:t xml:space="preserve"> </w:t>
      </w:r>
      <w:r>
        <w:rPr>
          <w:rStyle w:val="VerbatimChar"/>
        </w:rPr>
        <w:t xml:space="preserve">(LotId, LocationId) WHERE ResumedAt IS NULL</w:t>
      </w:r>
      <w:r>
        <w:t xml:space="preserve">. Blocks duplicate open pauses for the same LOT at the same Cell.</w:t>
      </w:r>
    </w:p>
    <w:p>
      <w:pPr>
        <w:pStyle w:val="FirstParagraph"/>
      </w:pPr>
      <w:r>
        <w:rPr>
          <w:b/>
          <w:bCs/>
        </w:rPr>
        <w:t xml:space="preserve">Indexes:</w:t>
      </w:r>
    </w:p>
    <w:p>
      <w:pPr>
        <w:pStyle w:val="Compact"/>
        <w:numPr>
          <w:ilvl w:val="0"/>
          <w:numId w:val="1007"/>
        </w:numPr>
      </w:pPr>
      <w:r>
        <w:rPr>
          <w:rStyle w:val="VerbatimChar"/>
        </w:rPr>
        <w:t xml:space="preserve">IX_PauseEvent_OpenByLocation</w:t>
      </w:r>
      <w:r>
        <w:t xml:space="preserve"> </w:t>
      </w:r>
      <w:r>
        <w:t xml:space="preserve">on</w:t>
      </w:r>
      <w:r>
        <w:t xml:space="preserve"> </w:t>
      </w:r>
      <w:r>
        <w:rPr>
          <w:rStyle w:val="VerbatimChar"/>
        </w:rPr>
        <w:t xml:space="preserve">(LocationId) WHERE ResumedAt IS NULL</w:t>
      </w:r>
      <w:r>
        <w:t xml:space="preserve"> </w:t>
      </w:r>
      <w:r>
        <w:t xml:space="preserve">— supports the wallboard counter / paused-LOT detail-list lookup.</w:t>
      </w:r>
    </w:p>
    <w:p>
      <w:pPr>
        <w:pStyle w:val="Compact"/>
        <w:numPr>
          <w:ilvl w:val="0"/>
          <w:numId w:val="1007"/>
        </w:numPr>
      </w:pPr>
      <w:r>
        <w:rPr>
          <w:rStyle w:val="VerbatimChar"/>
        </w:rPr>
        <w:t xml:space="preserve">IX_PauseEvent_Lot</w:t>
      </w:r>
      <w:r>
        <w:t xml:space="preserve"> </w:t>
      </w:r>
      <w:r>
        <w:t xml:space="preserve">on</w:t>
      </w:r>
      <w:r>
        <w:t xml:space="preserve"> </w:t>
      </w:r>
      <w:r>
        <w:rPr>
          <w:rStyle w:val="VerbatimChar"/>
        </w:rPr>
        <w:t xml:space="preserve">(LotId, PausedAt DESC)</w:t>
      </w:r>
      <w:r>
        <w:t xml:space="preserve"> </w:t>
      </w:r>
      <w:r>
        <w:t xml:space="preserve">— supports per-LOT pause history (Lot Details view).</w:t>
      </w:r>
    </w:p>
    <w:p>
      <w:pPr>
        <w:pStyle w:val="FirstParagraph"/>
      </w:pPr>
      <w:r>
        <w:rPr>
          <w:b/>
          <w:bCs/>
        </w:rPr>
        <w:t xml:space="preserve">Audit:</w:t>
      </w:r>
      <w:r>
        <w:t xml:space="preserve"> </w:t>
      </w:r>
      <w:r>
        <w:rPr>
          <w:rStyle w:val="VerbatimChar"/>
        </w:rPr>
        <w:t xml:space="preserve">Audit.LogEntityType</w:t>
      </w:r>
      <w:r>
        <w:t xml:space="preserve"> </w:t>
      </w:r>
      <w:r>
        <w:t xml:space="preserve">carries a</w:t>
      </w:r>
      <w:r>
        <w:t xml:space="preserve"> </w:t>
      </w:r>
      <w:r>
        <w:rPr>
          <w:rStyle w:val="VerbatimChar"/>
        </w:rPr>
        <w:t xml:space="preserve">PauseEvent</w:t>
      </w:r>
      <w:r>
        <w:t xml:space="preserve"> </w:t>
      </w:r>
      <w:r>
        <w:t xml:space="preserve">row. Place / Resume operations write to</w:t>
      </w:r>
      <w:r>
        <w:t xml:space="preserve"> </w:t>
      </w:r>
      <w:r>
        <w:rPr>
          <w:rStyle w:val="VerbatimChar"/>
        </w:rPr>
        <w:t xml:space="preserve">Audit.OperationLog</w:t>
      </w:r>
      <w:r>
        <w:t xml:space="preserve">.</w:t>
      </w:r>
    </w:p>
    <w:bookmarkEnd w:id="53"/>
    <w:bookmarkStart w:id="54" w:name="aimshipperidpool"/>
    <w:p>
      <w:pPr>
        <w:pStyle w:val="Heading3"/>
      </w:pPr>
      <w:r>
        <w:t xml:space="preserve">AimShipperIdPool</w:t>
      </w:r>
    </w:p>
    <w:p>
      <w:pPr>
        <w:pStyle w:val="FirstParagraph"/>
      </w:pPr>
      <w:r>
        <w:rPr>
          <w:b/>
          <w:bCs/>
        </w:rPr>
        <w:t xml:space="preserve">Added v1.9h (UJ-04 — AIM Shipper ID local pool).</w:t>
      </w:r>
      <w:r>
        <w:t xml:space="preserve"> </w:t>
      </w:r>
      <w:r>
        <w:t xml:space="preserve">Local buffer of pre-fetched Honda AIM Shipper IDs. A background Gateway script (Arc 2 Phase 7) calls</w:t>
      </w:r>
      <w:r>
        <w:t xml:space="preserve"> </w:t>
      </w:r>
      <w:r>
        <w:rPr>
          <w:rStyle w:val="VerbatimChar"/>
        </w:rPr>
        <w:t xml:space="preserve">AIM.GetNextNumber</w:t>
      </w:r>
      <w:r>
        <w:t xml:space="preserve"> </w:t>
      </w:r>
      <w:r>
        <w:t xml:space="preserve">to keep the pool topped up;</w:t>
      </w:r>
      <w:r>
        <w:t xml:space="preserve"> </w:t>
      </w:r>
      <w:r>
        <w:rPr>
          <w:rStyle w:val="VerbatimChar"/>
        </w:rPr>
        <w:t xml:space="preserve">Container_Complete</w:t>
      </w:r>
      <w:r>
        <w:t xml:space="preserve"> </w:t>
      </w:r>
      <w:r>
        <w:t xml:space="preserve">claims one row FIFO, synchronously, inside its own transaction — sub-millisecond, never blocked on AIM. AIM IDs attach to</w:t>
      </w:r>
      <w:r>
        <w:t xml:space="preserve"> </w:t>
      </w:r>
      <w:r>
        <w:rPr>
          <w:rStyle w:val="VerbatimChar"/>
          <w:b/>
          <w:bCs/>
        </w:rPr>
        <w:t xml:space="preserve">Lots.Container</w:t>
      </w:r>
      <w:r>
        <w:rPr>
          <w:b/>
          <w:bCs/>
        </w:rPr>
        <w:t xml:space="preserve"> </w:t>
      </w:r>
      <w:r>
        <w:rPr>
          <w:b/>
          <w:bCs/>
        </w:rPr>
        <w:t xml:space="preserve">only</w:t>
      </w:r>
      <w:r>
        <w:t xml:space="preserve"> </w:t>
      </w:r>
      <w:r>
        <w:t xml:space="preserve">— never to sub-assemblies, sub-LOTs, or any other entity. Honda treats every issued ID as permanently consumed; once</w:t>
      </w:r>
      <w:r>
        <w:t xml:space="preserve"> </w:t>
      </w:r>
      <w:r>
        <w:rPr>
          <w:rStyle w:val="VerbatimChar"/>
        </w:rPr>
        <w:t xml:space="preserve">ConsumedAt</w:t>
      </w:r>
      <w:r>
        <w:t xml:space="preserve"> </w:t>
      </w:r>
      <w:r>
        <w:t xml:space="preserve">is set the row stays terminal regardless of any downstream container void / re-pack (the new container at re-pack draws a fresh ID from the pool). Honda does not expire IDs — no TTL column.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Honda-issued shipper ID returned by</w:t>
            </w:r>
            <w:r>
              <w:t xml:space="preserve"> </w:t>
            </w:r>
            <w:r>
              <w:rPr>
                <w:rStyle w:val="VerbatimChar"/>
              </w:rPr>
              <w:t xml:space="preserve">AIM.GetNextNumber</w:t>
            </w:r>
            <w:r>
              <w:t xml:space="preserve">. UNIQUE protects against double-INSERT under topup-script retries.</w:t>
            </w:r>
          </w:p>
        </w:tc>
      </w:tr>
      <w:tr>
        <w:tc>
          <w:tcPr/>
          <w:p>
            <w:pPr>
              <w:pStyle w:val="Compact"/>
            </w:pPr>
            <w:r>
              <w:t xml:space="preserve">FetchedAt</w:t>
            </w:r>
          </w:p>
        </w:tc>
        <w:tc>
          <w:tcPr/>
          <w:p>
            <w:pPr>
              <w:pStyle w:val="Compact"/>
            </w:pPr>
            <w:r>
              <w:t xml:space="preserve">DATETIME2(3)</w:t>
            </w:r>
          </w:p>
        </w:tc>
        <w:tc>
          <w:tcPr/>
          <w:p>
            <w:pPr>
              <w:pStyle w:val="Compact"/>
            </w:pPr>
            <w:r>
              <w:t xml:space="preserve">NOT NULL, DEFAULT SYSUTCDATETIME()</w:t>
            </w:r>
          </w:p>
        </w:tc>
        <w:tc>
          <w:tcPr/>
          <w:p>
            <w:pPr>
              <w:pStyle w:val="Compact"/>
            </w:pPr>
            <w:r>
              <w:t xml:space="preserve">When AIM gave this ID to us. Drives FIFO ordering at claim time.</w:t>
            </w:r>
          </w:p>
        </w:tc>
      </w:tr>
      <w:tr>
        <w:tc>
          <w:tcPr>
            <w:shd w:val="clear" w:color="auto" w:fill="F2F2F2"/>
          </w:tcPr>
          <w:tcPr/>
          <w:p>
            <w:pPr>
              <w:pStyle w:val="Compact"/>
            </w:pPr>
            <w:r>
              <w:t xml:space="preserve">FetchedInterfaceLogId</w:t>
            </w:r>
          </w:p>
        </w:tc>
        <w:tc>
          <w:tcPr>
            <w:shd w:val="clear" w:color="auto" w:fill="F2F2F2"/>
          </w:tcPr>
          <w:tcPr/>
          <w:p>
            <w:pPr>
              <w:pStyle w:val="Compact"/>
            </w:pPr>
            <w:r>
              <w:t xml:space="preserve">BIGINT</w:t>
            </w:r>
          </w:p>
        </w:tc>
        <w:tc>
          <w:tcPr>
            <w:shd w:val="clear" w:color="auto" w:fill="F2F2F2"/>
          </w:tcPr>
          <w:tcPr/>
          <w:p>
            <w:pPr>
              <w:pStyle w:val="Compact"/>
            </w:pPr>
            <w:r>
              <w:t xml:space="preserve">FK → Audit.InterfaceLog.Id, NOT NULL</w:t>
            </w:r>
          </w:p>
        </w:tc>
        <w:tc>
          <w:tcPr>
            <w:shd w:val="clear" w:color="auto" w:fill="F2F2F2"/>
          </w:tcPr>
          <w:tcPr/>
          <w:p>
            <w:pPr>
              <w:pStyle w:val="Compact"/>
            </w:pPr>
            <w:r>
              <w:t xml:space="preserve">Provenance — points at the exact AIM call that issued this ID.</w:t>
            </w:r>
          </w:p>
        </w:tc>
      </w:tr>
      <w:tr>
        <w:tc>
          <w:tcPr/>
          <w:p>
            <w:pPr>
              <w:pStyle w:val="Compact"/>
            </w:pPr>
            <w:r>
              <w:t xml:space="preserve">ConsumedAt</w:t>
            </w:r>
          </w:p>
        </w:tc>
        <w:tc>
          <w:tcPr/>
          <w:p>
            <w:pPr>
              <w:pStyle w:val="Compact"/>
            </w:pPr>
            <w:r>
              <w:t xml:space="preserve">DATETIME2(3)</w:t>
            </w:r>
          </w:p>
        </w:tc>
        <w:tc>
          <w:tcPr/>
          <w:p>
            <w:pPr>
              <w:pStyle w:val="Compact"/>
            </w:pPr>
            <w:r>
              <w:t xml:space="preserve">NULL</w:t>
            </w:r>
          </w:p>
        </w:tc>
        <w:tc>
          <w:tcPr/>
          <w:p>
            <w:pPr>
              <w:pStyle w:val="Compact"/>
            </w:pPr>
            <w:r>
              <w:t xml:space="preserve">NULL = available in the pool. Non-NULL = permanently consumed.</w:t>
            </w:r>
          </w:p>
        </w:tc>
      </w:tr>
      <w:tr>
        <w:tc>
          <w:tcPr>
            <w:shd w:val="clear" w:color="auto" w:fill="F2F2F2"/>
          </w:tcPr>
          <w:tcPr/>
          <w:p>
            <w:pPr>
              <w:pStyle w:val="Compact"/>
            </w:pPr>
            <w:r>
              <w:t xml:space="preserve">ConsumedByContainerId</w:t>
            </w:r>
          </w:p>
        </w:tc>
        <w:tc>
          <w:tcPr>
            <w:shd w:val="clear" w:color="auto" w:fill="F2F2F2"/>
          </w:tcPr>
          <w:tcPr/>
          <w:p>
            <w:pPr>
              <w:pStyle w:val="Compact"/>
            </w:pPr>
            <w:r>
              <w:t xml:space="preserve">BIGINT</w:t>
            </w:r>
          </w:p>
        </w:tc>
        <w:tc>
          <w:tcPr>
            <w:shd w:val="clear" w:color="auto" w:fill="F2F2F2"/>
          </w:tcPr>
          <w:tcPr/>
          <w:p>
            <w:pPr>
              <w:pStyle w:val="Compact"/>
            </w:pPr>
            <w:r>
              <w:t xml:space="preserve">FK → Lots.Container.Id, NULL</w:t>
            </w:r>
          </w:p>
        </w:tc>
        <w:tc>
          <w:tcPr>
            <w:shd w:val="clear" w:color="auto" w:fill="F2F2F2"/>
          </w:tcPr>
          <w:tcPr/>
          <w:p>
            <w:pPr>
              <w:pStyle w:val="Compact"/>
            </w:pPr>
            <w:r>
              <w:t xml:space="preserve">The container that claimed this ID. NULL ↔ ConsumedAt NULL.</w:t>
            </w:r>
          </w:p>
        </w:tc>
      </w:tr>
      <w:tr>
        <w:tc>
          <w:tcPr/>
          <w:p>
            <w:pPr>
              <w:pStyle w:val="Compact"/>
            </w:pPr>
            <w:r>
              <w:t xml:space="preserve">ConsumedByUserId</w:t>
            </w:r>
          </w:p>
        </w:tc>
        <w:tc>
          <w:tcPr/>
          <w:p>
            <w:pPr>
              <w:pStyle w:val="Compact"/>
            </w:pPr>
            <w:r>
              <w:t xml:space="preserve">BIGINT</w:t>
            </w:r>
          </w:p>
        </w:tc>
        <w:tc>
          <w:tcPr/>
          <w:p>
            <w:pPr>
              <w:pStyle w:val="Compact"/>
            </w:pPr>
            <w:r>
              <w:t xml:space="preserve">FK → Location.AppUser.Id, NULL</w:t>
            </w:r>
          </w:p>
        </w:tc>
        <w:tc>
          <w:tcPr/>
          <w:p>
            <w:pPr>
              <w:pStyle w:val="Compact"/>
            </w:pPr>
            <w:r>
              <w:t xml:space="preserve">The operator whose closing-container action consumed this ID. NULL ↔ ConsumedAt NULL.</w:t>
            </w:r>
          </w:p>
        </w:tc>
      </w:tr>
    </w:tbl>
    <w:p>
      <w:pPr>
        <w:pStyle w:val="BodyText"/>
      </w:pPr>
      <w:r>
        <w:rPr>
          <w:b/>
          <w:bCs/>
        </w:rPr>
        <w:t xml:space="preserve">Constraints:</w:t>
      </w:r>
    </w:p>
    <w:p>
      <w:pPr>
        <w:pStyle w:val="Compact"/>
        <w:numPr>
          <w:ilvl w:val="0"/>
          <w:numId w:val="1008"/>
        </w:numPr>
      </w:pPr>
      <w:r>
        <w:rPr>
          <w:rStyle w:val="VerbatimChar"/>
        </w:rPr>
        <w:t xml:space="preserve">CK_AimShipperIdPool_ConsumedFieldsPaired</w:t>
      </w:r>
      <w:r>
        <w:t xml:space="preserve"> </w:t>
      </w:r>
      <w:r>
        <w:t xml:space="preserve">—</w:t>
      </w:r>
      <w:r>
        <w:t xml:space="preserve"> </w:t>
      </w:r>
      <w:r>
        <w:rPr>
          <w:rStyle w:val="VerbatimChar"/>
        </w:rPr>
        <w:t xml:space="preserve">(ConsumedAt IS NULL AND ConsumedByContainerId IS NULL AND ConsumedByUserId IS NULL) OR (ConsumedAt IS NOT NULL AND ConsumedByContainerId IS NOT NULL AND ConsumedByUserId IS NOT NULL)</w:t>
      </w:r>
      <w:r>
        <w:t xml:space="preserve">. The three consumption columns are paired; either all NULL (available) or all set (consumed).</w:t>
      </w:r>
    </w:p>
    <w:p>
      <w:pPr>
        <w:pStyle w:val="FirstParagraph"/>
      </w:pPr>
      <w:r>
        <w:rPr>
          <w:b/>
          <w:bCs/>
        </w:rPr>
        <w:t xml:space="preserve">Indexes:</w:t>
      </w:r>
    </w:p>
    <w:p>
      <w:pPr>
        <w:pStyle w:val="Compact"/>
        <w:numPr>
          <w:ilvl w:val="0"/>
          <w:numId w:val="1009"/>
        </w:numPr>
      </w:pPr>
      <w:r>
        <w:rPr>
          <w:rStyle w:val="VerbatimChar"/>
        </w:rPr>
        <w:t xml:space="preserve">IX_AimShipperIdPool_Available (FetchedAt) WHERE ConsumedAt IS NULL</w:t>
      </w:r>
      <w:r>
        <w:t xml:space="preserve"> </w:t>
      </w:r>
      <w:r>
        <w:t xml:space="preserve">— drives the FIFO</w:t>
      </w:r>
      <w:r>
        <w:t xml:space="preserve"> </w:t>
      </w:r>
      <w:r>
        <w:rPr>
          <w:rStyle w:val="VerbatimChar"/>
        </w:rPr>
        <w:t xml:space="preserve">_Claim</w:t>
      </w:r>
      <w:r>
        <w:t xml:space="preserve"> </w:t>
      </w:r>
      <w:r>
        <w:t xml:space="preserve">query (</w:t>
      </w:r>
      <w:r>
        <w:rPr>
          <w:rStyle w:val="VerbatimChar"/>
        </w:rPr>
        <w:t xml:space="preserve">UPDATE TOP (1) WITH (UPDLOCK, READPAST, ROWLOCK)</w:t>
      </w:r>
      <w:r>
        <w:t xml:space="preserve">) and the</w:t>
      </w:r>
      <w:r>
        <w:t xml:space="preserve"> </w:t>
      </w:r>
      <w:r>
        <w:rPr>
          <w:rStyle w:val="VerbatimChar"/>
        </w:rPr>
        <w:t xml:space="preserve">_GetDepth</w:t>
      </w:r>
      <w:r>
        <w:t xml:space="preserve"> </w:t>
      </w:r>
      <w:r>
        <w:t xml:space="preserve">count.</w:t>
      </w:r>
    </w:p>
    <w:p>
      <w:pPr>
        <w:pStyle w:val="Compact"/>
        <w:numPr>
          <w:ilvl w:val="0"/>
          <w:numId w:val="1009"/>
        </w:numPr>
      </w:pPr>
      <w:r>
        <w:rPr>
          <w:rStyle w:val="VerbatimChar"/>
        </w:rPr>
        <w:t xml:space="preserve">IX_AimShipperIdPool_Container ON (ConsumedByContainerId) WHERE ConsumedByContainerId IS NOT NULL</w:t>
      </w:r>
      <w:r>
        <w:t xml:space="preserve"> </w:t>
      </w:r>
      <w:r>
        <w:t xml:space="preserve">— supports</w:t>
      </w:r>
      <w:r>
        <w:t xml:space="preserve"> </w:t>
      </w:r>
      <w:r>
        <w:rPr>
          <w:rStyle w:val="VerbatimChar"/>
        </w:rPr>
        <w:t xml:space="preserve">_GetByContainer</w:t>
      </w:r>
      <w:r>
        <w:t xml:space="preserve"> </w:t>
      </w:r>
      <w:r>
        <w:t xml:space="preserve">traceability.</w:t>
      </w:r>
    </w:p>
    <w:p>
      <w:pPr>
        <w:pStyle w:val="FirstParagraph"/>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AimShipperIdPool</w:t>
      </w:r>
      <w:r>
        <w:t xml:space="preserve"> </w:t>
      </w:r>
      <w:r>
        <w:t xml:space="preserve">row.</w:t>
      </w:r>
      <w:r>
        <w:t xml:space="preserve"> </w:t>
      </w:r>
      <w:r>
        <w:rPr>
          <w:rStyle w:val="VerbatimChar"/>
        </w:rPr>
        <w:t xml:space="preserve">_Claim</w:t>
      </w:r>
      <w:r>
        <w:t xml:space="preserve"> </w:t>
      </w:r>
      <w:r>
        <w:t xml:space="preserve">writes an</w:t>
      </w:r>
      <w:r>
        <w:t xml:space="preserve"> </w:t>
      </w:r>
      <w:r>
        <w:rPr>
          <w:rStyle w:val="VerbatimChar"/>
        </w:rPr>
        <w:t xml:space="preserve">OperationLog</w:t>
      </w:r>
      <w:r>
        <w:t xml:space="preserve"> </w:t>
      </w:r>
      <w:r>
        <w:rPr>
          <w:rStyle w:val="VerbatimChar"/>
        </w:rPr>
        <w:t xml:space="preserve">Consumed</w:t>
      </w:r>
      <w:r>
        <w:t xml:space="preserve"> </w:t>
      </w:r>
      <w:r>
        <w:t xml:space="preserve">row (linked back to the closing container’s audit chain). Each</w:t>
      </w:r>
      <w:r>
        <w:t xml:space="preserve"> </w:t>
      </w:r>
      <w:r>
        <w:rPr>
          <w:rStyle w:val="VerbatimChar"/>
        </w:rPr>
        <w:t xml:space="preserve">_Topup</w:t>
      </w:r>
      <w:r>
        <w:t xml:space="preserve"> </w:t>
      </w:r>
      <w:r>
        <w:t xml:space="preserve">is</w:t>
      </w:r>
      <w:r>
        <w:t xml:space="preserve"> </w:t>
      </w:r>
      <w:r>
        <w:rPr>
          <w:i/>
          <w:iCs/>
        </w:rPr>
        <w:t xml:space="preserve">itself</w:t>
      </w:r>
      <w:r>
        <w:t xml:space="preserve"> </w:t>
      </w:r>
      <w:r>
        <w:t xml:space="preserve">preceded by an</w:t>
      </w:r>
      <w:r>
        <w:t xml:space="preserve"> </w:t>
      </w:r>
      <w:r>
        <w:rPr>
          <w:rStyle w:val="VerbatimChar"/>
        </w:rPr>
        <w:t xml:space="preserve">Audit.InterfaceLog</w:t>
      </w:r>
      <w:r>
        <w:t xml:space="preserve"> </w:t>
      </w:r>
      <w:r>
        <w:t xml:space="preserve">row (the AIM call) —</w:t>
      </w:r>
      <w:r>
        <w:t xml:space="preserve"> </w:t>
      </w:r>
      <w:r>
        <w:rPr>
          <w:rStyle w:val="VerbatimChar"/>
        </w:rPr>
        <w:t xml:space="preserve">FetchedInterfaceLogId</w:t>
      </w:r>
      <w:r>
        <w:t xml:space="preserve"> </w:t>
      </w:r>
      <w:r>
        <w:t xml:space="preserve">carries the FK so provenance is end-to-end queryable.</w:t>
      </w:r>
    </w:p>
    <w:bookmarkEnd w:id="54"/>
    <w:bookmarkStart w:id="55" w:name="aimpoolconfig"/>
    <w:p>
      <w:pPr>
        <w:pStyle w:val="Heading3"/>
      </w:pPr>
      <w:r>
        <w:t xml:space="preserve">AimPoolConfig</w:t>
      </w:r>
    </w:p>
    <w:p>
      <w:pPr>
        <w:pStyle w:val="FirstParagraph"/>
      </w:pPr>
      <w:r>
        <w:rPr>
          <w:b/>
          <w:bCs/>
        </w:rPr>
        <w:t xml:space="preserve">Added v1.9h (UJ-04 — AIM Pool configuration).</w:t>
      </w:r>
      <w:r>
        <w:t xml:space="preserve"> </w:t>
      </w:r>
      <w:r>
        <w:t xml:space="preserve">Single-row table holding the operator-configurable thresholds for the AIM Shipper ID pool. The Configuration Tool exposes these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Single-row enforced via</w:t>
      </w:r>
      <w:r>
        <w:t xml:space="preserve"> </w:t>
      </w:r>
      <w:r>
        <w:rPr>
          <w:rStyle w:val="VerbatimChar"/>
        </w:rPr>
        <w:t xml:space="preserve">CHECK (Id = 1)</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 CHECK (Id = 1)</w:t>
            </w:r>
          </w:p>
        </w:tc>
        <w:tc>
          <w:tcPr/>
          <w:p>
            <w:pPr>
              <w:pStyle w:val="Compact"/>
            </w:pPr>
            <w:r>
              <w:t xml:space="preserve">Always 1. Single-row table.</w:t>
            </w:r>
          </w:p>
        </w:tc>
      </w:tr>
      <w:tr>
        <w:tc>
          <w:tcPr>
            <w:shd w:val="clear" w:color="auto" w:fill="F2F2F2"/>
          </w:tcPr>
          <w:tcPr/>
          <w:p>
            <w:pPr>
              <w:pStyle w:val="Compact"/>
            </w:pPr>
            <w:r>
              <w:t xml:space="preserve">TargetBufferDepth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50, CHECK (TargetBufferDepth &gt; 0)</w:t>
            </w:r>
          </w:p>
        </w:tc>
        <w:tc>
          <w:tcPr>
            <w:shd w:val="clear" w:color="auto" w:fill="F2F2F2"/>
          </w:tcPr>
          <w:tcPr/>
          <w:p>
            <w:pPr>
              <w:pStyle w:val="Compact"/>
            </w:pPr>
            <w:r>
              <w:t xml:space="preserve">The desired pool depth — topup script refills toward this value.</w:t>
            </w:r>
          </w:p>
        </w:tc>
      </w:tr>
      <w:tr>
        <w:tc>
          <w:tcPr/>
          <w:p>
            <w:pPr>
              <w:pStyle w:val="Compact"/>
            </w:pPr>
            <w:r>
              <w:t xml:space="preserve">TopupThreshold</w:t>
            </w:r>
          </w:p>
        </w:tc>
        <w:tc>
          <w:tcPr/>
          <w:p>
            <w:pPr>
              <w:pStyle w:val="Compact"/>
            </w:pPr>
            <w:r>
              <w:t xml:space="preserve">INT</w:t>
            </w:r>
          </w:p>
        </w:tc>
        <w:tc>
          <w:tcPr/>
          <w:p>
            <w:pPr>
              <w:pStyle w:val="Compact"/>
            </w:pPr>
            <w:r>
              <w:t xml:space="preserve">NOT NULL, DEFAULT 30, CHECK (TopupThreshold &gt;= 0 AND TopupThreshold &lt; TargetBufferDepth)</w:t>
            </w:r>
          </w:p>
        </w:tc>
        <w:tc>
          <w:tcPr/>
          <w:p>
            <w:pPr>
              <w:pStyle w:val="Compact"/>
            </w:pPr>
            <w:r>
              <w:t xml:space="preserve">Topup script triggers when</w:t>
            </w:r>
            <w:r>
              <w:t xml:space="preserve"> </w:t>
            </w:r>
            <w:r>
              <w:rPr>
                <w:rStyle w:val="VerbatimChar"/>
              </w:rPr>
              <w:t xml:space="preserve">AvailableCount &lt; TopupThreshold</w:t>
            </w:r>
            <w:r>
              <w:t xml:space="preserve">.</w:t>
            </w:r>
          </w:p>
        </w:tc>
      </w:tr>
      <w:tr>
        <w:tc>
          <w:tcPr>
            <w:shd w:val="clear" w:color="auto" w:fill="F2F2F2"/>
          </w:tcPr>
          <w:tcPr/>
          <w:p>
            <w:pPr>
              <w:pStyle w:val="Compact"/>
            </w:pPr>
            <w:r>
              <w:t xml:space="preserve">AlarmWarningDepth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20, CHECK (AlarmWarningDepth &gt;= 0 AND AlarmWarningDepth &lt; TopupThreshold)</w:t>
            </w:r>
          </w:p>
        </w:tc>
        <w:tc>
          <w:tcPr>
            <w:shd w:val="clear" w:color="auto" w:fill="F2F2F2"/>
          </w:tcPr>
          <w:tcPr/>
          <w:p>
            <w:pPr>
              <w:pStyle w:val="Compact"/>
            </w:pPr>
            <w:r>
              <w:t xml:space="preserve">Supervisor wallboard tile turns yellow when</w:t>
            </w:r>
            <w:r>
              <w:t xml:space="preserve"> </w:t>
            </w:r>
            <w:r>
              <w:rPr>
                <w:rStyle w:val="VerbatimChar"/>
              </w:rPr>
              <w:t xml:space="preserve">AvailableCount &lt; AlarmWarningDepth</w:t>
            </w:r>
            <w:r>
              <w:t xml:space="preserve">.</w:t>
            </w:r>
          </w:p>
        </w:tc>
      </w:tr>
      <w:tr>
        <w:tc>
          <w:tcPr/>
          <w:p>
            <w:pPr>
              <w:pStyle w:val="Compact"/>
            </w:pPr>
            <w:r>
              <w:t xml:space="preserve">AlarmCriticalDepth</w:t>
            </w:r>
          </w:p>
        </w:tc>
        <w:tc>
          <w:tcPr/>
          <w:p>
            <w:pPr>
              <w:pStyle w:val="Compact"/>
            </w:pPr>
            <w:r>
              <w:t xml:space="preserve">INT</w:t>
            </w:r>
          </w:p>
        </w:tc>
        <w:tc>
          <w:tcPr/>
          <w:p>
            <w:pPr>
              <w:pStyle w:val="Compact"/>
            </w:pPr>
            <w:r>
              <w:t xml:space="preserve">NOT NULL, DEFAULT 10, CHECK (AlarmCriticalDepth &gt;= 0 AND AlarmCriticalDepth &lt; AlarmWarningDepth)</w:t>
            </w:r>
          </w:p>
        </w:tc>
        <w:tc>
          <w:tcPr/>
          <w:p>
            <w:pPr>
              <w:pStyle w:val="Compact"/>
            </w:pPr>
            <w:r>
              <w:t xml:space="preserve">Supervisor alarm + IT notification fires when</w:t>
            </w:r>
            <w:r>
              <w:t xml:space="preserve"> </w:t>
            </w:r>
            <w:r>
              <w:rPr>
                <w:rStyle w:val="VerbatimChar"/>
              </w:rPr>
              <w:t xml:space="preserve">AvailableCount &lt; AlarmCriticalDepth</w:t>
            </w:r>
            <w:r>
              <w:t xml:space="preserve">.</w:t>
            </w: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Location.AppUser.Id, NULL</w:t>
            </w:r>
          </w:p>
        </w:tc>
        <w:tc>
          <w:tcPr/>
          <w:p>
            <w:pPr>
              <w:pStyle w:val="Compact"/>
            </w:pPr>
          </w:p>
        </w:tc>
      </w:tr>
    </w:tbl>
    <w:p>
      <w:pPr>
        <w:pStyle w:val="BodyText"/>
      </w:pPr>
      <w:r>
        <w:rPr>
          <w:b/>
          <w:bCs/>
        </w:rPr>
        <w:t xml:space="preserve">Seed (at Arc 2 Phase 7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TargetBufferDepth</w:t>
            </w:r>
          </w:p>
        </w:tc>
        <w:tc>
          <w:tcPr>
            <w:shd w:val="clear" w:color="auto" w:fill="1F4E79"/>
          </w:tcPr>
          <w:tcPr/>
          <w:p>
            <w:pPr>
              <w:pStyle w:val="Compact"/>
            </w:pPr>
            <w:r>
              <w:rPr>
                <w:b/>
                <w:color w:val="FFFFFF"/>
              </w:rPr>
              <w:t xml:space="preserve">TopupThreshold</w:t>
            </w:r>
          </w:p>
        </w:tc>
        <w:tc>
          <w:tcPr>
            <w:shd w:val="clear" w:color="auto" w:fill="1F4E79"/>
          </w:tcPr>
          <w:tcPr/>
          <w:p>
            <w:pPr>
              <w:pStyle w:val="Compact"/>
            </w:pPr>
            <w:r>
              <w:rPr>
                <w:b/>
                <w:color w:val="FFFFFF"/>
              </w:rPr>
              <w:t xml:space="preserve">AlarmWarningDepth</w:t>
            </w:r>
          </w:p>
        </w:tc>
        <w:tc>
          <w:tcPr>
            <w:shd w:val="clear" w:color="auto" w:fill="1F4E79"/>
          </w:tcPr>
          <w:tcPr/>
          <w:p>
            <w:pPr>
              <w:pStyle w:val="Compact"/>
            </w:pPr>
            <w:r>
              <w:rPr>
                <w:b/>
                <w:color w:val="FFFFFF"/>
              </w:rPr>
              <w:t xml:space="preserve">AlarmCriticalDepth</w:t>
            </w:r>
          </w:p>
        </w:tc>
      </w:tr>
      <w:tr>
        <w:tc>
          <w:tcPr/>
          <w:p>
            <w:pPr>
              <w:pStyle w:val="Compact"/>
            </w:pPr>
            <w:r>
              <w:t xml:space="preserve">1</w:t>
            </w:r>
          </w:p>
        </w:tc>
        <w:tc>
          <w:tcPr/>
          <w:p>
            <w:pPr>
              <w:pStyle w:val="Compact"/>
            </w:pPr>
            <w:r>
              <w:t xml:space="preserve">50</w:t>
            </w:r>
          </w:p>
        </w:tc>
        <w:tc>
          <w:tcPr/>
          <w:p>
            <w:pPr>
              <w:pStyle w:val="Compact"/>
            </w:pPr>
            <w:r>
              <w:t xml:space="preserve">30</w:t>
            </w:r>
          </w:p>
        </w:tc>
        <w:tc>
          <w:tcPr/>
          <w:p>
            <w:pPr>
              <w:pStyle w:val="Compact"/>
            </w:pPr>
            <w:r>
              <w:t xml:space="preserve">20</w:t>
            </w:r>
          </w:p>
        </w:tc>
        <w:tc>
          <w:tcPr/>
          <w:p>
            <w:pPr>
              <w:pStyle w:val="Compact"/>
            </w:pPr>
            <w:r>
              <w:t xml:space="preserve">10</w:t>
            </w:r>
          </w:p>
        </w:tc>
      </w:tr>
    </w:tbl>
    <w:p>
      <w:pPr>
        <w:pStyle w:val="BodyText"/>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AimPoolConfig</w:t>
      </w:r>
      <w:r>
        <w:t xml:space="preserve"> </w:t>
      </w:r>
      <w:r>
        <w:t xml:space="preserve">row.</w:t>
      </w:r>
      <w:r>
        <w:t xml:space="preserve"> </w:t>
      </w:r>
      <w:r>
        <w:rPr>
          <w:rStyle w:val="VerbatimChar"/>
        </w:rPr>
        <w:t xml:space="preserve">_Update</w:t>
      </w:r>
      <w:r>
        <w:t xml:space="preserve"> </w:t>
      </w:r>
      <w:r>
        <w:t xml:space="preserve">writes a</w:t>
      </w:r>
      <w:r>
        <w:t xml:space="preserve"> </w:t>
      </w:r>
      <w:r>
        <w:rPr>
          <w:rStyle w:val="VerbatimChar"/>
        </w:rPr>
        <w:t xml:space="preserve">ConfigLog</w:t>
      </w:r>
      <w:r>
        <w:t xml:space="preserve"> </w:t>
      </w:r>
      <w:r>
        <w:t xml:space="preserve">row.</w:t>
      </w:r>
    </w:p>
    <w:p>
      <w:r>
        <w:pict>
          <v:rect style="width:0;height:1.5pt" o:hralign="center" o:hrstd="t" o:hr="t"/>
        </w:pict>
      </w:r>
    </w:p>
    <w:bookmarkEnd w:id="55"/>
    <w:bookmarkEnd w:id="56"/>
    <w:bookmarkStart w:id="67"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7"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7"/>
    <w:bookmarkStart w:id="58"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8"/>
    <w:bookmarkStart w:id="59"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9"/>
    <w:bookmarkStart w:id="60"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landed:</w:t>
      </w:r>
      <w:r>
        <w:t xml:space="preserve"> </w:t>
      </w:r>
      <w:r>
        <w:t xml:space="preserve">Migration</w:t>
      </w:r>
      <w:r>
        <w:t xml:space="preserve"> </w:t>
      </w:r>
      <w:r>
        <w:rPr>
          <w:rStyle w:val="VerbatimChar"/>
        </w:rPr>
        <w:t xml:space="preserve">0013_oi07_oi12_corrections.sql</w:t>
      </w:r>
      <w:r>
        <w:t xml:space="preserve"> </w:t>
      </w:r>
      <w:r>
        <w:t xml:space="preserve">(2026-04-28) collapsed the seed to a single</w:t>
      </w:r>
      <w:r>
        <w:t xml:space="preserve"> </w:t>
      </w:r>
      <w:r>
        <w:rPr>
          <w:rStyle w:val="VerbatimChar"/>
        </w:rPr>
        <w:t xml:space="preserve">Production</w:t>
      </w:r>
      <w:r>
        <w:t xml:space="preserve"> </w:t>
      </w:r>
      <w:r>
        <w:t xml:space="preserve">row and updated</w:t>
      </w:r>
      <w:r>
        <w:t xml:space="preserve"> </w:t>
      </w:r>
      <w:r>
        <w:rPr>
          <w:rStyle w:val="VerbatimChar"/>
        </w:rPr>
        <w:t xml:space="preserve">sql/tests/0019_Parts_ConsumptionMetadata_And_ScrapSource/010_Phase_E_additives.sql</w:t>
      </w:r>
      <w:r>
        <w:t xml:space="preserve"> </w:t>
      </w:r>
      <w:r>
        <w:t xml:space="preserve">accordingly. 858/858 tests passing.</w:t>
      </w:r>
    </w:p>
    <w:bookmarkEnd w:id="60"/>
    <w:bookmarkStart w:id="61" w:name="workorder"/>
    <w:p>
      <w:pPr>
        <w:pStyle w:val="Heading3"/>
      </w:pPr>
      <w:r>
        <w:t xml:space="preserve">WorkOrder</w:t>
      </w:r>
    </w:p>
    <w:p>
      <w:pPr>
        <w:pStyle w:val="FirstParagraph"/>
      </w:pPr>
      <w:r>
        <w:t xml:space="preserve">Auto-generated internal work order. Operators never see this. The table carries</w:t>
      </w:r>
      <w:r>
        <w:t xml:space="preserve"> </w:t>
      </w:r>
      <w:r>
        <w:rPr>
          <w:rStyle w:val="VerbatimChar"/>
        </w:rPr>
        <w:t xml:space="preserve">WorkOrderTypeId</w:t>
      </w:r>
      <w:r>
        <w:t xml:space="preserve"> </w:t>
      </w:r>
      <w:r>
        <w:t xml:space="preserve">(discriminator FK →</w:t>
      </w:r>
      <w:r>
        <w:t xml:space="preserve"> </w:t>
      </w:r>
      <w:r>
        <w:rPr>
          <w:rStyle w:val="VerbatimChar"/>
        </w:rPr>
        <w:t xml:space="preserve">WorkOrderType</w:t>
      </w:r>
      <w:r>
        <w:t xml:space="preserve">, defaults to the single-seeded</w:t>
      </w:r>
      <w:r>
        <w:t xml:space="preserve"> </w:t>
      </w:r>
      <w:r>
        <w:rPr>
          <w:rStyle w:val="VerbatimChar"/>
        </w:rPr>
        <w:t xml:space="preserve">Production</w:t>
      </w:r>
      <w:r>
        <w:t xml:space="preserve"> </w:t>
      </w:r>
      <w:r>
        <w:t xml:space="preserve">row) and</w:t>
      </w:r>
      <w:r>
        <w:t xml:space="preserve"> </w:t>
      </w:r>
      <w:r>
        <w:rPr>
          <w:rStyle w:val="VerbatimChar"/>
        </w:rPr>
        <w:t xml:space="preserve">ToolId</w:t>
      </w:r>
      <w:r>
        <w:t xml:space="preserve"> </w:t>
      </w:r>
      <w:r>
        <w:t xml:space="preserve">(nullable FK →</w:t>
      </w:r>
      <w:r>
        <w:t xml:space="preserve"> </w:t>
      </w:r>
      <w:r>
        <w:rPr>
          <w:rStyle w:val="VerbatimChar"/>
        </w:rPr>
        <w:t xml:space="preserve">Tools.Tool</w:t>
      </w:r>
      <w:r>
        <w:t xml:space="preserve">, schema hook for FUTURE Maintenance WOs — unpopulated in MVP).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61"/>
    <w:bookmarkStart w:id="62"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AppUserId</w:t>
            </w:r>
          </w:p>
        </w:tc>
        <w:tc>
          <w:tcPr/>
          <w:p>
            <w:pPr>
              <w:pStyle w:val="Compact"/>
            </w:pPr>
            <w:r>
              <w:t xml:space="preserve">BIGINT</w:t>
            </w:r>
          </w:p>
        </w:tc>
        <w:tc>
          <w:tcPr/>
          <w:p>
            <w:pPr>
              <w:pStyle w:val="Compact"/>
            </w:pPr>
            <w:r>
              <w:t xml:space="preserve">FK → AppUser.Id, NULL</w:t>
            </w:r>
          </w:p>
        </w:tc>
        <w:tc>
          <w:tcPr/>
          <w:p>
            <w:pPr>
              <w:pStyle w:val="Compact"/>
            </w:pPr>
            <w:r>
              <w:t xml:space="preserve">Operator who ran the operation</w:t>
            </w:r>
          </w:p>
        </w:tc>
      </w:tr>
    </w:tbl>
    <w:bookmarkEnd w:id="62"/>
    <w:bookmarkStart w:id="63" w:name="productionevent"/>
    <w:p>
      <w:pPr>
        <w:pStyle w:val="Heading3"/>
      </w:pPr>
      <w:r>
        <w:t xml:space="preserve">ProductionEvent</w:t>
      </w:r>
    </w:p>
    <w:p>
      <w:pPr>
        <w:pStyle w:val="FirstParagraph"/>
      </w:pPr>
      <w:r>
        <w:rPr>
          <w:b/>
          <w:bCs/>
        </w:rPr>
        <w:t xml:space="preserve">Checkpoint-shape event table.</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odyText"/>
      </w:pPr>
      <w:r>
        <w:rPr>
          <w:b/>
          <w:bCs/>
        </w:rPr>
        <w:t xml:space="preserve">What’s deliberately NOT on this table: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3"/>
    <w:bookmarkStart w:id="64"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4"/>
    <w:bookmarkStart w:id="65"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scanned the consumption</w:t>
            </w: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5"/>
    <w:bookmarkStart w:id="66"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recorded the reject</w:t>
            </w: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6"/>
    <w:bookmarkEnd w:id="67"/>
    <w:bookmarkStart w:id="81"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8"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8"/>
    <w:bookmarkStart w:id="69"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9"/>
    <w:bookmarkStart w:id="70"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70"/>
    <w:bookmarkStart w:id="71"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71"/>
    <w:bookmarkStart w:id="72"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72"/>
    <w:bookmarkStart w:id="73"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Canonical string storage of the measured value, parsed per</w:t>
            </w:r>
            <w:r>
              <w:t xml:space="preserve"> </w:t>
            </w:r>
            <w:r>
              <w:rPr>
                <w:rStyle w:val="VerbatimChar"/>
              </w:rPr>
              <w:t xml:space="preserve">QualitySpecAttribute.DataType</w:t>
            </w:r>
            <w:r>
              <w:t xml:space="preserv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rPr>
                <w:b/>
                <w:bCs/>
              </w:rPr>
              <w:t xml:space="preserve">Added v1.9p.</w:t>
            </w:r>
            <w:r>
              <w:t xml:space="preserve"> </w:t>
            </w:r>
            <w:r>
              <w:t xml:space="preserve">Numeric shadow of</w:t>
            </w:r>
            <w:r>
              <w:t xml:space="preserve"> </w:t>
            </w:r>
            <w:r>
              <w:rPr>
                <w:rStyle w:val="VerbatimChar"/>
              </w:rPr>
              <w:t xml:space="preserve">MeasuredValue</w:t>
            </w:r>
            <w:r>
              <w:t xml:space="preserve">, populated when the attribute is numeric — enables indexable range / SPC / Cpk queries over measured results without parsing</w:t>
            </w:r>
            <w:r>
              <w:t xml:space="preserve"> </w:t>
            </w:r>
            <w:r>
              <w:rPr>
                <w:rStyle w:val="VerbatimChar"/>
              </w:rPr>
              <w:t xml:space="preserve">MeasuredValue</w:t>
            </w:r>
            <w:r>
              <w:t xml:space="preserve">. Mirrors</w:t>
            </w:r>
            <w:r>
              <w:t xml:space="preserve"> </w:t>
            </w:r>
            <w:r>
              <w:rPr>
                <w:rStyle w:val="VerbatimChar"/>
              </w:rPr>
              <w:t xml:space="preserve">Workorder.ProductionEventValue.NumericValue</w:t>
            </w:r>
            <w:r>
              <w:t xml:space="preserve">. NULL for non-numeric (string / boolean) attributes; the Arc 2 write proc sets it when</w:t>
            </w:r>
            <w:r>
              <w:t xml:space="preserve"> </w:t>
            </w:r>
            <w:r>
              <w:rPr>
                <w:rStyle w:val="VerbatimChar"/>
              </w:rPr>
              <w:t xml:space="preserve">QualitySpecAttribute.DataType</w:t>
            </w:r>
            <w:r>
              <w:t xml:space="preserve"> </w:t>
            </w:r>
            <w:r>
              <w:t xml:space="preserve">∈ {Integer, Decimal}. Cheap to add now (table is Arc 2-deferred, unbuilt); painful to retrofit onto a 20M+ row table later.</w:t>
            </w:r>
          </w:p>
        </w:tc>
      </w:tr>
      <w:tr>
        <w:tc>
          <w:tcPr>
            <w:shd w:val="clear" w:color="auto" w:fill="F2F2F2"/>
          </w:tcPr>
          <w:tcPr/>
          <w:p>
            <w:pPr>
              <w:pStyle w:val="Compact"/>
            </w:pPr>
            <w:r>
              <w:t xml:space="preserve">Uom</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IsPass</w:t>
            </w:r>
          </w:p>
        </w:tc>
        <w:tc>
          <w:tcPr/>
          <w:p>
            <w:pPr>
              <w:pStyle w:val="Compact"/>
            </w:pPr>
            <w:r>
              <w:t xml:space="preserve">BIT</w:t>
            </w:r>
          </w:p>
        </w:tc>
        <w:tc>
          <w:tcPr/>
          <w:p>
            <w:pPr>
              <w:pStyle w:val="Compact"/>
            </w:pPr>
            <w:r>
              <w:t xml:space="preserve">NOT NULL</w:t>
            </w:r>
          </w:p>
        </w:tc>
        <w:tc>
          <w:tcPr/>
          <w:p>
            <w:pPr>
              <w:pStyle w:val="Compact"/>
            </w:pPr>
          </w:p>
        </w:tc>
      </w:tr>
    </w:tbl>
    <w:bookmarkEnd w:id="73"/>
    <w:bookmarkStart w:id="74"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4"/>
    <w:bookmarkStart w:id="75"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6"/>
    <w:bookmarkStart w:id="77"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7"/>
    <w:bookmarkStart w:id="78"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8"/>
    <w:bookmarkStart w:id="79"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9"/>
    <w:bookmarkStart w:id="80"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80"/>
    <w:bookmarkEnd w:id="81"/>
    <w:bookmarkStart w:id="89"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82"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2"/>
    <w:bookmarkStart w:id="83"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3"/>
    <w:bookmarkStart w:id="84"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4"/>
    <w:bookmarkStart w:id="85"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5"/>
    <w:bookmarkStart w:id="86"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6"/>
    <w:bookmarkStart w:id="87"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Operator who recorded / acknowledged the event (NULL for PLC-driven events without operator action)</w:t>
            </w: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Warm-up shot tracking (UJ-14, ✅ Resolved 2026-04-27 per OIR v2.14).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w:t>
      </w:r>
    </w:p>
    <w:bookmarkEnd w:id="87"/>
    <w:bookmarkStart w:id="88"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8"/>
    <w:bookmarkEnd w:id="89"/>
    <w:bookmarkStart w:id="102"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90"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90"/>
    <w:bookmarkStart w:id="91"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CompatibleLocationTypeDefinitionId</w:t>
            </w:r>
          </w:p>
        </w:tc>
        <w:tc>
          <w:tcPr/>
          <w:p>
            <w:pPr>
              <w:pStyle w:val="Compact"/>
            </w:pPr>
            <w:r>
              <w:t xml:space="preserve">BIGINT</w:t>
            </w:r>
          </w:p>
        </w:tc>
        <w:tc>
          <w:tcPr/>
          <w:p>
            <w:pPr>
              <w:pStyle w:val="Compact"/>
            </w:pPr>
            <w:r>
              <w:t xml:space="preserve">FK → Location.LocationTypeDefinition.Id, NULL</w:t>
            </w:r>
          </w:p>
        </w:tc>
        <w:tc>
          <w:tcPr/>
          <w:p>
            <w:pPr>
              <w:pStyle w:val="Compact"/>
            </w:pPr>
            <w:r>
              <w:t xml:space="preserve">Added v1.9o (migration</w:t>
            </w:r>
            <w:r>
              <w:t xml:space="preserve"> </w:t>
            </w:r>
            <w:r>
              <w:rPr>
                <w:rStyle w:val="VerbatimChar"/>
              </w:rPr>
              <w:t xml:space="preserve">0018</w:t>
            </w:r>
            <w:r>
              <w:t xml:space="preserve">). The</w:t>
            </w:r>
            <w:r>
              <w:t xml:space="preserve"> </w:t>
            </w:r>
            <w:r>
              <w:rPr>
                <w:rStyle w:val="VerbatimChar"/>
              </w:rPr>
              <w:t xml:space="preserve">Cell</w:t>
            </w:r>
            <w:r>
              <w:t xml:space="preserve">-kind a tool of this type may mount on — drives the Mount-to-Cell dropdown filter (</w:t>
            </w:r>
            <w:r>
              <w:rPr>
                <w:rStyle w:val="VerbatimChar"/>
              </w:rPr>
              <w:t xml:space="preserve">Tools.Tool_ListCompatibleCells</w:t>
            </w:r>
            <w:r>
              <w:t xml:space="preserve">). NON-NULL restricts the dropdown to that single cell kind; NULL = no restriction (all</w:t>
            </w:r>
            <w:r>
              <w:t xml:space="preserve"> </w:t>
            </w:r>
            <w:r>
              <w:rPr>
                <w:rStyle w:val="VerbatimChar"/>
              </w:rPr>
              <w:t xml:space="preserve">Cell</w:t>
            </w:r>
            <w:r>
              <w:t xml:space="preserve">-tier Locations). One-to-one by design — a tool type maps to at most one cell kind. Seeded</w:t>
            </w:r>
            <w:r>
              <w:t xml:space="preserve"> </w:t>
            </w:r>
            <w:r>
              <w:rPr>
                <w:rStyle w:val="VerbatimChar"/>
              </w:rPr>
              <w:t xml:space="preserve">Die → DieCastMachine</w:t>
            </w:r>
            <w:r>
              <w:t xml:space="preserve">; all other types NULL until their flows activate.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UI ordering</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r>
              <w:t xml:space="preserve"> </w:t>
            </w:r>
            <w:r>
              <w:rPr>
                <w:rStyle w:val="VerbatimChar"/>
              </w:rPr>
              <w:t xml:space="preserve">CompatibleLocationTypeDefinitionId → DieCastMachine</w:t>
            </w:r>
            <w:r>
              <w:t xml:space="preserve"> </w:t>
            </w:r>
            <w:r>
              <w:t xml:space="preserve">(seeded v1.9o).</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91"/>
    <w:bookmarkStart w:id="92"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92"/>
    <w:bookmarkStart w:id="93"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3"/>
    <w:bookmarkStart w:id="94"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4"/>
    <w:bookmarkStart w:id="95"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5"/>
    <w:bookmarkStart w:id="96"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6"/>
    <w:bookmarkStart w:id="97"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7"/>
    <w:bookmarkStart w:id="98"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8"/>
    <w:bookmarkStart w:id="99"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9"/>
    <w:bookmarkStart w:id="100"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100"/>
    <w:bookmarkStart w:id="101" w:name="cross-references"/>
    <w:p>
      <w:pPr>
        <w:pStyle w:val="Heading3"/>
      </w:pPr>
      <w:r>
        <w:t xml:space="preserve">Cross-references</w:t>
      </w:r>
    </w:p>
    <w:p>
      <w:pPr>
        <w:pStyle w:val="Compact"/>
        <w:numPr>
          <w:ilvl w:val="0"/>
          <w:numId w:val="1010"/>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Schema hook for</w:t>
      </w:r>
      <w:r>
        <w:t xml:space="preserve"> </w:t>
      </w:r>
      <w:r>
        <w:rPr>
          <w:b/>
          <w:bCs/>
        </w:rPr>
        <w:t xml:space="preserve">FUTURE</w:t>
      </w:r>
      <w:r>
        <w:t xml:space="preserve"> </w:t>
      </w:r>
      <w:r>
        <w:t xml:space="preserve">Maintenance WOs targeting a Tool. The only</w:t>
      </w:r>
      <w:r>
        <w:t xml:space="preserve"> </w:t>
      </w:r>
      <w:r>
        <w:rPr>
          <w:rStyle w:val="VerbatimChar"/>
        </w:rPr>
        <w:t xml:space="preserve">WorkOrderType</w:t>
      </w:r>
      <w:r>
        <w:t xml:space="preserve"> </w:t>
      </w:r>
      <w:r>
        <w:t xml:space="preserve">seeded in MVP is</w:t>
      </w:r>
      <w:r>
        <w:t xml:space="preserve"> </w:t>
      </w:r>
      <w:r>
        <w:rPr>
          <w:rStyle w:val="VerbatimChar"/>
        </w:rPr>
        <w:t xml:space="preserve">Production</w:t>
      </w:r>
      <w:r>
        <w:t xml:space="preserve">, which legitimately has NULL</w:t>
      </w:r>
      <w:r>
        <w:t xml:space="preserve"> </w:t>
      </w:r>
      <w:r>
        <w:rPr>
          <w:rStyle w:val="VerbatimChar"/>
        </w:rPr>
        <w:t xml:space="preserve">ToolId</w:t>
      </w:r>
      <w:r>
        <w:t xml:space="preserve">; the proc layer will enforce non-NULL on Maintenance WOs once that flow activates.</w:t>
      </w:r>
    </w:p>
    <w:p>
      <w:pPr>
        <w:pStyle w:val="Compact"/>
        <w:numPr>
          <w:ilvl w:val="0"/>
          <w:numId w:val="1010"/>
        </w:numPr>
      </w:pPr>
      <w:r>
        <w:rPr>
          <w:b/>
          <w:bCs/>
        </w:rPr>
        <w:t xml:space="preserve">Workorder.ProductionEvent → Lots.Lot.ToolId / Lots.Lot.ToolCavityId</w:t>
      </w:r>
      <w:r>
        <w:t xml:space="preserve"> </w:t>
      </w:r>
      <w:r>
        <w:t xml:space="preserve">(§4 + §3) — Tool and Cavity at event time are derived via</w:t>
      </w:r>
      <w:r>
        <w:t xml:space="preserve"> </w:t>
      </w:r>
      <w:r>
        <w:rPr>
          <w:rStyle w:val="VerbatimChar"/>
        </w:rPr>
        <w:t xml:space="preserve">ProductionEvent.LotId → Lots.Lot.ToolId</w:t>
      </w:r>
      <w:r>
        <w:t xml:space="preserve"> </w:t>
      </w:r>
      <w:r>
        <w:t xml:space="preserve">/</w:t>
      </w:r>
      <w:r>
        <w:t xml:space="preserve"> </w:t>
      </w:r>
      <w:r>
        <w:rPr>
          <w:rStyle w:val="VerbatimChar"/>
        </w:rPr>
        <w:t xml:space="preserve">.ToolCavityId</w:t>
      </w:r>
      <w:r>
        <w:t xml:space="preserve">. The pre-v1.9</w:t>
      </w:r>
      <w:r>
        <w:t xml:space="preserve"> </w:t>
      </w:r>
      <w:r>
        <w:rPr>
          <w:rStyle w:val="VerbatimChar"/>
        </w:rPr>
        <w:t xml:space="preserve">ProductionEvent.DieIdentifier</w:t>
      </w:r>
      <w:r>
        <w:t xml:space="preserve"> </w:t>
      </w:r>
      <w:r>
        <w:t xml:space="preserve">(NVARCHAR snapshot) and</w:t>
      </w:r>
      <w:r>
        <w:t xml:space="preserve"> </w:t>
      </w:r>
      <w:r>
        <w:rPr>
          <w:rStyle w:val="VerbatimChar"/>
        </w:rPr>
        <w:t xml:space="preserve">CavityNumber</w:t>
      </w:r>
      <w:r>
        <w:t xml:space="preserve"> </w:t>
      </w:r>
      <w:r>
        <w:t xml:space="preserve">columns were dropped in the v1.9 reshape —</w:t>
      </w:r>
      <w:r>
        <w:t xml:space="preserve"> </w:t>
      </w:r>
      <w:r>
        <w:rPr>
          <w:rStyle w:val="VerbatimChar"/>
        </w:rPr>
        <w:t xml:space="preserve">Lots.Lot</w:t>
      </w:r>
      <w:r>
        <w:t xml:space="preserve"> </w:t>
      </w:r>
      <w:r>
        <w:t xml:space="preserve">is the system of record for die-cast LOTs and never mutates the Tool / Cavity FK after creation, so the snapshot was redundant.</w:t>
      </w:r>
    </w:p>
    <w:p>
      <w:pPr>
        <w:pStyle w:val="Compact"/>
        <w:numPr>
          <w:ilvl w:val="0"/>
          <w:numId w:val="1010"/>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10"/>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w:t>
      </w:r>
    </w:p>
    <w:p>
      <w:r>
        <w:pict>
          <v:rect style="width:0;height:1.5pt" o:hralign="center" o:hrstd="t" o:hr="t"/>
        </w:pict>
      </w:r>
    </w:p>
    <w:bookmarkEnd w:id="101"/>
    <w:bookmarkEnd w:id="102"/>
    <w:bookmarkStart w:id="110"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3"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3"/>
    <w:bookmarkStart w:id="104"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4"/>
    <w:bookmarkStart w:id="105"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5"/>
    <w:bookmarkStart w:id="106"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6"/>
    <w:bookmarkStart w:id="107"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7"/>
    <w:bookmarkStart w:id="108"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8"/>
    <w:bookmarkStart w:id="109"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2026-06-08T18:42:22Z</dcterms:created>
  <dcterms:modified xsi:type="dcterms:W3CDTF">2026-06-08T18:42:22Z</dcterms:modified>
</cp:coreProperties>
</file>

<file path=docProps/custom.xml><?xml version="1.0" encoding="utf-8"?>
<Properties xmlns="http://schemas.openxmlformats.org/officeDocument/2006/custom-properties" xmlns:vt="http://schemas.openxmlformats.org/officeDocument/2006/docPropsVTypes"/>
</file>