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1.3 — Customer Review Release</w:t>
      </w:r>
      <w:r>
        <w:t xml:space="preserve"> </w:t>
      </w:r>
      <w:r>
        <w:rPr>
          <w:b/>
          <w:bCs/>
        </w:rPr>
        <w:t xml:space="preserve">Date:</w:t>
      </w:r>
      <w:r>
        <w:t xml:space="preserve"> </w:t>
      </w:r>
      <w:r>
        <w:t xml:space="preserve">2026-06-03</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1.3</w:t>
            </w:r>
          </w:p>
        </w:tc>
        <w:tc>
          <w:tcPr/>
          <w:p>
            <w:pPr>
              <w:pStyle w:val="Compact"/>
            </w:pPr>
            <w:r>
              <w:t xml:space="preserve">2026-06-03</w:t>
            </w:r>
          </w:p>
        </w:tc>
        <w:tc>
          <w:tcPr/>
          <w:p>
            <w:pPr>
              <w:pStyle w:val="Compact"/>
            </w:pPr>
            <w:r>
              <w:t xml:space="preserve">Blue Ridge Automation</w:t>
            </w:r>
          </w:p>
        </w:tc>
        <w:tc>
          <w:tcPr/>
          <w:p>
            <w:pPr>
              <w:pStyle w:val="Compact"/>
            </w:pPr>
            <w:r>
              <w:rPr>
                <w:b/>
                <w:bCs/>
              </w:rPr>
              <w:t xml:space="preserve">Sub-LOT split relocated from Trim OUT to Machining OUT</w:t>
            </w:r>
            <w:r>
              <w:t xml:space="preserve"> </w:t>
            </w:r>
            <w:r>
              <w:t xml:space="preserve">(per MPP, confirmed 2026-06 — supersedes the prior Trim-OUT split design; not an open item, the question is settled with the customer). Trim is now a</w:t>
            </w:r>
            <w:r>
              <w:t xml:space="preserve"> </w:t>
            </w:r>
            <w:r>
              <w:rPr>
                <w:b/>
                <w:bCs/>
              </w:rPr>
              <w:t xml:space="preserve">1:1 whole-LOT move tracked at Area resolution</w:t>
            </w:r>
            <w:r>
              <w:t xml:space="preserve"> </w:t>
            </w:r>
            <w:r>
              <w:t xml:space="preserve">(check-in → process → check-out, no line/cell tracking, no split). The Trim → Machining rename still fires at Machining IN (FDS-05-033) on the whole LOT; the split into N machined sub-LOTs now fires at</w:t>
            </w:r>
            <w:r>
              <w:t xml:space="preserve"> </w:t>
            </w:r>
            <w:r>
              <w:rPr>
                <w:b/>
                <w:bCs/>
              </w:rPr>
              <w:t xml:space="preserve">Machining OUT</w:t>
            </w:r>
            <w:r>
              <w:t xml:space="preserve"> </w:t>
            </w:r>
            <w:r>
              <w:t xml:space="preserve">on lines that sublot — physical signature is a dedicated Machining OUT terminal. Edits: FDS-05-009 (retitled</w:t>
            </w:r>
            <w:r>
              <w:t xml:space="preserve"> </w:t>
            </w:r>
            <w:r>
              <w:t xml:space="preserve">“Machining OUT Sub-LOT Split Workflow”</w:t>
            </w:r>
            <w:r>
              <w:t xml:space="preserve">), FDS-06-006 (Trim OUT → whole-LOT move), FDS-06-004 (Trim tracked at Area), FDS-06-007 (Machining IN FIFO holds whole LOTs), FDS-06-008 (Machining OUT branches: split on sublotting lines, else auto-move to coupled Assembly), §5.4 intro, §6.3 / §6.4 narrative, and the §8 partial-quality-split reference (now points to FDS-05-022).</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so the Arc 2 Phase 1 build (</w:t>
            </w:r>
            <w:r>
              <w:rPr>
                <w:rStyle w:val="VerbatimChar"/>
              </w:rPr>
              <w:t xml:space="preserve">0014</w:t>
            </w:r>
            <w:r>
              <w:t xml:space="preserve">) is unaffected.</w:t>
            </w:r>
          </w:p>
        </w:tc>
      </w:tr>
      <w:tr>
        <w:tc>
          <w:tcPr>
            <w:shd w:val="clear" w:color="auto" w:fill="F2F2F2"/>
          </w:tcPr>
          <w:tcPr/>
          <w:p>
            <w:pPr>
              <w:pStyle w:val="Compact"/>
            </w:pPr>
            <w:r>
              <w:t xml:space="preserve">1.2</w:t>
            </w:r>
          </w:p>
        </w:tc>
        <w:tc>
          <w:tcPr>
            <w:shd w:val="clear" w:color="auto" w:fill="F2F2F2"/>
          </w:tcPr>
          <w:tcPr/>
          <w:p>
            <w:pPr>
              <w:pStyle w:val="Compact"/>
            </w:pPr>
            <w:r>
              <w:t xml:space="preserve">2026-05-18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Location-hierarchy immutability made explicit.</w:t>
            </w:r>
            <w:r>
              <w:t xml:space="preserve"> </w:t>
            </w:r>
            <w:r>
              <w:t xml:space="preserve">Added</w:t>
            </w:r>
            <w:r>
              <w:t xml:space="preserve"> </w:t>
            </w:r>
            <w:r>
              <w:rPr>
                <w:b/>
                <w:bCs/>
              </w:rPr>
              <w:t xml:space="preserve">FDS-02-002a —</w:t>
            </w:r>
            <w:r>
              <w:rPr>
                <w:b/>
                <w:bCs/>
              </w:rPr>
              <w:t xml:space="preserve"> </w:t>
            </w:r>
            <w:r>
              <w:rPr>
                <w:rStyle w:val="VerbatimChar"/>
                <w:b/>
                <w:bCs/>
              </w:rPr>
              <w:t xml:space="preserve">ParentLocationId</w:t>
            </w:r>
            <w:r>
              <w:rPr>
                <w:b/>
                <w:bCs/>
              </w:rPr>
              <w:t xml:space="preserve"> </w:t>
            </w:r>
            <w:r>
              <w:rPr>
                <w:b/>
                <w:bCs/>
              </w:rPr>
              <w:t xml:space="preserve">is Immutable</w:t>
            </w:r>
            <w:r>
              <w:t xml:space="preserve">: a</w:t>
            </w:r>
            <w:r>
              <w:t xml:space="preserve"> </w:t>
            </w:r>
            <w:r>
              <w:rPr>
                <w:rStyle w:val="VerbatimChar"/>
              </w:rPr>
              <w:t xml:space="preserve">Location</w:t>
            </w:r>
            <w:r>
              <w:t xml:space="preserve">’s parent SHALL NOT change after creation, because retroactive hierarchy changes would silently rewrite historical track-and-trace reports (LotMovement, ConsumptionEvent, RejectEvent, DowntimeEvent, HoldEvent, OperationLog) — which join event rows to the live Location row to derive tier path. Physical relocations are handled by Deprecate + Create New (industry-standard MES pattern; preserves event-anchored history verbatim). The rule was previously an implementation-only convention buried in</w:t>
            </w:r>
            <w:r>
              <w:t xml:space="preserve"> </w:t>
            </w:r>
            <w:r>
              <w:rPr>
                <w:rStyle w:val="VerbatimChar"/>
              </w:rPr>
              <w:t xml:space="preserve">Location.Location_Update</w:t>
            </w:r>
            <w:r>
              <w:t xml:space="preserve">; promoted to FDS so it is auditable and survives any future code rewrite.</w:t>
            </w:r>
          </w:p>
        </w:tc>
      </w:tr>
      <w:tr>
        <w:tc>
          <w:tcPr/>
          <w:p>
            <w:pPr>
              <w:pStyle w:val="Compact"/>
            </w:pPr>
            <w:r>
              <w:t xml:space="preserve">1.1</w:t>
            </w:r>
          </w:p>
        </w:tc>
        <w:tc>
          <w:tcPr/>
          <w:p>
            <w:pPr>
              <w:pStyle w:val="Compact"/>
            </w:pPr>
            <w:r>
              <w:t xml:space="preserve">2026-05-12</w:t>
            </w:r>
          </w:p>
        </w:tc>
        <w:tc>
          <w:tcPr/>
          <w:p>
            <w:pPr>
              <w:pStyle w:val="Compact"/>
            </w:pPr>
            <w:r>
              <w:t xml:space="preserve">Blue Ridge Automation</w:t>
            </w:r>
          </w:p>
        </w:tc>
        <w:tc>
          <w:tcPr/>
          <w:p>
            <w:pPr>
              <w:pStyle w:val="Compact"/>
            </w:pPr>
            <w:r>
              <w:rPr>
                <w:b/>
                <w:bCs/>
              </w:rPr>
              <w:t xml:space="preserve">Customer Acceptance signature page added.</w:t>
            </w:r>
            <w:r>
              <w:t xml:space="preserve"> </w:t>
            </w:r>
            <w:r>
              <w:t xml:space="preserve">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tc>
          <w:tcPr>
            <w:shd w:val="clear" w:color="auto" w:fill="F2F2F2"/>
          </w:tcPr>
          <w:tcPr/>
          <w:p>
            <w:pPr>
              <w:pStyle w:val="Compact"/>
            </w:pPr>
            <w:r>
              <w:t xml:space="preserve">1.0</w:t>
            </w:r>
          </w:p>
        </w:tc>
        <w:tc>
          <w:tcPr>
            <w:shd w:val="clear" w:color="auto" w:fill="F2F2F2"/>
          </w:tcPr>
          <w:tcPr/>
          <w:p>
            <w:pPr>
              <w:pStyle w:val="Compact"/>
            </w:pPr>
            <w:r>
              <w:t xml:space="preserve">2026-05-04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5" w:name="customer-acceptance"/>
    <w:p>
      <w:pPr>
        <w:pStyle w:val="Heading2"/>
      </w:pPr>
      <w:r>
        <w:t xml:space="preserve">Customer Acceptance</w:t>
      </w:r>
    </w:p>
    <w:p>
      <w:pPr>
        <w:pStyle w:val="FirstParagraph"/>
      </w:pPr>
      <w:r>
        <w:t xml:space="preserve">This page records formal acceptance of the MPP MES Functional Design Specification, Document</w:t>
      </w:r>
      <w:r>
        <w:t xml:space="preserve"> </w:t>
      </w:r>
      <w:r>
        <w:rPr>
          <w:b/>
          <w:bCs/>
        </w:rPr>
        <w:t xml:space="preserve">FDS-MPP-MES-001</w:t>
      </w:r>
      <w:r>
        <w:t xml:space="preserve">, Version</w:t>
      </w:r>
      <w:r>
        <w:t xml:space="preserve"> </w:t>
      </w:r>
      <w:r>
        <w:rPr>
          <w:b/>
          <w:bCs/>
        </w:rPr>
        <w:t xml:space="preserve">1.1</w:t>
      </w:r>
      <w:r>
        <w:t xml:space="preserve">, dated</w:t>
      </w:r>
      <w:r>
        <w:t xml:space="preserve"> </w:t>
      </w:r>
      <w:r>
        <w:rPr>
          <w:b/>
          <w:bCs/>
        </w:rPr>
        <w:t xml:space="preserve">2026-05-12</w:t>
      </w:r>
      <w:r>
        <w:t xml:space="preserve">, by the parties below.</w:t>
      </w:r>
    </w:p>
    <w:bookmarkStart w:id="11" w:name="acceptance-statement"/>
    <w:p>
      <w:pPr>
        <w:pStyle w:val="Heading3"/>
      </w:pPr>
      <w:r>
        <w:t xml:space="preserve">Acceptance Statement</w:t>
      </w:r>
    </w:p>
    <w:p>
      <w:pPr>
        <w:pStyle w:val="FirstParagraph"/>
      </w:pPr>
      <w:r>
        <w:t xml:space="preserve">By signing this page, the signatory acknowledges that they have reviewed this Functional Design Specification and agree to the following:</w:t>
      </w:r>
    </w:p>
    <w:p>
      <w:pPr>
        <w:pStyle w:val="Compact"/>
        <w:numPr>
          <w:ilvl w:val="0"/>
          <w:numId w:val="1002"/>
        </w:numPr>
      </w:pPr>
      <w:r>
        <w:rPr>
          <w:b/>
          <w:bCs/>
        </w:rPr>
        <w:t xml:space="preserve">Design intent.</w:t>
      </w:r>
      <w:r>
        <w:t xml:space="preserve"> </w:t>
      </w:r>
      <w:r>
        <w:t xml:space="preserve">The design described herein accurately reflects the requirements set out in the Flexware FRS v1.0 (3/15/2024) for the in-scope items defined in the MPP Scope Matrix, and constitutes Blue Ridge Automation’s authoritative design basis for the implementation phase.</w:t>
      </w:r>
    </w:p>
    <w:p>
      <w:pPr>
        <w:pStyle w:val="Compact"/>
        <w:numPr>
          <w:ilvl w:val="0"/>
          <w:numId w:val="1002"/>
        </w:numPr>
      </w:pPr>
      <w:r>
        <w:rPr>
          <w:b/>
          <w:bCs/>
        </w:rPr>
        <w:t xml:space="preserve">Scope boundary.</w:t>
      </w:r>
      <w:r>
        <w:t xml:space="preserve"> </w:t>
      </w:r>
      <w:r>
        <w:t xml:space="preserve">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pPr>
        <w:pStyle w:val="Compact"/>
        <w:numPr>
          <w:ilvl w:val="0"/>
          <w:numId w:val="1002"/>
        </w:numPr>
      </w:pPr>
      <w:r>
        <w:rPr>
          <w:b/>
          <w:bCs/>
        </w:rPr>
        <w:t xml:space="preserve">Open items.</w:t>
      </w:r>
      <w:r>
        <w:t xml:space="preserve"> </w:t>
      </w:r>
      <w:r>
        <w:t xml:space="preserve">Six items remain Open at the time of this acceptance —</w:t>
      </w:r>
      <w:r>
        <w:t xml:space="preserve"> </w:t>
      </w:r>
      <w:r>
        <w:rPr>
          <w:b/>
          <w:bCs/>
        </w:rPr>
        <w:t xml:space="preserve">OI-32</w:t>
      </w:r>
      <w:r>
        <w:t xml:space="preserve"> </w:t>
      </w:r>
      <w:r>
        <w:t xml:space="preserve">(Material Allocation operator screen),</w:t>
      </w:r>
      <w:r>
        <w:t xml:space="preserve"> </w:t>
      </w:r>
      <w:r>
        <w:rPr>
          <w:b/>
          <w:bCs/>
        </w:rPr>
        <w:t xml:space="preserve">OI-33</w:t>
      </w:r>
      <w:r>
        <w:t xml:space="preserve"> </w:t>
      </w:r>
      <w:r>
        <w:t xml:space="preserve">(AIM pool empty-pool hard-fail),</w:t>
      </w:r>
      <w:r>
        <w:t xml:space="preserve"> </w:t>
      </w:r>
      <w:r>
        <w:rPr>
          <w:b/>
          <w:bCs/>
        </w:rPr>
        <w:t xml:space="preserve">OI-34</w:t>
      </w:r>
      <w:r>
        <w:t xml:space="preserve"> </w:t>
      </w:r>
      <w:r>
        <w:t xml:space="preserve">(production schedule leverage),</w:t>
      </w:r>
      <w:r>
        <w:t xml:space="preserve"> </w:t>
      </w:r>
      <w:r>
        <w:rPr>
          <w:b/>
          <w:bCs/>
        </w:rPr>
        <w:t xml:space="preserve">OI-35</w:t>
      </w:r>
      <w:r>
        <w:t xml:space="preserve"> </w:t>
      </w:r>
      <w:r>
        <w:t xml:space="preserve">(long-horizon scaling, retention, and archiving),</w:t>
      </w:r>
      <w:r>
        <w:t xml:space="preserve"> </w:t>
      </w:r>
      <w:r>
        <w:rPr>
          <w:b/>
          <w:bCs/>
        </w:rPr>
        <w:t xml:space="preserve">UJ-05</w:t>
      </w:r>
      <w:r>
        <w:t xml:space="preserve"> </w:t>
      </w:r>
      <w:r>
        <w:t xml:space="preserve">(Sort Cage serial migration), and</w:t>
      </w:r>
      <w:r>
        <w:t xml:space="preserve"> </w:t>
      </w:r>
      <w:r>
        <w:rPr>
          <w:b/>
          <w:bCs/>
        </w:rPr>
        <w:t xml:space="preserve">UJ-19</w:t>
      </w:r>
      <w:r>
        <w:t xml:space="preserve"> </w:t>
      </w:r>
      <w:r>
        <w:t xml:space="preserve">(Productivity DB replacement report set). Signature on this page does</w:t>
      </w:r>
      <w:r>
        <w:t xml:space="preserve"> </w:t>
      </w:r>
      <w:r>
        <w:rPr>
          <w:b/>
          <w:bCs/>
        </w:rPr>
        <w:t xml:space="preserve">not</w:t>
      </w:r>
      <w:r>
        <w:t xml:space="preserve"> </w:t>
      </w:r>
      <w:r>
        <w:t xml:space="preserve">constitute resolution of these items. Each requires explicit resolution by its named owner before the affected section can be considered closed. Resolution of</w:t>
      </w:r>
      <w:r>
        <w:t xml:space="preserve"> </w:t>
      </w:r>
      <w:r>
        <w:rPr>
          <w:b/>
          <w:bCs/>
        </w:rPr>
        <w:t xml:space="preserve">OI-35</w:t>
      </w:r>
      <w:r>
        <w:t xml:space="preserve"> </w:t>
      </w:r>
      <w:r>
        <w:t xml:space="preserve">is a hard prerequisite to commencement of Arc 2 Phase 1 SQL build.</w:t>
      </w:r>
    </w:p>
    <w:p>
      <w:pPr>
        <w:pStyle w:val="Compact"/>
        <w:numPr>
          <w:ilvl w:val="0"/>
          <w:numId w:val="1002"/>
        </w:numPr>
      </w:pPr>
      <w:r>
        <w:rPr>
          <w:b/>
          <w:bCs/>
        </w:rPr>
        <w:t xml:space="preserve">Phase 0 Customer Validation Workshop.</w:t>
      </w:r>
      <w:r>
        <w:t xml:space="preserve"> </w:t>
      </w:r>
      <w:r>
        <w:t xml:space="preserve">A customer-validation workshop with MPP remains required before Arc 2 Phase 1 SQL build commences, covering the eight Track-A items listed in the project status record (FDS-06-030 BIT-flag enumeration, historical data migration, ShotCount semantics, 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Honda AIM Hold/Update contract detail, label template scope, OI-32 framing, OI-33 customer validation). Acceptance of this FDS does not waive that workshop.</w:t>
      </w:r>
    </w:p>
    <w:p>
      <w:pPr>
        <w:pStyle w:val="Compact"/>
        <w:numPr>
          <w:ilvl w:val="0"/>
          <w:numId w:val="1002"/>
        </w:numPr>
      </w:pPr>
      <w:r>
        <w:rPr>
          <w:b/>
          <w:bCs/>
        </w:rPr>
        <w:t xml:space="preserve">Change control.</w:t>
      </w:r>
      <w:r>
        <w:t xml:space="preserve"> </w:t>
      </w:r>
      <w:r>
        <w:t xml:space="preserve">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pPr>
        <w:pStyle w:val="Compact"/>
        <w:numPr>
          <w:ilvl w:val="0"/>
          <w:numId w:val="1002"/>
        </w:numPr>
      </w:pPr>
      <w:r>
        <w:rPr>
          <w:b/>
          <w:bCs/>
        </w:rPr>
        <w:t xml:space="preserve">Reference documents.</w:t>
      </w:r>
      <w:r>
        <w:t xml:space="preserve"> </w:t>
      </w:r>
      <w:r>
        <w:t xml:space="preserve">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bookmarkEnd w:id="11"/>
    <w:bookmarkStart w:id="12" w:name="prepared-by-blue-ridge-automation"/>
    <w:p>
      <w:pPr>
        <w:pStyle w:val="Heading3"/>
      </w:pPr>
      <w:r>
        <w:t xml:space="preserve">Prepared By — Blue Ridge Automation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Solutions Engineer (Document Author)</w:t>
            </w:r>
          </w:p>
        </w:tc>
        <w:tc>
          <w:tcPr>
            <w:shd w:val="clear" w:color="auto" w:fill="F2F2F2"/>
          </w:tcPr>
          <w:tcPr/>
          <w:p>
            <w:pPr>
              <w:pStyle w:val="Compact"/>
            </w:pPr>
            <w:r>
              <w:t xml:space="preserve">Jacques Potgieter</w:t>
            </w:r>
          </w:p>
        </w:tc>
        <w:tc>
          <w:tcPr>
            <w:shd w:val="clear" w:color="auto" w:fill="F2F2F2"/>
          </w:tcPr>
          <w:tcPr/>
          <w:p>
            <w:pPr>
              <w:pStyle w:val="Compact"/>
            </w:pPr>
          </w:p>
        </w:tc>
        <w:tc>
          <w:tcPr>
            <w:shd w:val="clear" w:color="auto" w:fill="F2F2F2"/>
          </w:tcPr>
          <w:tcPr/>
          <w:p>
            <w:pPr>
              <w:pStyle w:val="Compact"/>
            </w:pPr>
          </w:p>
        </w:tc>
      </w:tr>
    </w:tbl>
    <w:bookmarkEnd w:id="12"/>
    <w:bookmarkStart w:id="13" w:name="Xe2ff37afaf375e1699904a64ffb3fee1879915f"/>
    <w:p>
      <w:pPr>
        <w:pStyle w:val="Heading3"/>
      </w:pPr>
      <w:r>
        <w:t xml:space="preserve">Accepted By — Madison Precision Products, Inc.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Engineering</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Production Control</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Quality</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Information Technology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Operations / Plant Management</w:t>
            </w:r>
          </w:p>
        </w:tc>
        <w:tc>
          <w:tcPr/>
          <w:p>
            <w:pPr>
              <w:pStyle w:val="Compact"/>
            </w:pPr>
          </w:p>
        </w:tc>
        <w:tc>
          <w:tcPr/>
          <w:p>
            <w:pPr>
              <w:pStyle w:val="Compact"/>
            </w:pPr>
          </w:p>
        </w:tc>
        <w:tc>
          <w:tcPr/>
          <w:p>
            <w:pPr>
              <w:pStyle w:val="Compact"/>
            </w:pPr>
          </w:p>
        </w:tc>
      </w:tr>
    </w:tbl>
    <w:bookmarkEnd w:id="13"/>
    <w:bookmarkStart w:id="14" w:name="conditions-or-exceptions"/>
    <w:p>
      <w:pPr>
        <w:pStyle w:val="Heading3"/>
      </w:pPr>
      <w:r>
        <w:t xml:space="preserve">Conditions or Exceptions</w:t>
      </w:r>
    </w:p>
    <w:p>
      <w:pPr>
        <w:pStyle w:val="FirstParagraph"/>
      </w:pPr>
      <w:r>
        <w:t xml:space="preserve">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Section / Requirement ID</w:t>
            </w:r>
          </w:p>
        </w:tc>
        <w:tc>
          <w:tcPr>
            <w:shd w:val="clear" w:color="auto" w:fill="1F4E79"/>
          </w:tcPr>
          <w:tcPr/>
          <w:p>
            <w:pPr>
              <w:pStyle w:val="Compact"/>
            </w:pPr>
            <w:r>
              <w:rPr>
                <w:b/>
                <w:color w:val="FFFFFF"/>
              </w:rPr>
              <w:t xml:space="preserve">Exception or Condition</w:t>
            </w:r>
          </w:p>
        </w:tc>
        <w:tc>
          <w:tcPr>
            <w:shd w:val="clear" w:color="auto" w:fill="1F4E79"/>
          </w:tcPr>
          <w:tcPr/>
          <w:p>
            <w:pPr>
              <w:pStyle w:val="Compact"/>
            </w:pPr>
            <w:r>
              <w:rPr>
                <w:b/>
                <w:color w:val="FFFFFF"/>
              </w:rPr>
              <w:t xml:space="preserve">Signatory Initials</w:t>
            </w:r>
          </w:p>
        </w:tc>
      </w:tr>
      <w:tr>
        <w:tc>
          <w:tcPr/>
          <w:p>
            <w:pPr>
              <w:pStyle w:val="Compact"/>
            </w:pPr>
            <w:r>
              <w:t xml:space="preserve">1</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2</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4</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6</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bl>
    <w:p>
      <w:r>
        <w:pict>
          <v:rect style="width:0;height:1.5pt" o:hralign="center" o:hrstd="t" o:hr="t"/>
        </w:pict>
      </w:r>
    </w:p>
    <w:bookmarkEnd w:id="14"/>
    <w:bookmarkEnd w:id="15"/>
    <w:bookmarkStart w:id="16"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6"/>
    <w:bookmarkStart w:id="17"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7"/>
    <w:bookmarkStart w:id="22" w:name="glossary"/>
    <w:p>
      <w:pPr>
        <w:pStyle w:val="Heading2"/>
      </w:pPr>
      <w:r>
        <w:t xml:space="preserve">Glossary</w:t>
      </w:r>
    </w:p>
    <w:bookmarkStart w:id="18"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8"/>
    <w:bookmarkStart w:id="19"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9"/>
    <w:bookmarkStart w:id="20"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20"/>
    <w:bookmarkStart w:id="21"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21"/>
    <w:bookmarkEnd w:id="22"/>
    <w:bookmarkStart w:id="44" w:name="system-architecture-overview-mvp"/>
    <w:p>
      <w:pPr>
        <w:pStyle w:val="Heading2"/>
      </w:pPr>
      <w:r>
        <w:t xml:space="preserve">1. System Architecture Overview —</w:t>
      </w:r>
      <w:r>
        <w:t xml:space="preserve"> </w:t>
      </w:r>
      <w:r>
        <w:rPr>
          <w:rStyle w:val="VerbatimChar"/>
        </w:rPr>
        <w:t xml:space="preserve">MVP</w:t>
      </w:r>
    </w:p>
    <w:bookmarkStart w:id="23"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23"/>
    <w:bookmarkStart w:id="28"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4"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4"/>
    <w:bookmarkStart w:id="25"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5"/>
    <w:bookmarkStart w:id="26"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6"/>
    <w:bookmarkStart w:id="27"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7"/>
    <w:bookmarkEnd w:id="28"/>
    <w:bookmarkStart w:id="29"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9"/>
    <w:bookmarkStart w:id="34"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30"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30"/>
    <w:bookmarkStart w:id="31"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31"/>
    <w:bookmarkStart w:id="32"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32"/>
    <w:bookmarkStart w:id="33"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3"/>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3"/>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3"/>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3"/>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33"/>
    <w:bookmarkEnd w:id="34"/>
    <w:bookmarkStart w:id="37" w:name="opc-connection-architecture"/>
    <w:p>
      <w:pPr>
        <w:pStyle w:val="Heading3"/>
      </w:pPr>
      <w:r>
        <w:t xml:space="preserve">1.5 OPC Connection Architecture</w:t>
      </w:r>
    </w:p>
    <w:bookmarkStart w:id="35"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5"/>
    <w:bookmarkStart w:id="36"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6"/>
    <w:bookmarkEnd w:id="37"/>
    <w:bookmarkStart w:id="42" w:name="security-architecture"/>
    <w:p>
      <w:pPr>
        <w:pStyle w:val="Heading3"/>
      </w:pPr>
      <w:r>
        <w:t xml:space="preserve">1.6 Security Architecture</w:t>
      </w:r>
    </w:p>
    <w:bookmarkStart w:id="38"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8"/>
    <w:bookmarkStart w:id="39"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9"/>
    <w:bookmarkStart w:id="40"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40"/>
    <w:bookmarkStart w:id="41"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4"/>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4"/>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4"/>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4"/>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4"/>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41"/>
    <w:bookmarkEnd w:id="42"/>
    <w:bookmarkStart w:id="43"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43"/>
    <w:bookmarkEnd w:id="44"/>
    <w:bookmarkStart w:id="65" w:name="plant-model-location-hierarchy-mvp"/>
    <w:p>
      <w:pPr>
        <w:pStyle w:val="Heading2"/>
      </w:pPr>
      <w:r>
        <w:t xml:space="preserve">2. Plant Model &amp; Location Hierarchy —</w:t>
      </w:r>
      <w:r>
        <w:t xml:space="preserve"> </w:t>
      </w:r>
      <w:r>
        <w:rPr>
          <w:rStyle w:val="VerbatimChar"/>
        </w:rPr>
        <w:t xml:space="preserve">MVP</w:t>
      </w:r>
    </w:p>
    <w:bookmarkStart w:id="45"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5"/>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5"/>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5"/>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5"/>
    <w:bookmarkStart w:id="50" w:name="location-type-hierarchy"/>
    <w:p>
      <w:pPr>
        <w:pStyle w:val="Heading3"/>
      </w:pPr>
      <w:r>
        <w:t xml:space="preserve">2.2 Location Type Hierarchy</w:t>
      </w:r>
    </w:p>
    <w:bookmarkStart w:id="46"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6"/>
    <w:bookmarkStart w:id="47"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7"/>
    <w:bookmarkStart w:id="48" w:name="X4d583d9a29e6135d3eff134b20540e329d4494f"/>
    <w:p>
      <w:pPr>
        <w:pStyle w:val="Heading4"/>
      </w:pPr>
      <w:r>
        <w:t xml:space="preserve">FDS-02-002a —</w:t>
      </w:r>
      <w:r>
        <w:t xml:space="preserve"> </w:t>
      </w:r>
      <w:r>
        <w:rPr>
          <w:rStyle w:val="VerbatimChar"/>
        </w:rPr>
        <w:t xml:space="preserve">ParentLocationId</w:t>
      </w:r>
      <w:r>
        <w:t xml:space="preserve"> </w:t>
      </w:r>
      <w:r>
        <w:t xml:space="preserve">is Immutable —</w:t>
      </w:r>
      <w:r>
        <w:t xml:space="preserve"> </w:t>
      </w:r>
      <w:r>
        <w:rPr>
          <w:rStyle w:val="VerbatimChar"/>
        </w:rPr>
        <w:t xml:space="preserve">MVP</w:t>
      </w:r>
    </w:p>
    <w:p>
      <w:pPr>
        <w:pStyle w:val="FirstParagraph"/>
      </w:pPr>
      <w:r>
        <w:t xml:space="preserve">A</w:t>
      </w:r>
      <w:r>
        <w:t xml:space="preserve"> </w:t>
      </w:r>
      <w:r>
        <w:rPr>
          <w:rStyle w:val="VerbatimChar"/>
        </w:rPr>
        <w:t xml:space="preserve">Location</w:t>
      </w:r>
      <w:r>
        <w:t xml:space="preserve">’s</w:t>
      </w:r>
      <w:r>
        <w:t xml:space="preserve"> </w:t>
      </w:r>
      <w:r>
        <w:rPr>
          <w:rStyle w:val="VerbatimChar"/>
        </w:rPr>
        <w:t xml:space="preserve">ParentLocationId</w:t>
      </w:r>
      <w:r>
        <w:t xml:space="preserve"> </w:t>
      </w:r>
      <w:r>
        <w:t xml:space="preserve">SHALL NOT be editable after the row is created. The same rule extends to</w:t>
      </w:r>
      <w:r>
        <w:t xml:space="preserve"> </w:t>
      </w:r>
      <w:r>
        <w:rPr>
          <w:rStyle w:val="VerbatimChar"/>
        </w:rPr>
        <w:t xml:space="preserve">LocationTypeDefinitionId</w:t>
      </w:r>
      <w:r>
        <w:t xml:space="preserve"> </w:t>
      </w:r>
      <w:r>
        <w:t xml:space="preserve">— once set, both fields are fixed for the life of the row. Only</w:t>
      </w:r>
      <w:r>
        <w:t xml:space="preserve"> </w:t>
      </w:r>
      <w:r>
        <w:rPr>
          <w:rStyle w:val="VerbatimChar"/>
        </w:rPr>
        <w:t xml:space="preserve">Name</w:t>
      </w:r>
      <w:r>
        <w:t xml:space="preserve">,</w:t>
      </w:r>
      <w:r>
        <w:t xml:space="preserve"> </w:t>
      </w:r>
      <w:r>
        <w:rPr>
          <w:rStyle w:val="VerbatimChar"/>
        </w:rPr>
        <w:t xml:space="preserve">Code</w:t>
      </w:r>
      <w:r>
        <w:t xml:space="preserve">,</w:t>
      </w:r>
      <w:r>
        <w:t xml:space="preserve"> </w:t>
      </w:r>
      <w:r>
        <w:rPr>
          <w:rStyle w:val="VerbatimChar"/>
        </w:rPr>
        <w:t xml:space="preserve">Description</w:t>
      </w:r>
      <w:r>
        <w:t xml:space="preserve">,</w:t>
      </w:r>
      <w:r>
        <w:t xml:space="preserve"> </w:t>
      </w:r>
      <w:r>
        <w:rPr>
          <w:rStyle w:val="VerbatimChar"/>
        </w:rPr>
        <w:t xml:space="preserve">SortOrder</w:t>
      </w:r>
      <w:r>
        <w:t xml:space="preserve">, and attribute values (</w:t>
      </w:r>
      <w:r>
        <w:rPr>
          <w:rStyle w:val="VerbatimChar"/>
        </w:rPr>
        <w:t xml:space="preserve">LocationAttribute</w:t>
      </w:r>
      <w:r>
        <w:t xml:space="preserve"> </w:t>
      </w:r>
      <w:r>
        <w:t xml:space="preserve">rows) are mutable.</w:t>
      </w:r>
    </w:p>
    <w:p>
      <w:pPr>
        <w:pStyle w:val="BodyText"/>
      </w:pPr>
      <w:r>
        <w:rPr>
          <w:b/>
          <w:bCs/>
        </w:rPr>
        <w:t xml:space="preserve">Why this matters — track-and-trace integrity.</w:t>
      </w:r>
      <w:r>
        <w:t xml:space="preserve"> </w:t>
      </w:r>
      <w:r>
        <w:t xml:space="preserve">Every shop-floor event table records the</w:t>
      </w:r>
      <w:r>
        <w:t xml:space="preserve"> </w:t>
      </w:r>
      <w:r>
        <w:rPr>
          <w:rStyle w:val="VerbatimChar"/>
        </w:rPr>
        <w:t xml:space="preserve">LocationId</w:t>
      </w:r>
      <w:r>
        <w:t xml:space="preserve"> </w:t>
      </w:r>
      <w:r>
        <w:t xml:space="preserve">active at event time:</w:t>
      </w:r>
      <w:r>
        <w:t xml:space="preserve"> </w:t>
      </w:r>
      <w:r>
        <w:rPr>
          <w:rStyle w:val="VerbatimChar"/>
        </w:rPr>
        <w:t xml:space="preserve">Lots.LotMovement.FromLocationId</w:t>
      </w:r>
      <w:r>
        <w:t xml:space="preserve"> </w:t>
      </w:r>
      <w:r>
        <w:t xml:space="preserve">/</w:t>
      </w:r>
      <w:r>
        <w:t xml:space="preserve"> </w:t>
      </w:r>
      <w:r>
        <w:rPr>
          <w:rStyle w:val="VerbatimChar"/>
        </w:rPr>
        <w:t xml:space="preserve">ToLocationId</w:t>
      </w:r>
      <w:r>
        <w:t xml:space="preserve">,</w:t>
      </w:r>
      <w:r>
        <w:t xml:space="preserve"> </w:t>
      </w:r>
      <w:r>
        <w:rPr>
          <w:rStyle w:val="VerbatimChar"/>
        </w:rPr>
        <w:t xml:space="preserve">Workorder.ConsumptionEvent.LocationId</w:t>
      </w:r>
      <w:r>
        <w:t xml:space="preserve">,</w:t>
      </w:r>
      <w:r>
        <w:t xml:space="preserve"> </w:t>
      </w:r>
      <w:r>
        <w:rPr>
          <w:rStyle w:val="VerbatimChar"/>
        </w:rPr>
        <w:t xml:space="preserve">Quality.RejectEvent.LocationId</w:t>
      </w:r>
      <w:r>
        <w:t xml:space="preserve">,</w:t>
      </w:r>
      <w:r>
        <w:t xml:space="preserve"> </w:t>
      </w:r>
      <w:r>
        <w:rPr>
          <w:rStyle w:val="VerbatimChar"/>
        </w:rPr>
        <w:t xml:space="preserve">Oee.DowntimeEvent.LocationId</w:t>
      </w:r>
      <w:r>
        <w:t xml:space="preserve">,</w:t>
      </w:r>
      <w:r>
        <w:t xml:space="preserve"> </w:t>
      </w:r>
      <w:r>
        <w:rPr>
          <w:rStyle w:val="VerbatimChar"/>
        </w:rPr>
        <w:t xml:space="preserve">Quality.HoldEvent.LocationId</w:t>
      </w:r>
      <w:r>
        <w:t xml:space="preserve">,</w:t>
      </w:r>
      <w:r>
        <w:t xml:space="preserve"> </w:t>
      </w:r>
      <w:r>
        <w:rPr>
          <w:rStyle w:val="VerbatimChar"/>
        </w:rPr>
        <w:t xml:space="preserve">Audit.OperationLog.LocationId</w:t>
      </w:r>
      <w:r>
        <w:t xml:space="preserve">, plus</w:t>
      </w:r>
      <w:r>
        <w:t xml:space="preserve"> </w:t>
      </w:r>
      <w:r>
        <w:rPr>
          <w:rStyle w:val="VerbatimChar"/>
        </w:rPr>
        <w:t xml:space="preserve">Lots.Lot.CurrentLocationId</w:t>
      </w:r>
      <w:r>
        <w:t xml:space="preserve"> </w:t>
      </w:r>
      <w:r>
        <w:t xml:space="preserve">and</w:t>
      </w:r>
      <w:r>
        <w:t xml:space="preserve"> </w:t>
      </w:r>
      <w:r>
        <w:rPr>
          <w:rStyle w:val="VerbatimChar"/>
        </w:rPr>
        <w:t xml:space="preserve">Tools.ToolAssignment.CellLocationId</w:t>
      </w:r>
      <w:r>
        <w:t xml:space="preserve">. Every Honda-relevant report — genealogy, area-scoped defect and downtime aggregation, LOT-history export — joins those FK columns to the</w:t>
      </w:r>
      <w:r>
        <w:t xml:space="preserve"> </w:t>
      </w:r>
      <w:r>
        <w:rPr>
          <w:b/>
          <w:bCs/>
        </w:rPr>
        <w:t xml:space="preserve">current</w:t>
      </w:r>
      <w:r>
        <w:t xml:space="preserve"> </w:t>
      </w:r>
      <w:r>
        <w:rPr>
          <w:rStyle w:val="VerbatimChar"/>
        </w:rPr>
        <w:t xml:space="preserve">Location</w:t>
      </w:r>
      <w:r>
        <w:t xml:space="preserve"> </w:t>
      </w:r>
      <w:r>
        <w:t xml:space="preserve">row to derive tier path (Cell → Work Center → Area). A retroactive</w:t>
      </w:r>
      <w:r>
        <w:t xml:space="preserve"> </w:t>
      </w:r>
      <w:r>
        <w:rPr>
          <w:rStyle w:val="VerbatimChar"/>
        </w:rPr>
        <w:t xml:space="preserve">ParentLocationId</w:t>
      </w:r>
      <w:r>
        <w:t xml:space="preserve"> </w:t>
      </w:r>
      <w:r>
        <w:t xml:space="preserve">change would silently rewrite every historical aggregation that walks the hierarchy, with no flag in the report, no audit trail visible to the auditor, and no opportunity for the system to know the answer was wrong. That failure mode is incompatible with Honda’s traceability requirements.</w:t>
      </w:r>
    </w:p>
    <w:p>
      <w:pPr>
        <w:pStyle w:val="BodyText"/>
      </w:pPr>
      <w:r>
        <w:rPr>
          <w:b/>
          <w:bCs/>
        </w:rPr>
        <w:t xml:space="preserve">Handling physical relocations.</w:t>
      </w:r>
      <w:r>
        <w:t xml:space="preserve"> </w:t>
      </w:r>
      <w:r>
        <w:t xml:space="preserve">When a piece of equipment genuinely changes parent (e.g., a CNC moves from one Area to another), the operation SHALL be performed as</w:t>
      </w:r>
      <w:r>
        <w:t xml:space="preserve"> </w:t>
      </w:r>
      <w:r>
        <w:rPr>
          <w:b/>
          <w:bCs/>
        </w:rPr>
        <w:t xml:space="preserve">Deprecate the existing</w:t>
      </w:r>
      <w:r>
        <w:rPr>
          <w:b/>
          <w:bCs/>
        </w:rPr>
        <w:t xml:space="preserve"> </w:t>
      </w:r>
      <w:r>
        <w:rPr>
          <w:rStyle w:val="VerbatimChar"/>
          <w:b/>
          <w:bCs/>
        </w:rPr>
        <w:t xml:space="preserve">Location</w:t>
      </w:r>
      <w:r>
        <w:rPr>
          <w:b/>
          <w:bCs/>
        </w:rPr>
        <w:t xml:space="preserve"> </w:t>
      </w:r>
      <w:r>
        <w:rPr>
          <w:b/>
          <w:bCs/>
        </w:rPr>
        <w:t xml:space="preserve">row + Create a new row under the new parent</w:t>
      </w:r>
      <w:r>
        <w:t xml:space="preserve">:</w:t>
      </w:r>
    </w:p>
    <w:p>
      <w:pPr>
        <w:pStyle w:val="Compact"/>
        <w:numPr>
          <w:ilvl w:val="0"/>
          <w:numId w:val="1006"/>
        </w:numPr>
      </w:pPr>
      <w:r>
        <w:t xml:space="preserve">The deprecated row retains its</w:t>
      </w:r>
      <w:r>
        <w:t xml:space="preserve"> </w:t>
      </w:r>
      <w:r>
        <w:rPr>
          <w:rStyle w:val="VerbatimChar"/>
        </w:rPr>
        <w:t xml:space="preserve">Id</w:t>
      </w:r>
      <w:r>
        <w:t xml:space="preserve"> </w:t>
      </w:r>
      <w:r>
        <w:t xml:space="preserve">and its original</w:t>
      </w:r>
      <w:r>
        <w:t xml:space="preserve"> </w:t>
      </w:r>
      <w:r>
        <w:rPr>
          <w:rStyle w:val="VerbatimChar"/>
        </w:rPr>
        <w:t xml:space="preserve">ParentLocationId</w:t>
      </w:r>
      <w:r>
        <w:t xml:space="preserve">. All historical events bound to that</w:t>
      </w:r>
      <w:r>
        <w:t xml:space="preserve"> </w:t>
      </w:r>
      <w:r>
        <w:rPr>
          <w:rStyle w:val="VerbatimChar"/>
        </w:rPr>
        <w:t xml:space="preserve">Id</w:t>
      </w:r>
      <w:r>
        <w:t xml:space="preserve"> </w:t>
      </w:r>
      <w:r>
        <w:t xml:space="preserve">continue to resolve through the correct as-of-event hierarchy.</w:t>
      </w:r>
    </w:p>
    <w:p>
      <w:pPr>
        <w:pStyle w:val="Compact"/>
        <w:numPr>
          <w:ilvl w:val="0"/>
          <w:numId w:val="1006"/>
        </w:numPr>
      </w:pPr>
      <w:r>
        <w:t xml:space="preserve">The new row gets a new</w:t>
      </w:r>
      <w:r>
        <w:t xml:space="preserve"> </w:t>
      </w:r>
      <w:r>
        <w:rPr>
          <w:rStyle w:val="VerbatimChar"/>
        </w:rPr>
        <w:t xml:space="preserve">Id</w:t>
      </w:r>
      <w:r>
        <w:t xml:space="preserve">. All forward production is recorded against that</w:t>
      </w:r>
      <w:r>
        <w:t xml:space="preserve"> </w:t>
      </w:r>
      <w:r>
        <w:rPr>
          <w:rStyle w:val="VerbatimChar"/>
        </w:rPr>
        <w:t xml:space="preserve">Id</w:t>
      </w:r>
      <w:r>
        <w:t xml:space="preserve">.</w:t>
      </w:r>
    </w:p>
    <w:p>
      <w:pPr>
        <w:pStyle w:val="Compact"/>
        <w:numPr>
          <w:ilvl w:val="0"/>
          <w:numId w:val="1006"/>
        </w:numPr>
      </w:pPr>
      <w:r>
        <w:t xml:space="preserve">The Configuration Tool’s Plant Hierarchy view SHALL filter deprecated rows out of the active tree by default, with an</w:t>
      </w:r>
      <w:r>
        <w:t xml:space="preserve"> </w:t>
      </w:r>
      <w:r>
        <w:t xml:space="preserve">“Include deprecated”</w:t>
      </w:r>
      <w:r>
        <w:t xml:space="preserve"> </w:t>
      </w:r>
      <w:r>
        <w:t xml:space="preserve">toggle for admin diagnostics. The deprecated row is never re-activated.</w:t>
      </w:r>
    </w:p>
    <w:p>
      <w:pPr>
        <w:pStyle w:val="FirstParagraph"/>
      </w:pPr>
      <w:r>
        <w:t xml:space="preserve">This pattern is the industry standard for MES location hierarchies and matches the approach used by Honda’s tier-1 MES for the same reason.</w:t>
      </w:r>
    </w:p>
    <w:p>
      <w:pPr>
        <w:pStyle w:val="BodyText"/>
      </w:pPr>
      <w:r>
        <w:rPr>
          <w:b/>
          <w:bCs/>
        </w:rPr>
        <w:t xml:space="preserve">Cost of NOT making this rule.</w:t>
      </w:r>
      <w:r>
        <w:t xml:space="preserve"> </w:t>
      </w:r>
      <w:r>
        <w:t xml:space="preserve">The alternative (allowing reparent) requires either (a) snapshotting the location-path-as-of-event on every event-table row across 14+ event tables, or (b) full slowly-changing-dimension versioning on the</w:t>
      </w:r>
      <w:r>
        <w:t xml:space="preserve"> </w:t>
      </w:r>
      <w:r>
        <w:rPr>
          <w:rStyle w:val="VerbatimChar"/>
        </w:rPr>
        <w:t xml:space="preserve">Location</w:t>
      </w:r>
      <w:r>
        <w:t xml:space="preserve"> </w:t>
      </w:r>
      <w:r>
        <w:t xml:space="preserve">table with temporal joins on every read path. Both are large, ongoing-discipline changes for a rare operation. The Deprecate + Create New pattern achieves the same goal with no additional schema cost.</w:t>
      </w:r>
    </w:p>
    <w:p>
      <w:pPr>
        <w:pStyle w:val="BodyText"/>
      </w:pPr>
      <w:r>
        <w:rPr>
          <w:b/>
          <w:bCs/>
        </w:rPr>
        <w:t xml:space="preserve">Implementation.</w:t>
      </w:r>
      <w:r>
        <w:t xml:space="preserve"> </w:t>
      </w:r>
      <w:r>
        <w:rPr>
          <w:rStyle w:val="VerbatimChar"/>
        </w:rPr>
        <w:t xml:space="preserve">Location.Location_Update</w:t>
      </w:r>
      <w:r>
        <w:t xml:space="preserve"> </w:t>
      </w:r>
      <w:r>
        <w:t xml:space="preserve">excludes</w:t>
      </w:r>
      <w:r>
        <w:t xml:space="preserve"> </w:t>
      </w:r>
      <w:r>
        <w:rPr>
          <w:rStyle w:val="VerbatimChar"/>
        </w:rPr>
        <w:t xml:space="preserve">ParentLocationId</w:t>
      </w:r>
      <w:r>
        <w:t xml:space="preserve"> </w:t>
      </w:r>
      <w:r>
        <w:t xml:space="preserve">and</w:t>
      </w:r>
      <w:r>
        <w:t xml:space="preserve"> </w:t>
      </w:r>
      <w:r>
        <w:rPr>
          <w:rStyle w:val="VerbatimChar"/>
        </w:rPr>
        <w:t xml:space="preserve">LocationTypeDefinitionId</w:t>
      </w:r>
      <w:r>
        <w:t xml:space="preserve"> </w:t>
      </w:r>
      <w:r>
        <w:t xml:space="preserve">from its parameter list.</w:t>
      </w:r>
      <w:r>
        <w:t xml:space="preserve"> </w:t>
      </w:r>
      <w:r>
        <w:rPr>
          <w:rStyle w:val="VerbatimChar"/>
        </w:rPr>
        <w:t xml:space="preserve">Location.Location_MoveUp</w:t>
      </w:r>
      <w:r>
        <w:t xml:space="preserve"> </w:t>
      </w:r>
      <w:r>
        <w:t xml:space="preserve">/</w:t>
      </w:r>
      <w:r>
        <w:t xml:space="preserve"> </w:t>
      </w:r>
      <w:r>
        <w:rPr>
          <w:rStyle w:val="VerbatimChar"/>
        </w:rPr>
        <w:t xml:space="preserve">Location.Location_MoveDown</w:t>
      </w:r>
      <w:r>
        <w:t xml:space="preserve"> </w:t>
      </w:r>
      <w:r>
        <w:t xml:space="preserve">swap</w:t>
      </w:r>
      <w:r>
        <w:t xml:space="preserve"> </w:t>
      </w:r>
      <w:r>
        <w:rPr>
          <w:rStyle w:val="VerbatimChar"/>
        </w:rPr>
        <w:t xml:space="preserve">SortOrder</w:t>
      </w:r>
      <w:r>
        <w:t xml:space="preserve"> </w:t>
      </w:r>
      <w:r>
        <w:t xml:space="preserve">with the nearest active sibling under the</w:t>
      </w:r>
      <w:r>
        <w:t xml:space="preserve"> </w:t>
      </w:r>
      <w:r>
        <w:rPr>
          <w:b/>
          <w:bCs/>
        </w:rPr>
        <w:t xml:space="preserve">same</w:t>
      </w:r>
      <w:r>
        <w:rPr>
          <w:b/>
          <w:bCs/>
        </w:rPr>
        <w:t xml:space="preserve"> </w:t>
      </w:r>
      <w:r>
        <w:rPr>
          <w:rStyle w:val="VerbatimChar"/>
          <w:b/>
          <w:bCs/>
        </w:rPr>
        <w:t xml:space="preserve">ParentLocationId</w:t>
      </w:r>
      <w:r>
        <w:t xml:space="preserve"> </w:t>
      </w:r>
      <w:r>
        <w:t xml:space="preserve">— they never traverse parents. No</w:t>
      </w:r>
      <w:r>
        <w:t xml:space="preserve"> </w:t>
      </w:r>
      <w:r>
        <w:t xml:space="preserve">“Move to Different Parent”</w:t>
      </w:r>
      <w:r>
        <w:t xml:space="preserve"> </w:t>
      </w:r>
      <w:r>
        <w:t xml:space="preserve">/</w:t>
      </w:r>
      <w:r>
        <w:t xml:space="preserve"> </w:t>
      </w:r>
      <w:r>
        <w:t xml:space="preserve">“Reparent”</w:t>
      </w:r>
      <w:r>
        <w:t xml:space="preserve"> </w:t>
      </w:r>
      <w:r>
        <w:t xml:space="preserve">proc SHALL be added.</w:t>
      </w:r>
    </w:p>
    <w:bookmarkEnd w:id="48"/>
    <w:bookmarkStart w:id="49"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9"/>
    <w:bookmarkEnd w:id="50"/>
    <w:bookmarkStart w:id="54" w:name="X992209ce0f4f05fcef114340f60f45bdbde0b2f"/>
    <w:p>
      <w:pPr>
        <w:pStyle w:val="Heading3"/>
      </w:pPr>
      <w:r>
        <w:t xml:space="preserve">2.3 Polymorphic Kinds and Configurable Attributes</w:t>
      </w:r>
    </w:p>
    <w:bookmarkStart w:id="51"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51"/>
    <w:bookmarkStart w:id="52"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52"/>
    <w:bookmarkStart w:id="53"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53"/>
    <w:bookmarkEnd w:id="54"/>
    <w:bookmarkStart w:id="56" w:name="seed-data-cells"/>
    <w:p>
      <w:pPr>
        <w:pStyle w:val="Heading3"/>
      </w:pPr>
      <w:r>
        <w:t xml:space="preserve">2.4 Seed Data — Cells</w:t>
      </w:r>
    </w:p>
    <w:bookmarkStart w:id="55"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5"/>
    <w:bookmarkEnd w:id="56"/>
    <w:bookmarkStart w:id="64"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but a Terminal</w:t>
      </w:r>
      <w:r>
        <w:t xml:space="preserve"> </w:t>
      </w:r>
      <w:r>
        <w:rPr>
          <w:rStyle w:val="VerbatimChar"/>
        </w:rPr>
        <w:t xml:space="preserve">Location</w:t>
      </w:r>
      <w:r>
        <w:t xml:space="preserve"> </w:t>
      </w:r>
      <w:r>
        <w:t xml:space="preserve">MAY be parented at any tier — Cell, WorkCenter, or Area — and its parent tier determines the mode. Dedicated terminals (Cell-parented) have a fixed Cell context that cannot be changed in the UI. Shared terminals (WorkCenter- or Area-parented) let the operator pick a Cell context — by</w:t>
      </w:r>
      <w:r>
        <w:t xml:space="preserve"> </w:t>
      </w:r>
      <w:r>
        <w:rPr>
          <w:b/>
          <w:bCs/>
        </w:rPr>
        <w:t xml:space="preserve">scan or dropdown</w:t>
      </w:r>
      <w:r>
        <w:t xml:space="preserve"> </w:t>
      </w:r>
      <w:r>
        <w:t xml:space="preserve">— constrained to descendant Cells of the parent Location.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7"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mode (Dedicated vs Shared) is derived from the parent tier per FDS-02-010 — not stored as an attribute.</w:t>
      </w:r>
    </w:p>
    <w:bookmarkEnd w:id="57"/>
    <w:bookmarkStart w:id="58"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7"/>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7"/>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w:t>
      </w:r>
    </w:p>
    <w:p>
      <w:pPr>
        <w:pStyle w:val="FirstParagraph"/>
      </w:pPr>
      <w:r>
        <w:t xml:space="preserve">On</w:t>
      </w:r>
      <w:r>
        <w:t xml:space="preserve"> </w:t>
      </w:r>
      <w:r>
        <w:rPr>
          <w:b/>
          <w:bCs/>
        </w:rPr>
        <w:t xml:space="preserve">Dedicated</w:t>
      </w:r>
      <w:r>
        <w:t xml:space="preserve"> </w:t>
      </w:r>
      <w:r>
        <w:t xml:space="preserve">terminals (FDS-02-010) the Cell context SHALL be the Terminal Location’s parent Cell — fixed, with no selector exposed in the UI.</w:t>
      </w:r>
    </w:p>
    <w:p>
      <w:pPr>
        <w:pStyle w:val="BodyText"/>
      </w:pPr>
      <w:r>
        <w:t xml:space="preserve">On</w:t>
      </w:r>
      <w:r>
        <w:t xml:space="preserve"> </w:t>
      </w:r>
      <w:r>
        <w:rPr>
          <w:b/>
          <w:bCs/>
        </w:rPr>
        <w:t xml:space="preserve">Shared</w:t>
      </w:r>
      <w:r>
        <w:t xml:space="preserve"> </w:t>
      </w:r>
      <w:r>
        <w:t xml:space="preserve">terminals the Cell context SHALL be selected by the operator at session start using either of two equivalent mechanisms:</w:t>
      </w:r>
    </w:p>
    <w:p>
      <w:pPr>
        <w:pStyle w:val="Compact"/>
        <w:numPr>
          <w:ilvl w:val="0"/>
          <w:numId w:val="1008"/>
        </w:numPr>
      </w:pPr>
      <w:r>
        <w:rPr>
          <w:b/>
          <w:bCs/>
        </w:rPr>
        <w:t xml:space="preserve">Scan</w:t>
      </w:r>
      <w:r>
        <w:t xml:space="preserve"> </w:t>
      </w:r>
      <w:r>
        <w:t xml:space="preserve">— the operator scans the destination Cell’s barcode or QR code, or</w:t>
      </w:r>
    </w:p>
    <w:p>
      <w:pPr>
        <w:pStyle w:val="Compact"/>
        <w:numPr>
          <w:ilvl w:val="0"/>
          <w:numId w:val="1008"/>
        </w:numPr>
      </w:pPr>
      <w:r>
        <w:rPr>
          <w:b/>
          <w:bCs/>
        </w:rPr>
        <w:t xml:space="preserve">Dropdown</w:t>
      </w:r>
      <w:r>
        <w:t xml:space="preserve"> </w:t>
      </w:r>
      <w:r>
        <w:t xml:space="preserve">— the operator picks from a dropdown of eligible Cells (the descendant Cells of the terminal’s parent Location).</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8"/>
    <w:bookmarkStart w:id="59" w:name="Xc884f3ff7aae35a80b817ade62e658621e4ced1"/>
    <w:p>
      <w:pPr>
        <w:pStyle w:val="Heading4"/>
      </w:pPr>
      <w:r>
        <w:t xml:space="preserve">FDS-02-010 — Terminal Mode Determined by Location Assignment —</w:t>
      </w:r>
      <w:r>
        <w:t xml:space="preserve"> </w:t>
      </w:r>
      <w:r>
        <w:rPr>
          <w:rStyle w:val="VerbatimChar"/>
        </w:rPr>
        <w:t xml:space="preserve">MVP</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Cell</w:t>
            </w:r>
          </w:p>
        </w:tc>
        <w:tc>
          <w:tcPr/>
          <w:p>
            <w:pPr>
              <w:pStyle w:val="Compact"/>
            </w:pPr>
            <w:r>
              <w:rPr>
                <w:b/>
                <w:bCs/>
              </w:rPr>
              <w:t xml:space="preserve">Dedicated</w:t>
            </w:r>
          </w:p>
        </w:tc>
        <w:tc>
          <w:tcPr/>
          <w:p>
            <w:pPr>
              <w:pStyle w:val="Compact"/>
            </w:pPr>
            <w:r>
              <w:t xml:space="preserve">Terminal is bound to a specific Cell. Cell context is the parent Cell — fixed, no selector exposed. Operator initials persist with 30-min idle re-confirmation (FDS-04-006).</w:t>
            </w:r>
            <w:r>
              <w:t xml:space="preserve"> </w:t>
            </w:r>
            <w:r>
              <w:rPr>
                <w:b/>
                <w:bCs/>
              </w:rPr>
              <w:t xml:space="preserve">Example:</w:t>
            </w:r>
            <w:r>
              <w:t xml:space="preserve"> </w:t>
            </w:r>
            <w:r>
              <w:t xml:space="preserve">a paired Machining + Assembly WorkCenter typically carries two terminals —</w:t>
            </w:r>
            <w:r>
              <w:t xml:space="preserve"> </w:t>
            </w:r>
            <w:r>
              <w:rPr>
                <w:rStyle w:val="VerbatimChar"/>
              </w:rPr>
              <w:t xml:space="preserve">MS1-MachiningIntake-Term</w:t>
            </w:r>
            <w:r>
              <w:t xml:space="preserve"> </w:t>
            </w:r>
            <w:r>
              <w:t xml:space="preserve">parented to the</w:t>
            </w:r>
            <w:r>
              <w:t xml:space="preserve"> </w:t>
            </w:r>
            <w:r>
              <w:rPr>
                <w:rStyle w:val="VerbatimChar"/>
              </w:rPr>
              <w:t xml:space="preserve">MS1-Machining</w:t>
            </w:r>
            <w:r>
              <w:t xml:space="preserve"> </w:t>
            </w:r>
            <w:r>
              <w:t xml:space="preserve">Cell, and</w:t>
            </w:r>
            <w:r>
              <w:t xml:space="preserve"> </w:t>
            </w:r>
            <w:r>
              <w:rPr>
                <w:rStyle w:val="VerbatimChar"/>
              </w:rPr>
              <w:t xml:space="preserve">MS1-AssemblyOut-Term</w:t>
            </w:r>
            <w:r>
              <w:t xml:space="preserve"> </w:t>
            </w:r>
            <w:r>
              <w:t xml:space="preserve">parented to the</w:t>
            </w:r>
            <w:r>
              <w:t xml:space="preserve"> </w:t>
            </w:r>
            <w:r>
              <w:rPr>
                <w:rStyle w:val="VerbatimChar"/>
              </w:rPr>
              <w:t xml:space="preserve">MS1-Assembly</w:t>
            </w:r>
            <w:r>
              <w:t xml:space="preserve"> </w:t>
            </w:r>
            <w:r>
              <w:t xml:space="preserve">Cell. Each terminal is dedicated to its own Cell; both are sibling children of the same WorkCenter.</w:t>
            </w:r>
          </w:p>
        </w:tc>
      </w:tr>
      <w:tr>
        <w:tc>
          <w:tcPr>
            <w:shd w:val="clear" w:color="auto" w:fill="F2F2F2"/>
          </w:tcPr>
          <w:tcPr/>
          <w:p>
            <w:pPr>
              <w:pStyle w:val="Compact"/>
            </w:pPr>
            <w:r>
              <w:rPr>
                <w:b/>
                <w:bCs/>
              </w:rPr>
              <w:t xml:space="preserve">WorkCenter</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w:t>
            </w:r>
            <w:r>
              <w:t xml:space="preserve"> </w:t>
            </w:r>
            <w:r>
              <w:rPr>
                <w:b/>
                <w:bCs/>
              </w:rPr>
              <w:t xml:space="preserve">Example:</w:t>
            </w:r>
            <w:r>
              <w:t xml:space="preserve"> </w:t>
            </w:r>
            <w:r>
              <w:t xml:space="preserve">a small trim line where one terminal serves a cluster of trim presses parented to the same WorkCenter.</w:t>
            </w:r>
          </w:p>
        </w:tc>
      </w:tr>
      <w:tr>
        <w:tc>
          <w:tcPr/>
          <w:p>
            <w:pPr>
              <w:pStyle w:val="Compact"/>
            </w:pPr>
            <w:r>
              <w:rPr>
                <w:b/>
                <w:bCs/>
              </w:rPr>
              <w:t xml:space="preserve">Area</w:t>
            </w:r>
          </w:p>
        </w:tc>
        <w:tc>
          <w:tcPr/>
          <w:p>
            <w:pPr>
              <w:pStyle w:val="Compact"/>
            </w:pPr>
            <w:r>
              <w:rPr>
                <w:b/>
                <w:bCs/>
              </w:rPr>
              <w:t xml:space="preserve">Shared</w:t>
            </w:r>
          </w:p>
        </w:tc>
        <w:tc>
          <w:tcPr/>
          <w:p>
            <w:pPr>
              <w:pStyle w:val="Compact"/>
            </w:pPr>
            <w:r>
              <w:t xml:space="preserve">Terminal serves multiple Cells under an Area. Same selection mechanics as the WorkCenter case but the picker spans the entire Area’s descendant Cells.</w:t>
            </w:r>
            <w:r>
              <w:t xml:space="preserve"> </w:t>
            </w:r>
            <w:r>
              <w:rPr>
                <w:b/>
                <w:bCs/>
              </w:rPr>
              <w:t xml:space="preserve">Example:</w:t>
            </w:r>
            <w:r>
              <w:t xml:space="preserve"> </w:t>
            </w:r>
            <w:r>
              <w:t xml:space="preserve">a Die Cast cabin terminal parented to the</w:t>
            </w:r>
            <w:r>
              <w:t xml:space="preserve"> </w:t>
            </w:r>
            <w:r>
              <w:rPr>
                <w:rStyle w:val="VerbatimChar"/>
              </w:rPr>
              <w:t xml:space="preserve">Die Cast</w:t>
            </w:r>
            <w:r>
              <w:t xml:space="preserve"> </w:t>
            </w:r>
            <w:r>
              <w:t xml:space="preserve">Area, serving all die cast machines beneath it; the operator picks the press by scan or dropdown at session start and re-picks on machine change.</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Cell, WorkCenter, or Area — the mode follows automatically.</w:t>
      </w:r>
    </w:p>
    <w:p>
      <w:pPr>
        <w:pStyle w:val="BodyText"/>
      </w:pPr>
      <w:r>
        <w:rPr>
          <w:b/>
          <w:bCs/>
        </w:rPr>
        <w:t xml:space="preserve">Why the model works:</w:t>
      </w:r>
      <w:r>
        <w:t xml:space="preserve"> </w:t>
      </w:r>
      <w:r>
        <w:t xml:space="preserve">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9"/>
    <w:bookmarkStart w:id="60" w:name="fds-02-011-cell-context-change-rules"/>
    <w:p>
      <w:pPr>
        <w:pStyle w:val="Heading4"/>
      </w:pPr>
      <w:r>
        <w:t xml:space="preserve">FDS-02-011 — Cell Context Change Rules</w:t>
      </w:r>
    </w:p>
    <w:p>
      <w:pPr>
        <w:pStyle w:val="Compact"/>
        <w:numPr>
          <w:ilvl w:val="0"/>
          <w:numId w:val="1009"/>
        </w:numPr>
      </w:pPr>
      <w:r>
        <w:t xml:space="preserve">On</w:t>
      </w:r>
      <w:r>
        <w:t xml:space="preserve"> </w:t>
      </w:r>
      <w:r>
        <w:rPr>
          <w:b/>
          <w:bCs/>
        </w:rPr>
        <w:t xml:space="preserve">Dedicated</w:t>
      </w:r>
      <w:r>
        <w:t xml:space="preserve"> </w:t>
      </w:r>
      <w:r>
        <w:t xml:space="preserve">terminals the active Cell context SHALL NOT be changeable via the UI. The terminal’s parent Cell IS the context for the session; no scan, dropdown, or search is offered.</w:t>
      </w:r>
    </w:p>
    <w:p>
      <w:pPr>
        <w:pStyle w:val="Compact"/>
        <w:numPr>
          <w:ilvl w:val="0"/>
          <w:numId w:val="1009"/>
        </w:numPr>
      </w:pPr>
      <w:r>
        <w:t xml:space="preserve">On</w:t>
      </w:r>
      <w:r>
        <w:t xml:space="preserve"> </w:t>
      </w:r>
      <w:r>
        <w:rPr>
          <w:b/>
          <w:bCs/>
        </w:rPr>
        <w:t xml:space="preserve">Shared</w:t>
      </w:r>
      <w:r>
        <w:t xml:space="preserve"> </w:t>
      </w:r>
      <w:r>
        <w:t xml:space="preserve">terminals the active Cell context SHALL be changeable only via the FDS-02-009 selectors (scan or dropdown), constrained to descendant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60"/>
    <w:bookmarkStart w:id="61"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10"/>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10"/>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61"/>
    <w:bookmarkStart w:id="62"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62"/>
    <w:bookmarkStart w:id="63"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63"/>
    <w:bookmarkEnd w:id="64"/>
    <w:bookmarkEnd w:id="65"/>
    <w:bookmarkStart w:id="94" w:name="master-data-management-mvp"/>
    <w:p>
      <w:pPr>
        <w:pStyle w:val="Heading2"/>
      </w:pPr>
      <w:r>
        <w:t xml:space="preserve">3. Master Data Management —</w:t>
      </w:r>
      <w:r>
        <w:t xml:space="preserve"> </w:t>
      </w:r>
      <w:r>
        <w:rPr>
          <w:rStyle w:val="VerbatimChar"/>
        </w:rPr>
        <w:t xml:space="preserve">MVP</w:t>
      </w:r>
    </w:p>
    <w:bookmarkStart w:id="69" w:name="item-master"/>
    <w:p>
      <w:pPr>
        <w:pStyle w:val="Heading3"/>
      </w:pPr>
      <w:r>
        <w:t xml:space="preserve">3.1 Item Master</w:t>
      </w:r>
    </w:p>
    <w:bookmarkStart w:id="66"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6"/>
    <w:bookmarkStart w:id="67"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7"/>
    <w:bookmarkStart w:id="68"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8"/>
    <w:bookmarkEnd w:id="69"/>
    <w:bookmarkStart w:id="73" w:name="bills-of-material"/>
    <w:p>
      <w:pPr>
        <w:pStyle w:val="Heading3"/>
      </w:pPr>
      <w:r>
        <w:t xml:space="preserve">3.2 Bills of Material</w:t>
      </w:r>
    </w:p>
    <w:bookmarkStart w:id="70"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70"/>
    <w:bookmarkStart w:id="71"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71"/>
    <w:bookmarkStart w:id="72"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72"/>
    <w:bookmarkEnd w:id="73"/>
    <w:bookmarkStart w:id="79" w:name="route-templates"/>
    <w:p>
      <w:pPr>
        <w:pStyle w:val="Heading3"/>
      </w:pPr>
      <w:r>
        <w:t xml:space="preserve">3.3 Route Templates</w:t>
      </w:r>
    </w:p>
    <w:bookmarkStart w:id="74"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74"/>
    <w:bookmarkStart w:id="75"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5"/>
    <w:bookmarkStart w:id="76"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6"/>
    <w:bookmarkStart w:id="77"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7"/>
    <w:bookmarkStart w:id="78"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8"/>
    <w:bookmarkEnd w:id="79"/>
    <w:bookmarkStart w:id="83" w:name="operation-templates"/>
    <w:p>
      <w:pPr>
        <w:pStyle w:val="Heading3"/>
      </w:pPr>
      <w:r>
        <w:t xml:space="preserve">3.4 Operation Templates</w:t>
      </w:r>
    </w:p>
    <w:bookmarkStart w:id="80"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80"/>
    <w:bookmarkStart w:id="81"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81"/>
    <w:bookmarkStart w:id="82"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11"/>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11"/>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2"/>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2"/>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2"/>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2"/>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11"/>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11"/>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82"/>
    <w:bookmarkEnd w:id="83"/>
    <w:bookmarkStart w:id="87" w:name="part-to-location-eligibility"/>
    <w:p>
      <w:pPr>
        <w:pStyle w:val="Heading3"/>
      </w:pPr>
      <w:r>
        <w:t xml:space="preserve">3.5 Part-to-Location Eligibility</w:t>
      </w:r>
    </w:p>
    <w:bookmarkStart w:id="84"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3"/>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3"/>
        </w:numPr>
      </w:pPr>
      <w:r>
        <w:t xml:space="preserve">If none, check at the Cell’s parent WorkCenter (if a WorkCenter tier exists between Cell and Area).</w:t>
      </w:r>
    </w:p>
    <w:p>
      <w:pPr>
        <w:pStyle w:val="Compact"/>
        <w:numPr>
          <w:ilvl w:val="0"/>
          <w:numId w:val="1013"/>
        </w:numPr>
      </w:pPr>
      <w:r>
        <w:t xml:space="preserve">If none, check at the parent Area.</w:t>
      </w:r>
    </w:p>
    <w:p>
      <w:pPr>
        <w:pStyle w:val="Compact"/>
        <w:numPr>
          <w:ilvl w:val="0"/>
          <w:numId w:val="1013"/>
        </w:numPr>
      </w:pPr>
      <w:r>
        <w:t xml:space="preserve">If none, check at the Site.</w:t>
      </w:r>
    </w:p>
    <w:p>
      <w:pPr>
        <w:pStyle w:val="Compact"/>
        <w:numPr>
          <w:ilvl w:val="0"/>
          <w:numId w:val="1013"/>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84"/>
    <w:bookmarkStart w:id="85"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5"/>
    <w:bookmarkStart w:id="86"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6"/>
    <w:bookmarkEnd w:id="87"/>
    <w:bookmarkStart w:id="93" w:name="container-configuration"/>
    <w:p>
      <w:pPr>
        <w:pStyle w:val="Heading3"/>
      </w:pPr>
      <w:r>
        <w:t xml:space="preserve">3.6 Container Configuration</w:t>
      </w:r>
    </w:p>
    <w:bookmarkStart w:id="88"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8"/>
    <w:bookmarkStart w:id="89"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4"/>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4"/>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9"/>
    <w:bookmarkStart w:id="90"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5"/>
        </w:numPr>
      </w:pPr>
      <w:r>
        <w:t xml:space="preserve">Sum existing pieces of this Item across all non-Closed LOTs currently at the destination Location.</w:t>
      </w:r>
    </w:p>
    <w:p>
      <w:pPr>
        <w:pStyle w:val="Compact"/>
        <w:numPr>
          <w:ilvl w:val="0"/>
          <w:numId w:val="1015"/>
        </w:numPr>
      </w:pPr>
      <w:r>
        <w:t xml:space="preserve">Add the incoming LOT’s piece count.</w:t>
      </w:r>
    </w:p>
    <w:p>
      <w:pPr>
        <w:pStyle w:val="Compact"/>
        <w:numPr>
          <w:ilvl w:val="0"/>
          <w:numId w:val="1015"/>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90"/>
    <w:bookmarkStart w:id="91"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91"/>
    <w:bookmarkStart w:id="92"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92"/>
    <w:bookmarkEnd w:id="93"/>
    <w:bookmarkEnd w:id="94"/>
    <w:bookmarkStart w:id="108"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9" w:name="identity-model"/>
    <w:p>
      <w:pPr>
        <w:pStyle w:val="Heading3"/>
      </w:pPr>
      <w:r>
        <w:t xml:space="preserve">4.1 Identity Model</w:t>
      </w:r>
    </w:p>
    <w:bookmarkStart w:id="95"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5"/>
    <w:bookmarkStart w:id="96"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6"/>
        </w:numPr>
      </w:pPr>
      <w:r>
        <w:t xml:space="preserve">another operator enters different initials, or</w:t>
      </w:r>
    </w:p>
    <w:p>
      <w:pPr>
        <w:pStyle w:val="Compact"/>
        <w:numPr>
          <w:ilvl w:val="0"/>
          <w:numId w:val="1016"/>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6"/>
    <w:bookmarkStart w:id="97" w:name="Xae1f8dd5399bb0a0d8ab504be3dfcefdde6bf81"/>
    <w:p>
      <w:pPr>
        <w:pStyle w:val="Heading4"/>
      </w:pPr>
      <w:r>
        <w:t xml:space="preserve">FDS-04-003 — Terminal Mode: Dedicated vs Shared —</w:t>
      </w:r>
      <w:r>
        <w:t xml:space="preserve"> </w:t>
      </w:r>
      <w:r>
        <w:rPr>
          <w:rStyle w:val="VerbatimChar"/>
        </w:rPr>
        <w:t xml:space="preserve">MVP</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7"/>
        </w:numPr>
      </w:pPr>
      <w:r>
        <w:rPr>
          <w:b/>
          <w:bCs/>
        </w:rPr>
        <w:t xml:space="preserve">Dedicated terminals</w:t>
      </w:r>
      <w:r>
        <w:t xml:space="preserve"> </w:t>
      </w:r>
      <w:r>
        <w:t xml:space="preserve">(Terminal’s parent Location is a Cell). The Cell context is fixed, so presence context persists across idle gaps subject only to the 30-minute re-confirmation prompt. Initials do not clear unless explicitly changed.</w:t>
      </w:r>
    </w:p>
    <w:p>
      <w:pPr>
        <w:pStyle w:val="Compact"/>
        <w:numPr>
          <w:ilvl w:val="0"/>
          <w:numId w:val="1017"/>
        </w:numPr>
      </w:pPr>
      <w:r>
        <w:rPr>
          <w:b/>
          <w:bCs/>
        </w:rPr>
        <w:t xml:space="preserve">Shared terminals</w:t>
      </w:r>
      <w:r>
        <w:t xml:space="preserve"> </w:t>
      </w:r>
      <w:r>
        <w:t xml:space="preserve">(Terminal’s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bookmarkEnd w:id="97"/>
    <w:bookmarkStart w:id="98"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8"/>
    <w:bookmarkEnd w:id="99"/>
    <w:bookmarkStart w:id="102" w:name="event-attribution-on-mutations"/>
    <w:p>
      <w:pPr>
        <w:pStyle w:val="Heading3"/>
      </w:pPr>
      <w:r>
        <w:t xml:space="preserve">4.2 Event Attribution on Mutations</w:t>
      </w:r>
    </w:p>
    <w:bookmarkStart w:id="100"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100"/>
    <w:bookmarkStart w:id="101"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8"/>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8"/>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101"/>
    <w:bookmarkEnd w:id="102"/>
    <w:bookmarkStart w:id="107" w:name="elevation-model"/>
    <w:p>
      <w:pPr>
        <w:pStyle w:val="Heading3"/>
      </w:pPr>
      <w:r>
        <w:t xml:space="preserve">4.3 Elevation Model</w:t>
      </w:r>
    </w:p>
    <w:bookmarkStart w:id="103"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9"/>
        </w:numPr>
      </w:pPr>
      <w:r>
        <w:t xml:space="preserve">Place a LOT on hold</w:t>
      </w:r>
    </w:p>
    <w:p>
      <w:pPr>
        <w:pStyle w:val="Compact"/>
        <w:numPr>
          <w:ilvl w:val="0"/>
          <w:numId w:val="1019"/>
        </w:numPr>
      </w:pPr>
      <w:r>
        <w:t xml:space="preserve">Release a LOT from hold</w:t>
      </w:r>
    </w:p>
    <w:p>
      <w:pPr>
        <w:pStyle w:val="Compact"/>
        <w:numPr>
          <w:ilvl w:val="0"/>
          <w:numId w:val="1019"/>
        </w:numPr>
      </w:pPr>
      <w:r>
        <w:t xml:space="preserve">Override a vision or interlock failure</w:t>
      </w:r>
    </w:p>
    <w:p>
      <w:pPr>
        <w:pStyle w:val="Compact"/>
        <w:numPr>
          <w:ilvl w:val="0"/>
          <w:numId w:val="1019"/>
        </w:numPr>
      </w:pPr>
      <w:r>
        <w:t xml:space="preserve">Scrap a LOT or container</w:t>
      </w:r>
    </w:p>
    <w:p>
      <w:pPr>
        <w:pStyle w:val="Compact"/>
        <w:numPr>
          <w:ilvl w:val="0"/>
          <w:numId w:val="1019"/>
        </w:numPr>
      </w:pPr>
      <w:r>
        <w:t xml:space="preserve">Void or reprint a shipping label</w:t>
      </w:r>
    </w:p>
    <w:p>
      <w:pPr>
        <w:pStyle w:val="Compact"/>
        <w:numPr>
          <w:ilvl w:val="0"/>
          <w:numId w:val="1019"/>
        </w:numPr>
      </w:pPr>
      <w:r>
        <w:t xml:space="preserve">Merge or split LOTs outside of the normal sort workflow</w:t>
      </w:r>
    </w:p>
    <w:p>
      <w:pPr>
        <w:pStyle w:val="Compact"/>
        <w:numPr>
          <w:ilvl w:val="0"/>
          <w:numId w:val="1019"/>
        </w:numPr>
      </w:pPr>
      <w:r>
        <w:t xml:space="preserve">Issue or close a maintenance work order against a tool</w:t>
      </w:r>
    </w:p>
    <w:p>
      <w:pPr>
        <w:pStyle w:val="Compact"/>
        <w:numPr>
          <w:ilvl w:val="0"/>
          <w:numId w:val="1019"/>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9"/>
        </w:numPr>
      </w:pPr>
      <w:r>
        <w:t xml:space="preserve">Adjust inventory via the admin remove-item action</w:t>
      </w:r>
    </w:p>
    <w:p>
      <w:pPr>
        <w:pStyle w:val="Compact"/>
        <w:numPr>
          <w:ilvl w:val="0"/>
          <w:numId w:val="1019"/>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103"/>
    <w:bookmarkStart w:id="104"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104"/>
    <w:bookmarkStart w:id="105" w:name="fds-04-009-screen-level-security"/>
    <w:p>
      <w:pPr>
        <w:pStyle w:val="Heading4"/>
      </w:pPr>
      <w:r>
        <w:t xml:space="preserve">FDS-04-009 — Screen-Level Security</w:t>
      </w:r>
    </w:p>
    <w:p>
      <w:pPr>
        <w:pStyle w:val="Compact"/>
        <w:numPr>
          <w:ilvl w:val="0"/>
          <w:numId w:val="1020"/>
        </w:numPr>
      </w:pPr>
      <w:r>
        <w:t xml:space="preserve">Shop-floor terminal screens SHALL be accessible without interactive authentication; operator presence is sufficient.</w:t>
      </w:r>
    </w:p>
    <w:p>
      <w:pPr>
        <w:pStyle w:val="Compact"/>
        <w:numPr>
          <w:ilvl w:val="0"/>
          <w:numId w:val="1020"/>
        </w:numPr>
      </w:pPr>
      <w:r>
        <w:t xml:space="preserve">Shop-floor screens SHALL NOT expose Configuration Tool or master-data functions.</w:t>
      </w:r>
    </w:p>
    <w:p>
      <w:pPr>
        <w:pStyle w:val="Compact"/>
        <w:numPr>
          <w:ilvl w:val="0"/>
          <w:numId w:val="1020"/>
        </w:numPr>
      </w:pPr>
      <w:r>
        <w:t xml:space="preserve">Configuration Tool, Supervisor dashboards, and Engineering screens SHALL require AD-backed authentication on page entry.</w:t>
      </w:r>
    </w:p>
    <w:p>
      <w:pPr>
        <w:pStyle w:val="Compact"/>
        <w:numPr>
          <w:ilvl w:val="0"/>
          <w:numId w:val="1020"/>
        </w:numPr>
      </w:pPr>
      <w:r>
        <w:t xml:space="preserve">Elevated action controls (buttons, menu items) SHALL be visible on shop-floor screens but SHALL trigger the FDS-04-007 prompt on activation. Unauthorised users cancel out.</w:t>
      </w:r>
    </w:p>
    <w:bookmarkEnd w:id="105"/>
    <w:bookmarkStart w:id="106"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6"/>
    <w:bookmarkEnd w:id="107"/>
    <w:bookmarkEnd w:id="108"/>
    <w:bookmarkStart w:id="156" w:name="lot-lifecycle-genealogy-mvp"/>
    <w:p>
      <w:pPr>
        <w:pStyle w:val="Heading2"/>
      </w:pPr>
      <w:r>
        <w:t xml:space="preserve">5. LOT Lifecycle &amp; Genealogy —</w:t>
      </w:r>
      <w:r>
        <w:t xml:space="preserve"> </w:t>
      </w:r>
      <w:r>
        <w:rPr>
          <w:rStyle w:val="VerbatimChar"/>
        </w:rPr>
        <w:t xml:space="preserve">MVP</w:t>
      </w:r>
    </w:p>
    <w:bookmarkStart w:id="115" w:name="lot-identity"/>
    <w:p>
      <w:pPr>
        <w:pStyle w:val="Heading3"/>
      </w:pPr>
      <w:r>
        <w:t xml:space="preserve">5.1 LOT Identity</w:t>
      </w:r>
    </w:p>
    <w:bookmarkStart w:id="10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9"/>
    <w:bookmarkStart w:id="11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10"/>
    <w:bookmarkStart w:id="11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11"/>
    <w:bookmarkStart w:id="112"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21"/>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21"/>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21"/>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12"/>
    <w:bookmarkStart w:id="113"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13"/>
    <w:bookmarkStart w:id="114"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2"/>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14"/>
    <w:bookmarkEnd w:id="115"/>
    <w:bookmarkStart w:id="119" w:name="lot-creation-workflows"/>
    <w:p>
      <w:pPr>
        <w:pStyle w:val="Heading3"/>
      </w:pPr>
      <w:r>
        <w:t xml:space="preserve">5.2 LOT Creation Workflows</w:t>
      </w:r>
    </w:p>
    <w:bookmarkStart w:id="116"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3"/>
        </w:numPr>
      </w:pPr>
      <w:r>
        <w:t xml:space="preserve">Fill a basket with parts from the active cavity of the die cast machine.</w:t>
      </w:r>
    </w:p>
    <w:p>
      <w:pPr>
        <w:pStyle w:val="Compact"/>
        <w:numPr>
          <w:ilvl w:val="0"/>
          <w:numId w:val="1023"/>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3"/>
        </w:numPr>
      </w:pPr>
      <w:r>
        <w:t xml:space="preserve">Scan the LTT barcode at the MES terminal — this scan creates the LOT record; the physical label already exists.</w:t>
      </w:r>
    </w:p>
    <w:p>
      <w:pPr>
        <w:pStyle w:val="Compact"/>
        <w:numPr>
          <w:ilvl w:val="0"/>
          <w:numId w:val="1023"/>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3"/>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3"/>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3"/>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3"/>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3"/>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3"/>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6"/>
    <w:bookmarkStart w:id="117"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4"/>
        </w:numPr>
      </w:pPr>
      <w:r>
        <w:t xml:space="preserve">Scan or manually enter the vendor reference (PO number, packing slip, etc.)</w:t>
      </w:r>
    </w:p>
    <w:p>
      <w:pPr>
        <w:pStyle w:val="Compact"/>
        <w:numPr>
          <w:ilvl w:val="0"/>
          <w:numId w:val="1024"/>
        </w:numPr>
      </w:pPr>
      <w:r>
        <w:t xml:space="preserve">Enter: part number, vendor lot number, piece count</w:t>
      </w:r>
    </w:p>
    <w:p>
      <w:pPr>
        <w:pStyle w:val="Compact"/>
        <w:numPr>
          <w:ilvl w:val="0"/>
          <w:numId w:val="1024"/>
        </w:numPr>
      </w:pPr>
      <w:r>
        <w:t xml:space="preserve">The MES SHALL create the LOT with origin type Received, status Good, location = Receiving Dock</w:t>
      </w:r>
    </w:p>
    <w:p>
      <w:pPr>
        <w:pStyle w:val="Compact"/>
        <w:numPr>
          <w:ilvl w:val="0"/>
          <w:numId w:val="1024"/>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4"/>
        </w:numPr>
      </w:pPr>
      <w:r>
        <w:t xml:space="preserve">The operator SHALL affix the printed label to the basket/container</w:t>
      </w:r>
    </w:p>
    <w:p>
      <w:pPr>
        <w:pStyle w:val="Compact"/>
        <w:numPr>
          <w:ilvl w:val="0"/>
          <w:numId w:val="1024"/>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7"/>
    <w:bookmarkStart w:id="118"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8"/>
    <w:bookmarkEnd w:id="119"/>
    <w:bookmarkStart w:id="126" w:name="lot-movement"/>
    <w:p>
      <w:pPr>
        <w:pStyle w:val="Heading3"/>
      </w:pPr>
      <w:r>
        <w:t xml:space="preserve">5.3 LOT Movement</w:t>
      </w:r>
    </w:p>
    <w:bookmarkStart w:id="120"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20"/>
    <w:bookmarkStart w:id="121"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5"/>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21"/>
    <w:bookmarkStart w:id="122"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22"/>
    <w:bookmarkStart w:id="123"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23"/>
    <w:bookmarkStart w:id="124"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24"/>
    <w:bookmarkStart w:id="125"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6"/>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6"/>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6"/>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6"/>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5"/>
    <w:bookmarkEnd w:id="126"/>
    <w:bookmarkStart w:id="132"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7"/>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7"/>
        </w:numPr>
      </w:pPr>
      <w:r>
        <w:rPr>
          <w:b/>
          <w:bCs/>
        </w:rPr>
        <w:t xml:space="preserve">Machining sub-LOT split IS a sublot pattern, and it happens at Machining OUT.</w:t>
      </w:r>
      <w:r>
        <w:t xml:space="preserve"> </w:t>
      </w:r>
      <w:r>
        <w:t xml:space="preserve">A cast/trim LOT moves whole (1:1) from Trim to its Machining line and is renamed to the machined Item at Machining IN (FDS-05-033); the split into N machined sub-LOTs then happens at</w:t>
      </w:r>
      <w:r>
        <w:t xml:space="preserve"> </w:t>
      </w:r>
      <w:r>
        <w:rPr>
          <w:b/>
          <w:bCs/>
        </w:rPr>
        <w:t xml:space="preserve">Machining OUT</w:t>
      </w:r>
      <w:r>
        <w:t xml:space="preserve"> </w:t>
      </w:r>
      <w:r>
        <w:t xml:space="preserve">on lines that sublot. The workflow below (FDS-05-022, -024, -009..011) is authoritative — parent FK, split genealogy, sublot labels. Trim OUT does</w:t>
      </w:r>
      <w:r>
        <w:t xml:space="preserve"> </w:t>
      </w:r>
      <w:r>
        <w:rPr>
          <w:b/>
          <w:bCs/>
        </w:rPr>
        <w:t xml:space="preserve">not</w:t>
      </w:r>
      <w:r>
        <w:t xml:space="preserve"> </w:t>
      </w:r>
      <w:r>
        <w:t xml:space="preserve">split (FDS-06-006).</w:t>
      </w:r>
    </w:p>
    <w:p>
      <w:pPr>
        <w:pStyle w:val="Compact"/>
        <w:numPr>
          <w:ilvl w:val="0"/>
          <w:numId w:val="1027"/>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7"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7"/>
    <w:bookmarkStart w:id="128"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8"/>
    <w:bookmarkStart w:id="129" w:name="X966710907e49d2cc26c5181fcdb6e974eae84fc"/>
    <w:p>
      <w:pPr>
        <w:pStyle w:val="Heading4"/>
      </w:pPr>
      <w:r>
        <w:t xml:space="preserve">FDS-05-009 — Machining OUT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machined LOT across downstream destinations SHALL happen at</w:t>
      </w:r>
      <w:r>
        <w:t xml:space="preserve"> </w:t>
      </w:r>
      <w:r>
        <w:rPr>
          <w:b/>
          <w:bCs/>
        </w:rPr>
        <w:t xml:space="preserve">Machining OUT</w:t>
      </w:r>
      <w:r>
        <w:t xml:space="preserve"> </w:t>
      </w:r>
      <w:r>
        <w:t xml:space="preserve">(per MPP — confirmed 2026-06; supersedes the prior Trim-OUT design). Only lines that sublot perform this split; their physical signature is a dedicated</w:t>
      </w:r>
      <w:r>
        <w:t xml:space="preserve"> </w:t>
      </w:r>
      <w:r>
        <w:rPr>
          <w:b/>
          <w:bCs/>
        </w:rPr>
        <w:t xml:space="preserve">Machining OUT terminal</w:t>
      </w:r>
      <w:r>
        <w:t xml:space="preserve"> </w:t>
      </w:r>
      <w:r>
        <w:t xml:space="preserve">(lines without one feed the coupled Assembly Cell whole, per FDS-06-008). By Machining OUT the</w:t>
      </w:r>
      <w:r>
        <w:t xml:space="preserve"> </w:t>
      </w:r>
      <w:r>
        <w:rPr>
          <w:b/>
          <w:bCs/>
        </w:rPr>
        <w:t xml:space="preserve">Trim → Machining rename has already fired</w:t>
      </w:r>
      <w:r>
        <w:t xml:space="preserve"> </w:t>
      </w:r>
      <w:r>
        <w:t xml:space="preserve">at Machining IN (FDS-05-033), so the parent being split is the</w:t>
      </w:r>
      <w:r>
        <w:t xml:space="preserve"> </w:t>
      </w:r>
      <w:r>
        <w:rPr>
          <w:b/>
          <w:bCs/>
        </w:rPr>
        <w:t xml:space="preserve">machined</w:t>
      </w:r>
      <w:r>
        <w:t xml:space="preserve"> </w:t>
      </w:r>
      <w:r>
        <w:t xml:space="preserve">LOT and the children are machined sub-LOTs (machining-origin —</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NULL per FDS-05-022). The mechanics:</w:t>
      </w:r>
    </w:p>
    <w:p>
      <w:pPr>
        <w:pStyle w:val="Compact"/>
        <w:numPr>
          <w:ilvl w:val="0"/>
          <w:numId w:val="1028"/>
        </w:numPr>
      </w:pPr>
      <w:r>
        <w:t xml:space="preserve">When the operator completes the Machining operation on a parent (machined) LOT and triggers Machining OUT (FDS-06-008), the system SHALL present a sub-LOT split confirmation dialog.</w:t>
      </w:r>
    </w:p>
    <w:p>
      <w:pPr>
        <w:pStyle w:val="Compact"/>
        <w:numPr>
          <w:ilvl w:val="0"/>
          <w:numId w:val="1028"/>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8"/>
        </w:numPr>
      </w:pPr>
      <w:r>
        <w:t xml:space="preserve">For each sub-LOT, the operator SHALL select the destination (scan or dropdown per FDS-02-009). Routing MAY drive the destination set where the line’s Operation Template defines it.</w:t>
      </w:r>
    </w:p>
    <w:p>
      <w:pPr>
        <w:pStyle w:val="Compact"/>
        <w:numPr>
          <w:ilvl w:val="0"/>
          <w:numId w:val="1028"/>
        </w:numPr>
      </w:pPr>
      <w:r>
        <w:t xml:space="preserve">On confirmation, create N child LOT records per FDS-05-022 (sublot pattern). Each sub-LOT inherits the parent’s</w:t>
      </w:r>
      <w:r>
        <w:t xml:space="preserve"> </w:t>
      </w:r>
      <w:r>
        <w:rPr>
          <w:b/>
          <w:bCs/>
        </w:rPr>
        <w:t xml:space="preserve">machined</w:t>
      </w:r>
      <w:r>
        <w:t xml:space="preserve"> </w:t>
      </w:r>
      <w:r>
        <w:rPr>
          <w:rStyle w:val="VerbatimChar"/>
        </w:rPr>
        <w:t xml:space="preserve">ItemId</w:t>
      </w:r>
      <w:r>
        <w:t xml:space="preserve"> </w:t>
      </w:r>
      <w:r>
        <w:t xml:space="preserve">(the Trim → Machining rename already happened at Machining IN per FDS-05-033). Each child requires a fresh LTT barcode scan.</w:t>
      </w:r>
    </w:p>
    <w:p>
      <w:pPr>
        <w:pStyle w:val="Compact"/>
        <w:numPr>
          <w:ilvl w:val="0"/>
          <w:numId w:val="1028"/>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8"/>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8"/>
        </w:numPr>
      </w:pPr>
      <w:r>
        <w:t xml:space="preserve">Write a</w:t>
      </w:r>
      <w:r>
        <w:t xml:space="preserve"> </w:t>
      </w:r>
      <w:r>
        <w:rPr>
          <w:rStyle w:val="VerbatimChar"/>
        </w:rPr>
        <w:t xml:space="preserve">LotMovement</w:t>
      </w:r>
      <w:r>
        <w:t xml:space="preserve"> </w:t>
      </w:r>
      <w:r>
        <w:t xml:space="preserve">for each sub-LOT moving from the Machining Cell to its destination.</w:t>
      </w:r>
    </w:p>
    <w:p>
      <w:pPr>
        <w:pStyle w:val="Compact"/>
        <w:numPr>
          <w:ilvl w:val="0"/>
          <w:numId w:val="1028"/>
        </w:numPr>
      </w:pPr>
      <w:r>
        <w:t xml:space="preserve">Print LTT labels for each child sublot — labels follow the FDS-05-024 parent-reference rule (MPP’s</w:t>
      </w:r>
      <w:r>
        <w:t xml:space="preserve"> </w:t>
      </w:r>
      <w:r>
        <w:rPr>
          <w:rStyle w:val="VerbatimChar"/>
        </w:rPr>
        <w:t xml:space="preserve">SL</w:t>
      </w:r>
      <w:r>
        <w:t xml:space="preserve">-id sublot numbering convention — exact pre/post format confirmed at lot-number-generation build time).</w:t>
      </w:r>
    </w:p>
    <w:p>
      <w:pPr>
        <w:pStyle w:val="Compact"/>
        <w:numPr>
          <w:ilvl w:val="0"/>
          <w:numId w:val="1028"/>
        </w:numPr>
      </w:pPr>
      <w:r>
        <w:t xml:space="preserve">Log all operations to</w:t>
      </w:r>
      <w:r>
        <w:t xml:space="preserve"> </w:t>
      </w:r>
      <w:r>
        <w:rPr>
          <w:rStyle w:val="VerbatimChar"/>
        </w:rPr>
        <w:t xml:space="preserve">Audit.OperationLog</w:t>
      </w:r>
      <w:r>
        <w:t xml:space="preserve">.</w:t>
      </w:r>
    </w:p>
    <w:p>
      <w:pPr>
        <w:pStyle w:val="FirstParagraph"/>
      </w:pPr>
      <w:r>
        <w:t xml:space="preserve">A line that does</w:t>
      </w:r>
      <w:r>
        <w:t xml:space="preserve"> </w:t>
      </w:r>
      <w:r>
        <w:rPr>
          <w:b/>
          <w:bCs/>
        </w:rPr>
        <w:t xml:space="preserve">not</w:t>
      </w:r>
      <w:r>
        <w:t xml:space="preserve"> </w:t>
      </w:r>
      <w:r>
        <w:t xml:space="preserve">sublot skips this workflow entirely — the whole machined LOT auto-moves to the coupled Assembly Cell (FDS-06-008). The operator MAY also cancel a split on a sublotting line and move the whole LOT to a single destination. (FRS 2.1.4, 2.2.5, 3.9.12)</w:t>
      </w:r>
    </w:p>
    <w:bookmarkEnd w:id="129"/>
    <w:bookmarkStart w:id="130"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30"/>
    <w:bookmarkStart w:id="131"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31"/>
    <w:bookmarkEnd w:id="132"/>
    <w:bookmarkStart w:id="140"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9"/>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9"/>
        </w:numPr>
      </w:pPr>
      <w:r>
        <w:t xml:space="preserve">Same</w:t>
      </w:r>
      <w:r>
        <w:t xml:space="preserve"> </w:t>
      </w:r>
      <w:r>
        <w:rPr>
          <w:b/>
          <w:bCs/>
        </w:rPr>
        <w:t xml:space="preserve">part number</w:t>
      </w:r>
      <w:r>
        <w:t xml:space="preserve"> </w:t>
      </w:r>
      <w:r>
        <w:t xml:space="preserve">SHALL be required.</w:t>
      </w:r>
    </w:p>
    <w:p>
      <w:pPr>
        <w:pStyle w:val="Compact"/>
        <w:numPr>
          <w:ilvl w:val="0"/>
          <w:numId w:val="1029"/>
        </w:numPr>
      </w:pPr>
      <w:r>
        <w:t xml:space="preserve">Same</w:t>
      </w:r>
      <w:r>
        <w:t xml:space="preserve"> </w:t>
      </w:r>
      <w:r>
        <w:rPr>
          <w:b/>
          <w:bCs/>
        </w:rPr>
        <w:t xml:space="preserve">die</w:t>
      </w:r>
      <w:r>
        <w:t xml:space="preserve"> </w:t>
      </w:r>
      <w:r>
        <w:t xml:space="preserve">→ merge proceeds.</w:t>
      </w:r>
    </w:p>
    <w:p>
      <w:pPr>
        <w:pStyle w:val="Compact"/>
        <w:numPr>
          <w:ilvl w:val="0"/>
          <w:numId w:val="1029"/>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9"/>
        </w:numPr>
      </w:pPr>
      <w:r>
        <w:rPr>
          <w:b/>
          <w:bCs/>
        </w:rPr>
        <w:t xml:space="preserve">Machining</w:t>
      </w:r>
      <w:r>
        <w:t xml:space="preserve"> </w:t>
      </w:r>
      <w:r>
        <w:t xml:space="preserve">is FIFO-by-cavity — not a merge operation.</w:t>
      </w:r>
    </w:p>
    <w:p>
      <w:pPr>
        <w:pStyle w:val="Compact"/>
        <w:numPr>
          <w:ilvl w:val="0"/>
          <w:numId w:val="1029"/>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9"/>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33"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33"/>
    <w:bookmarkStart w:id="134"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34"/>
    <w:bookmarkStart w:id="135"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5"/>
    <w:bookmarkStart w:id="136"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30"/>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30"/>
        </w:numPr>
      </w:pPr>
      <w:r>
        <w:t xml:space="preserve">If all source LOTs share the same die, the compatibility check is bypassed; proceed to FDS-05-028 (Quality Status Gating).</w:t>
      </w:r>
    </w:p>
    <w:p>
      <w:pPr>
        <w:pStyle w:val="Compact"/>
        <w:numPr>
          <w:ilvl w:val="0"/>
          <w:numId w:val="1030"/>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30"/>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30"/>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6"/>
    <w:bookmarkStart w:id="137"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7"/>
    <w:bookmarkStart w:id="138"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8"/>
    <w:bookmarkStart w:id="139"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9"/>
    <w:bookmarkEnd w:id="140"/>
    <w:bookmarkStart w:id="144" w:name="lot-status-transitions"/>
    <w:p>
      <w:pPr>
        <w:pStyle w:val="Heading3"/>
      </w:pPr>
      <w:r>
        <w:t xml:space="preserve">5.6 LOT Status Transitions</w:t>
      </w:r>
    </w:p>
    <w:bookmarkStart w:id="141"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41"/>
    <w:bookmarkStart w:id="142"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42"/>
    <w:bookmarkStart w:id="143"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43"/>
    <w:bookmarkEnd w:id="144"/>
    <w:bookmarkStart w:id="148" w:name="genealogy"/>
    <w:p>
      <w:pPr>
        <w:pStyle w:val="Heading3"/>
      </w:pPr>
      <w:r>
        <w:t xml:space="preserve">5.7 Genealogy</w:t>
      </w:r>
    </w:p>
    <w:bookmarkStart w:id="145"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5"/>
    <w:bookmarkStart w:id="146"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6"/>
    <w:bookmarkStart w:id="147"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7"/>
    <w:bookmarkEnd w:id="148"/>
    <w:bookmarkStart w:id="151" w:name="lot-label-management"/>
    <w:p>
      <w:pPr>
        <w:pStyle w:val="Heading3"/>
      </w:pPr>
      <w:r>
        <w:t xml:space="preserve">5.8 LOT Label Management</w:t>
      </w:r>
    </w:p>
    <w:bookmarkStart w:id="149"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9"/>
    <w:bookmarkStart w:id="150"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31"/>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31"/>
        </w:numPr>
      </w:pPr>
      <w:r>
        <w:rPr>
          <w:b/>
          <w:bCs/>
        </w:rPr>
        <w:t xml:space="preserve">Off-site receiving</w:t>
      </w:r>
      <w:r>
        <w:t xml:space="preserve">: same as above</w:t>
      </w:r>
    </w:p>
    <w:p>
      <w:pPr>
        <w:pStyle w:val="Compact"/>
        <w:numPr>
          <w:ilvl w:val="0"/>
          <w:numId w:val="1031"/>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50"/>
    <w:bookmarkEnd w:id="151"/>
    <w:bookmarkStart w:id="153" w:name="lot-attribute-auditing"/>
    <w:p>
      <w:pPr>
        <w:pStyle w:val="Heading3"/>
      </w:pPr>
      <w:r>
        <w:t xml:space="preserve">5.9 LOT Attribute Auditing</w:t>
      </w:r>
    </w:p>
    <w:bookmarkStart w:id="152"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52"/>
    <w:bookmarkEnd w:id="153"/>
    <w:bookmarkStart w:id="155"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54"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2"/>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2"/>
        </w:numPr>
      </w:pPr>
      <w:r>
        <w:t xml:space="preserve">For each such item, check whether its BOM’s single line references the scanned LOT’s Item. The matching machined item is the destination part.</w:t>
      </w:r>
    </w:p>
    <w:p>
      <w:pPr>
        <w:pStyle w:val="Compact"/>
        <w:numPr>
          <w:ilvl w:val="0"/>
          <w:numId w:val="1032"/>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2"/>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2"/>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54"/>
    <w:bookmarkEnd w:id="155"/>
    <w:bookmarkEnd w:id="156"/>
    <w:bookmarkStart w:id="197" w:name="production-execution-mvp-expanded"/>
    <w:p>
      <w:pPr>
        <w:pStyle w:val="Heading2"/>
      </w:pPr>
      <w:r>
        <w:t xml:space="preserve">6. Production Execution —</w:t>
      </w:r>
      <w:r>
        <w:t xml:space="preserve"> </w:t>
      </w:r>
      <w:r>
        <w:rPr>
          <w:rStyle w:val="VerbatimChar"/>
        </w:rPr>
        <w:t xml:space="preserve">MVP-EXPANDED</w:t>
      </w:r>
    </w:p>
    <w:bookmarkStart w:id="157"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7"/>
    <w:bookmarkStart w:id="161" w:name="die-cast-workflow"/>
    <w:p>
      <w:pPr>
        <w:pStyle w:val="Heading3"/>
      </w:pPr>
      <w:r>
        <w:t xml:space="preserve">6.2 Die Cast Workflow</w:t>
      </w:r>
    </w:p>
    <w:bookmarkStart w:id="158"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8"/>
    <w:bookmarkStart w:id="159"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9"/>
    <w:bookmarkStart w:id="160"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3"/>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3"/>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3"/>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3"/>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60"/>
    <w:bookmarkEnd w:id="161"/>
    <w:bookmarkStart w:id="165"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Trim OUT is a</w:t>
      </w:r>
      <w:r>
        <w:t xml:space="preserve"> </w:t>
      </w:r>
      <w:r>
        <w:rPr>
          <w:b/>
          <w:bCs/>
        </w:rPr>
        <w:t xml:space="preserve">1:1 whole-LOT move</w:t>
      </w:r>
      <w:r>
        <w:t xml:space="preserve"> </w:t>
      </w:r>
      <w:r>
        <w:t xml:space="preserve">to the LOT’s destination Machining line — no split happens at Trim (sub-LOT splitting moved to Machining OUT per FDS-05-009). Trim itself is tracked at</w:t>
      </w:r>
      <w:r>
        <w:t xml:space="preserve"> </w:t>
      </w:r>
      <w:r>
        <w:rPr>
          <w:b/>
          <w:bCs/>
        </w:rPr>
        <w:t xml:space="preserve">Area</w:t>
      </w:r>
      <w:r>
        <w:t xml:space="preserve"> </w:t>
      </w:r>
      <w:r>
        <w:t xml:space="preserve">resolution: a LOT is checked into the Trim Shop, processed, and checked out, with no line- or cell-level tracking in between.</w:t>
      </w:r>
    </w:p>
    <w:bookmarkStart w:id="162"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w:t>
      </w:r>
      <w:r>
        <w:t xml:space="preserve"> </w:t>
      </w:r>
      <w:r>
        <w:rPr>
          <w:b/>
          <w:bCs/>
        </w:rPr>
        <w:t xml:space="preserve">Trim Shop Area</w:t>
      </w:r>
      <w:r>
        <w:t xml:space="preserve"> </w:t>
      </w:r>
      <w:r>
        <w:t xml:space="preserve">— Trim is tracked at Area resolution (check-in → process → check-out), not at line or cell level. (FRS 2.2.3)</w:t>
      </w:r>
    </w:p>
    <w:bookmarkEnd w:id="162"/>
    <w:bookmarkStart w:id="163"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4"/>
        </w:numPr>
      </w:pPr>
      <w:r>
        <w:t xml:space="preserve">Operator reads the basket weight from the scale (manual entry or OmniServer integration)</w:t>
      </w:r>
    </w:p>
    <w:p>
      <w:pPr>
        <w:pStyle w:val="Compact"/>
        <w:numPr>
          <w:ilvl w:val="0"/>
          <w:numId w:val="1034"/>
        </w:numPr>
      </w:pPr>
      <w:r>
        <w:t xml:space="preserve">The system SHALL calculate a theoretical piece count:</w:t>
      </w:r>
      <w:r>
        <w:t xml:space="preserve"> </w:t>
      </w:r>
      <w:r>
        <w:rPr>
          <w:rStyle w:val="VerbatimChar"/>
        </w:rPr>
        <w:t xml:space="preserve">Weight / Item.UnitWeight</w:t>
      </w:r>
    </w:p>
    <w:p>
      <w:pPr>
        <w:pStyle w:val="Compact"/>
        <w:numPr>
          <w:ilvl w:val="0"/>
          <w:numId w:val="1034"/>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4"/>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4"/>
        </w:numPr>
      </w:pPr>
      <w:r>
        <w:t xml:space="preserve">Any count adjustment SHALL be recorded in</w:t>
      </w:r>
      <w:r>
        <w:t xml:space="preserve"> </w:t>
      </w:r>
      <w:r>
        <w:rPr>
          <w:rStyle w:val="VerbatimChar"/>
        </w:rPr>
        <w:t xml:space="preserve">LotAttributeChange</w:t>
      </w:r>
    </w:p>
    <w:bookmarkEnd w:id="163"/>
    <w:bookmarkStart w:id="164" w:name="Xa55da93afeb2394056c1643453ce29d1cb46659"/>
    <w:p>
      <w:pPr>
        <w:pStyle w:val="Heading4"/>
      </w:pPr>
      <w:r>
        <w:t xml:space="preserve">FDS-06-006 — Trim OUT (ProductionEvent + Whole-LOT Move to Machining)</w:t>
      </w:r>
    </w:p>
    <w:p>
      <w:pPr>
        <w:pStyle w:val="FirstParagraph"/>
      </w:pPr>
      <w:r>
        <w:t xml:space="preserve">When Trim work completes, the operator SHALL trigger Trim OUT for the LOT. Trim OUT does</w:t>
      </w:r>
      <w:r>
        <w:t xml:space="preserve"> </w:t>
      </w:r>
      <w:r>
        <w:rPr>
          <w:b/>
          <w:bCs/>
        </w:rPr>
        <w:t xml:space="preserve">not</w:t>
      </w:r>
      <w:r>
        <w:t xml:space="preserve"> </w:t>
      </w:r>
      <w:r>
        <w:t xml:space="preserve">split — sub-LOT splitting moved to Machining OUT (FDS-05-009). The system SHALL, in one transaction:</w:t>
      </w:r>
    </w:p>
    <w:p>
      <w:pPr>
        <w:pStyle w:val="Compact"/>
        <w:numPr>
          <w:ilvl w:val="0"/>
          <w:numId w:val="1035"/>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5"/>
        </w:numPr>
      </w:pPr>
      <w:r>
        <w:t xml:space="preserve">Move the</w:t>
      </w:r>
      <w:r>
        <w:t xml:space="preserve"> </w:t>
      </w:r>
      <w:r>
        <w:rPr>
          <w:b/>
          <w:bCs/>
        </w:rPr>
        <w:t xml:space="preserve">whole LOT</w:t>
      </w:r>
      <w:r>
        <w:t xml:space="preserve"> </w:t>
      </w:r>
      <w:r>
        <w:t xml:space="preserve">(1:1) to its destination Machining line, selected by the operator (scan or dropdown per FDS-02-009) or by routing where the Operation Template defines it. The LOT retains its cast/trim</w:t>
      </w:r>
      <w:r>
        <w:t xml:space="preserve"> </w:t>
      </w:r>
      <w:r>
        <w:rPr>
          <w:rStyle w:val="VerbatimChar"/>
        </w:rPr>
        <w:t xml:space="preserve">ItemId</w:t>
      </w:r>
      <w:r>
        <w:t xml:space="preserve"> </w:t>
      </w:r>
      <w:r>
        <w:t xml:space="preserve">until the rename at Machining IN (FDS-05-033).</w:t>
      </w:r>
    </w:p>
    <w:p>
      <w:pPr>
        <w:pStyle w:val="Compact"/>
        <w:numPr>
          <w:ilvl w:val="0"/>
          <w:numId w:val="1035"/>
        </w:numPr>
      </w:pPr>
      <w:r>
        <w:t xml:space="preserve">Write a</w:t>
      </w:r>
      <w:r>
        <w:t xml:space="preserve"> </w:t>
      </w:r>
      <w:r>
        <w:rPr>
          <w:rStyle w:val="VerbatimChar"/>
        </w:rPr>
        <w:t xml:space="preserve">LotMovement</w:t>
      </w:r>
      <w:r>
        <w:t xml:space="preserve"> </w:t>
      </w:r>
      <w:r>
        <w:t xml:space="preserve">from the Trim Shop Area to the destination Machining line, depositing the LOT into that line’s FIFO queue (visible at FDS-06-007). The LOT remains open — there is no Trim-side close, because nothing is split off.</w:t>
      </w:r>
    </w:p>
    <w:p>
      <w:pPr>
        <w:pStyle w:val="FirstParagraph"/>
      </w:pPr>
      <w:r>
        <w:t xml:space="preserve">A LOT therefore leaves Trim as a single intact LOT; any division into sub-LOTs happens later, at Machining OUT, and only on lines that sublot (FDS-05-009).</w:t>
      </w:r>
    </w:p>
    <w:bookmarkEnd w:id="164"/>
    <w:bookmarkEnd w:id="165"/>
    <w:bookmarkStart w:id="169" w:name="machining-workflow"/>
    <w:p>
      <w:pPr>
        <w:pStyle w:val="Heading3"/>
      </w:pPr>
      <w:r>
        <w:t xml:space="preserve">6.4 Machining Workflow</w:t>
      </w:r>
    </w:p>
    <w:p>
      <w:pPr>
        <w:pStyle w:val="FirstParagraph"/>
      </w:pPr>
      <w:r>
        <w:t xml:space="preserve">Machining receives</w:t>
      </w:r>
      <w:r>
        <w:t xml:space="preserve"> </w:t>
      </w:r>
      <w:r>
        <w:rPr>
          <w:b/>
          <w:bCs/>
        </w:rPr>
        <w:t xml:space="preserve">whole</w:t>
      </w:r>
      <w:r>
        <w:t xml:space="preserve"> </w:t>
      </w:r>
      <w:r>
        <w:t xml:space="preserve">cast/trim LOTs from Trim OUT (FDS-06-006), renames each to its machined Item at Machining IN (FDS-05-033), and processes it. At Machining OUT a line either</w:t>
      </w:r>
      <w:r>
        <w:t xml:space="preserve"> </w:t>
      </w:r>
      <w:r>
        <w:rPr>
          <w:b/>
          <w:bCs/>
        </w:rPr>
        <w:t xml:space="preserve">splits</w:t>
      </w:r>
      <w:r>
        <w:t xml:space="preserve"> </w:t>
      </w:r>
      <w:r>
        <w:t xml:space="preserve">the machined LOT into sub-LOTs (FDS-05-009 — lines with a dedicated Machining OUT terminal) or, on non-sublotting lines, feeds the machined output</w:t>
      </w:r>
      <w:r>
        <w:t xml:space="preserve"> </w:t>
      </w:r>
      <w:r>
        <w:rPr>
          <w:b/>
          <w:bCs/>
        </w:rPr>
        <w:t xml:space="preserve">whole</w:t>
      </w:r>
      <w:r>
        <w:t xml:space="preserve"> </w:t>
      </w:r>
      <w:r>
        <w:t xml:space="preserve">to the coupled Assembly Cell automatically. On the auto-coupled path operators do not scan or move LOTs out of Machining (FDS-06-008).</w:t>
      </w:r>
    </w:p>
    <w:bookmarkStart w:id="166"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LOTs that have been moved to it</w:t>
      </w:r>
      <w:r>
        <w:t xml:space="preserve"> </w:t>
      </w:r>
      <w:r>
        <w:rPr>
          <w:b/>
          <w:bCs/>
        </w:rPr>
        <w:t xml:space="preserve">whole</w:t>
      </w:r>
      <w:r>
        <w:t xml:space="preserve"> </w:t>
      </w:r>
      <w:r>
        <w:t xml:space="preserve">(1:1)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LOT (or the system advances to it automatically when the prior LOT completes), the MES SHALL:</w:t>
      </w:r>
    </w:p>
    <w:p>
      <w:pPr>
        <w:pStyle w:val="Compact"/>
        <w:numPr>
          <w:ilvl w:val="0"/>
          <w:numId w:val="1036"/>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LOT and producing a new machined LOT under the destination Item (the machined-side</w:t>
      </w:r>
      <w:r>
        <w:t xml:space="preserve"> </w:t>
      </w:r>
      <w:r>
        <w:rPr>
          <w:rStyle w:val="VerbatimChar"/>
        </w:rPr>
        <w:t xml:space="preserve">Parts.Item</w:t>
      </w:r>
      <w:r>
        <w:t xml:space="preserve"> </w:t>
      </w:r>
      <w:r>
        <w:t xml:space="preserve">whose 1-line BOM matches the picked LOT’s</w:t>
      </w:r>
      <w:r>
        <w:t xml:space="preserve"> </w:t>
      </w:r>
      <w:r>
        <w:rPr>
          <w:rStyle w:val="VerbatimChar"/>
        </w:rPr>
        <w:t xml:space="preserve">ItemId</w:t>
      </w:r>
      <w:r>
        <w:t xml:space="preserve">). The operator scans a fresh LTT for the new machined LOT.</w:t>
      </w:r>
    </w:p>
    <w:p>
      <w:pPr>
        <w:pStyle w:val="Compact"/>
        <w:numPr>
          <w:ilvl w:val="0"/>
          <w:numId w:val="1036"/>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6"/>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LOT to the new machined LOT.</w:t>
      </w:r>
    </w:p>
    <w:p>
      <w:pPr>
        <w:pStyle w:val="Compact"/>
        <w:numPr>
          <w:ilvl w:val="0"/>
          <w:numId w:val="1036"/>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LOT was already placed in this Cell’s queue at Trim OUT, and the rename + machined-LOT creation are the receive event.</w:t>
      </w:r>
    </w:p>
    <w:bookmarkEnd w:id="166"/>
    <w:bookmarkStart w:id="167" w:name="X5ab207207d77ae2baedde0c7287481ec26c960d"/>
    <w:p>
      <w:pPr>
        <w:pStyle w:val="Heading4"/>
      </w:pPr>
      <w:r>
        <w:t xml:space="preserve">FDS-06-008 — Machining OUT (Sub-LOT Split on Sublotting Lines, else Auto-Move to Coupled Assembly Cell)</w:t>
      </w:r>
    </w:p>
    <w:p>
      <w:pPr>
        <w:pStyle w:val="FirstParagraph"/>
      </w:pPr>
      <w:r>
        <w:t xml:space="preserve">A line’s Machining OUT behavior depends on whether it sublots — the physical signature is a dedicated</w:t>
      </w:r>
      <w:r>
        <w:t xml:space="preserve"> </w:t>
      </w:r>
      <w:r>
        <w:rPr>
          <w:b/>
          <w:bCs/>
        </w:rPr>
        <w:t xml:space="preserve">Machining OUT terminal</w:t>
      </w:r>
      <w:r>
        <w:t xml:space="preserve">:</w:t>
      </w:r>
    </w:p>
    <w:p>
      <w:pPr>
        <w:pStyle w:val="Compact"/>
        <w:numPr>
          <w:ilvl w:val="0"/>
          <w:numId w:val="1037"/>
        </w:numPr>
      </w:pPr>
      <w:r>
        <w:rPr>
          <w:b/>
          <w:bCs/>
        </w:rPr>
        <w:t xml:space="preserve">Sublotting lines (Machining OUT terminal present):</w:t>
      </w:r>
      <w:r>
        <w:t xml:space="preserve"> </w:t>
      </w:r>
      <w:r>
        <w:t xml:space="preserve">Machining OUT is</w:t>
      </w:r>
      <w:r>
        <w:t xml:space="preserve"> </w:t>
      </w:r>
      <w:r>
        <w:rPr>
          <w:b/>
          <w:bCs/>
        </w:rPr>
        <w:t xml:space="preserve">operator-initiated</w:t>
      </w:r>
      <w:r>
        <w:t xml:space="preserve">. The operator triggers it and the sub-LOT split workflow (FDS-05-009) runs — the machined LOT is split into N machined sub-LOTs, each routed to its destination. This is the only point in the Machining → Assembly flow where sub-LOTs are created.</w:t>
      </w:r>
    </w:p>
    <w:p>
      <w:pPr>
        <w:pStyle w:val="Compact"/>
        <w:numPr>
          <w:ilvl w:val="0"/>
          <w:numId w:val="1037"/>
        </w:numPr>
      </w:pPr>
      <w:r>
        <w:rPr>
          <w:b/>
          <w:bCs/>
        </w:rPr>
        <w:t xml:space="preserve">Non-sublotting lines (auto-coupled):</w:t>
      </w:r>
      <w:r>
        <w:t xml:space="preserve"> </w:t>
      </w:r>
      <w:r>
        <w:t xml:space="preserve">Machining OUT is</w:t>
      </w:r>
      <w:r>
        <w:t xml:space="preserve"> </w:t>
      </w:r>
      <w:r>
        <w:rPr>
          <w:b/>
          <w:bCs/>
        </w:rPr>
        <w:t xml:space="preserve">event-driven, not operator-initiated</w:t>
      </w:r>
      <w:r>
        <w:t xml:space="preserve">. When the machine signals completion (via PLC integration per §10), the whole machined LOT auto-moves to the coupled Assembly Cell.</w:t>
      </w:r>
    </w:p>
    <w:p>
      <w:pPr>
        <w:pStyle w:val="FirstParagraph"/>
      </w:pPr>
      <w:r>
        <w:t xml:space="preserve">On the</w:t>
      </w:r>
      <w:r>
        <w:t xml:space="preserve"> </w:t>
      </w:r>
      <w:r>
        <w:rPr>
          <w:b/>
          <w:bCs/>
        </w:rPr>
        <w:t xml:space="preserve">auto-coupled</w:t>
      </w:r>
      <w:r>
        <w:t xml:space="preserve"> </w:t>
      </w:r>
      <w:r>
        <w:t xml:space="preserve">path, when the machine signals completion of the Machining operation on a LOT, the MES SHALL:</w:t>
      </w:r>
    </w:p>
    <w:p>
      <w:pPr>
        <w:pStyle w:val="Compact"/>
        <w:numPr>
          <w:ilvl w:val="0"/>
          <w:numId w:val="1038"/>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8"/>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8"/>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t xml:space="preserve">(On the</w:t>
      </w:r>
      <w:r>
        <w:t xml:space="preserve"> </w:t>
      </w:r>
      <w:r>
        <w:rPr>
          <w:b/>
          <w:bCs/>
        </w:rPr>
        <w:t xml:space="preserve">sublotting</w:t>
      </w:r>
      <w:r>
        <w:t xml:space="preserve"> </w:t>
      </w:r>
      <w:r>
        <w:t xml:space="preserve">path, the</w:t>
      </w:r>
      <w:r>
        <w:t xml:space="preserve"> </w:t>
      </w:r>
      <w:r>
        <w:rPr>
          <w:rStyle w:val="VerbatimChar"/>
        </w:rPr>
        <w:t xml:space="preserve">ProductionEvent</w:t>
      </w:r>
      <w:r>
        <w:t xml:space="preserve">, the</w:t>
      </w:r>
      <w:r>
        <w:t xml:space="preserve"> </w:t>
      </w:r>
      <w:r>
        <w:rPr>
          <w:rStyle w:val="VerbatimChar"/>
        </w:rPr>
        <w:t xml:space="preserve">LotGenealogy</w:t>
      </w:r>
      <w:r>
        <w:t xml:space="preserve"> </w:t>
      </w:r>
      <w:r>
        <w:rPr>
          <w:rStyle w:val="VerbatimChar"/>
        </w:rPr>
        <w:t xml:space="preserve">Split</w:t>
      </w:r>
      <w:r>
        <w:t xml:space="preserve"> </w:t>
      </w:r>
      <w:r>
        <w:t xml:space="preserve">edges, the per-sub-LOT</w:t>
      </w:r>
      <w:r>
        <w:t xml:space="preserve"> </w:t>
      </w:r>
      <w:r>
        <w:rPr>
          <w:rStyle w:val="VerbatimChar"/>
        </w:rPr>
        <w:t xml:space="preserve">LotMovement</w:t>
      </w:r>
      <w:r>
        <w:t xml:space="preserve">s, and the</w:t>
      </w:r>
      <w:r>
        <w:t xml:space="preserve"> </w:t>
      </w:r>
      <w:r>
        <w:rPr>
          <w:rStyle w:val="VerbatimChar"/>
        </w:rPr>
        <w:t xml:space="preserve">CurrentLocationId</w:t>
      </w:r>
      <w:r>
        <w:t xml:space="preserve"> </w:t>
      </w:r>
      <w:r>
        <w:t xml:space="preserve">updates are written by the FDS-05-009 workflow.)</w:t>
      </w:r>
    </w:p>
    <w:p>
      <w:pPr>
        <w:pStyle w:val="BodyText"/>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 and the entry point for the sublotting split). A sublotting line is therefore an uncoupled line (</w:t>
      </w:r>
      <w:r>
        <w:rPr>
          <w:rStyle w:val="VerbatimChar"/>
        </w:rPr>
        <w:t xml:space="preserve">CoupledDownstreamCellLocationId</w:t>
      </w:r>
      <w:r>
        <w:t xml:space="preserve"> </w:t>
      </w:r>
      <w:r>
        <w:t xml:space="preserve">NULL) whose Machining OUT terminal drives the FDS-05-009 split.</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7"/>
    <w:bookmarkStart w:id="168"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8"/>
    <w:bookmarkEnd w:id="169"/>
    <w:bookmarkStart w:id="173" w:name="assembly-workflow-serialized-lines"/>
    <w:p>
      <w:pPr>
        <w:pStyle w:val="Heading3"/>
      </w:pPr>
      <w:r>
        <w:t xml:space="preserve">6.5 Assembly Workflow — Serialized Lines</w:t>
      </w:r>
    </w:p>
    <w:bookmarkStart w:id="170"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9"/>
        </w:numPr>
      </w:pPr>
      <w:r>
        <w:t xml:space="preserve">The PLC signals</w:t>
      </w:r>
      <w:r>
        <w:t xml:space="preserve"> </w:t>
      </w:r>
      <w:r>
        <w:rPr>
          <w:rStyle w:val="VerbatimChar"/>
        </w:rPr>
        <w:t xml:space="preserve">DataReady=1</w:t>
      </w:r>
    </w:p>
    <w:p>
      <w:pPr>
        <w:pStyle w:val="Compact"/>
        <w:numPr>
          <w:ilvl w:val="0"/>
          <w:numId w:val="1039"/>
        </w:numPr>
      </w:pPr>
      <w:r>
        <w:t xml:space="preserve">The MES reads the serial number from</w:t>
      </w:r>
      <w:r>
        <w:t xml:space="preserve"> </w:t>
      </w:r>
      <w:r>
        <w:rPr>
          <w:rStyle w:val="VerbatimChar"/>
        </w:rPr>
        <w:t xml:space="preserve">PartSN</w:t>
      </w:r>
    </w:p>
    <w:p>
      <w:pPr>
        <w:pStyle w:val="Compact"/>
        <w:numPr>
          <w:ilvl w:val="0"/>
          <w:numId w:val="1039"/>
        </w:numPr>
      </w:pPr>
      <w:r>
        <w:t xml:space="preserve">The MES validates: serial number is not a duplicate, format is correct, source LOT is not on HOLD</w:t>
      </w:r>
    </w:p>
    <w:p>
      <w:pPr>
        <w:pStyle w:val="Compact"/>
        <w:numPr>
          <w:ilvl w:val="0"/>
          <w:numId w:val="1039"/>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9"/>
        </w:numPr>
      </w:pPr>
      <w:r>
        <w:t xml:space="preserve">On success, the MES SHALL:</w:t>
      </w:r>
    </w:p>
    <w:p>
      <w:pPr>
        <w:pStyle w:val="Compact"/>
        <w:numPr>
          <w:ilvl w:val="1"/>
          <w:numId w:val="1040"/>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40"/>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40"/>
        </w:numPr>
      </w:pPr>
      <w:r>
        <w:t xml:space="preserve">Decrement the source LOT(s) piece count(s) per the BOM</w:t>
      </w:r>
    </w:p>
    <w:p>
      <w:pPr>
        <w:pStyle w:val="Compact"/>
        <w:numPr>
          <w:ilvl w:val="1"/>
          <w:numId w:val="1040"/>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40"/>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70"/>
    <w:bookmarkStart w:id="171"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41"/>
        </w:numPr>
      </w:pPr>
      <w:r>
        <w:t xml:space="preserve">The system SHALL accept the scanned LOT despite the BOM mismatch.</w:t>
      </w:r>
    </w:p>
    <w:p>
      <w:pPr>
        <w:pStyle w:val="Compact"/>
        <w:numPr>
          <w:ilvl w:val="0"/>
          <w:numId w:val="1041"/>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41"/>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71"/>
    <w:bookmarkStart w:id="172"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42"/>
        </w:numPr>
      </w:pPr>
      <w:r>
        <w:t xml:space="preserve">Still record the production event</w:t>
      </w:r>
    </w:p>
    <w:p>
      <w:pPr>
        <w:pStyle w:val="Compact"/>
        <w:numPr>
          <w:ilvl w:val="0"/>
          <w:numId w:val="1042"/>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42"/>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42"/>
        </w:numPr>
      </w:pPr>
      <w:r>
        <w:t xml:space="preserve">NOT block production — this is a valid operating mode, not an error condition</w:t>
      </w:r>
    </w:p>
    <w:bookmarkEnd w:id="172"/>
    <w:bookmarkEnd w:id="173"/>
    <w:bookmarkStart w:id="176" w:name="assembly-workflow-non-serialized-lines"/>
    <w:p>
      <w:pPr>
        <w:pStyle w:val="Heading3"/>
      </w:pPr>
      <w:r>
        <w:t xml:space="preserve">6.6 Assembly Workflow — Non-Serialized Lines</w:t>
      </w:r>
    </w:p>
    <w:bookmarkStart w:id="174"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43"/>
        </w:numPr>
      </w:pPr>
      <w:r>
        <w:t xml:space="preserve">Identify source LOT(s) by scanning LTT barcodes (consumption sources for the BOM).</w:t>
      </w:r>
    </w:p>
    <w:p>
      <w:pPr>
        <w:pStyle w:val="Compact"/>
        <w:numPr>
          <w:ilvl w:val="0"/>
          <w:numId w:val="1043"/>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3"/>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43"/>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74"/>
    <w:bookmarkStart w:id="175"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4"/>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4"/>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4"/>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5"/>
    <w:bookmarkEnd w:id="176"/>
    <w:bookmarkStart w:id="179" w:name="production-events"/>
    <w:p>
      <w:pPr>
        <w:pStyle w:val="Heading3"/>
      </w:pPr>
      <w:r>
        <w:t xml:space="preserve">6.7 Production Events</w:t>
      </w:r>
    </w:p>
    <w:bookmarkStart w:id="177"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7"/>
    <w:bookmarkStart w:id="178"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8"/>
    <w:bookmarkEnd w:id="179"/>
    <w:bookmarkStart w:id="184" w:name="reject-events-and-scrap-handling"/>
    <w:p>
      <w:pPr>
        <w:pStyle w:val="Heading3"/>
      </w:pPr>
      <w:r>
        <w:t xml:space="preserve">6.8 Reject Events and Scrap Handling</w:t>
      </w:r>
    </w:p>
    <w:bookmarkStart w:id="180"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80"/>
    <w:bookmarkStart w:id="181"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81"/>
    <w:bookmarkStart w:id="182"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5"/>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5"/>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6"/>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6"/>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82"/>
    <w:bookmarkStart w:id="183"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7"/>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7"/>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83"/>
    <w:bookmarkEnd w:id="184"/>
    <w:bookmarkStart w:id="187" w:name="consumption-events"/>
    <w:p>
      <w:pPr>
        <w:pStyle w:val="Heading3"/>
      </w:pPr>
      <w:r>
        <w:t xml:space="preserve">6.9 Consumption Events</w:t>
      </w:r>
    </w:p>
    <w:bookmarkStart w:id="185"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85"/>
    <w:bookmarkStart w:id="186"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6"/>
    <w:bookmarkEnd w:id="187"/>
    <w:bookmarkStart w:id="196"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8"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8"/>
    <w:bookmarkStart w:id="189"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8"/>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8"/>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8"/>
        </w:numPr>
      </w:pPr>
      <w:r>
        <w:rPr>
          <w:rStyle w:val="VerbatimChar"/>
        </w:rPr>
        <w:t xml:space="preserve">RouteTemplateId</w:t>
      </w:r>
      <w:r>
        <w:t xml:space="preserve"> </w:t>
      </w:r>
      <w:r>
        <w:t xml:space="preserve">— FK to the route template version active at creation</w:t>
      </w:r>
    </w:p>
    <w:p>
      <w:pPr>
        <w:pStyle w:val="Compact"/>
        <w:numPr>
          <w:ilvl w:val="0"/>
          <w:numId w:val="1048"/>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8"/>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9"/>
    <w:bookmarkStart w:id="190"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90"/>
    <w:bookmarkStart w:id="191"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91"/>
    <w:bookmarkStart w:id="192"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9"/>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9"/>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92"/>
    <w:bookmarkStart w:id="193"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50"/>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50"/>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93"/>
    <w:bookmarkStart w:id="194"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94"/>
    <w:bookmarkStart w:id="195"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5"/>
    <w:bookmarkEnd w:id="196"/>
    <w:bookmarkEnd w:id="197"/>
    <w:bookmarkStart w:id="229" w:name="container-management-shipping-mvp"/>
    <w:p>
      <w:pPr>
        <w:pStyle w:val="Heading2"/>
      </w:pPr>
      <w:r>
        <w:t xml:space="preserve">7. Container Management &amp; Shipping —</w:t>
      </w:r>
      <w:r>
        <w:t xml:space="preserve"> </w:t>
      </w:r>
      <w:r>
        <w:rPr>
          <w:rStyle w:val="VerbatimChar"/>
        </w:rPr>
        <w:t xml:space="preserve">MVP</w:t>
      </w:r>
    </w:p>
    <w:bookmarkStart w:id="198"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8"/>
    <w:bookmarkStart w:id="204" w:name="container-lifecycle"/>
    <w:p>
      <w:pPr>
        <w:pStyle w:val="Heading3"/>
      </w:pPr>
      <w:r>
        <w:t xml:space="preserve">7.2 Container Lifecycle</w:t>
      </w:r>
    </w:p>
    <w:bookmarkStart w:id="199"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9"/>
    <w:bookmarkStart w:id="200"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200"/>
    <w:bookmarkStart w:id="201"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51"/>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51"/>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51"/>
        </w:numPr>
      </w:pPr>
      <w:r>
        <w:t xml:space="preserve">Increment the current tray’s</w:t>
      </w:r>
      <w:r>
        <w:t xml:space="preserve"> </w:t>
      </w:r>
      <w:r>
        <w:rPr>
          <w:rStyle w:val="VerbatimChar"/>
        </w:rPr>
        <w:t xml:space="preserve">PieceCount</w:t>
      </w:r>
    </w:p>
    <w:p>
      <w:pPr>
        <w:pStyle w:val="Compact"/>
        <w:numPr>
          <w:ilvl w:val="0"/>
          <w:numId w:val="1051"/>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51"/>
        </w:numPr>
      </w:pPr>
      <w:r>
        <w:t xml:space="preserve">When all trays are full (per</w:t>
      </w:r>
      <w:r>
        <w:t xml:space="preserve"> </w:t>
      </w:r>
      <w:r>
        <w:rPr>
          <w:rStyle w:val="VerbatimChar"/>
        </w:rPr>
        <w:t xml:space="preserve">ContainerConfig.TraysPerContainer</w:t>
      </w:r>
      <w:r>
        <w:t xml:space="preserve">), close the container</w:t>
      </w:r>
    </w:p>
    <w:bookmarkEnd w:id="201"/>
    <w:bookmarkStart w:id="202"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52"/>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52"/>
        </w:numPr>
      </w:pPr>
      <w:r>
        <w:t xml:space="preserve">Close the container when the configured capacity is reached</w:t>
      </w:r>
    </w:p>
    <w:p>
      <w:pPr>
        <w:pStyle w:val="Compact"/>
        <w:numPr>
          <w:ilvl w:val="0"/>
          <w:numId w:val="1052"/>
        </w:numPr>
      </w:pPr>
      <w:r>
        <w:t xml:space="preserve">On lines with weight-based tracking, the system MAY use the scale reading to validate the piece count before closure</w:t>
      </w:r>
    </w:p>
    <w:bookmarkEnd w:id="202"/>
    <w:bookmarkStart w:id="203"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3"/>
        </w:numPr>
      </w:pPr>
      <w:r>
        <w:t xml:space="preserve">Set container status to COMPLETE.</w:t>
      </w:r>
    </w:p>
    <w:p>
      <w:pPr>
        <w:pStyle w:val="Compact"/>
        <w:numPr>
          <w:ilvl w:val="0"/>
          <w:numId w:val="1053"/>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3"/>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3"/>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3"/>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3"/>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203"/>
    <w:bookmarkEnd w:id="204"/>
    <w:bookmarkStart w:id="211" w:name="shipping-labels"/>
    <w:p>
      <w:pPr>
        <w:pStyle w:val="Heading3"/>
      </w:pPr>
      <w:r>
        <w:t xml:space="preserve">7.3 Shipping Labels</w:t>
      </w:r>
    </w:p>
    <w:bookmarkStart w:id="205"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5"/>
    <w:bookmarkStart w:id="206"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6"/>
    <w:bookmarkStart w:id="207"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4"/>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4"/>
        </w:numPr>
      </w:pPr>
      <w:r>
        <w:t xml:space="preserve">Notify AIM of the void via the appropriate interface call</w:t>
      </w:r>
    </w:p>
    <w:p>
      <w:pPr>
        <w:pStyle w:val="Compact"/>
        <w:numPr>
          <w:ilvl w:val="0"/>
          <w:numId w:val="1054"/>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7"/>
    <w:bookmarkStart w:id="208"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8"/>
    <w:bookmarkStart w:id="209"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5"/>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5"/>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5"/>
        </w:numPr>
      </w:pPr>
      <w:r>
        <w:t xml:space="preserve">Fire the ZPL to the resolved Zebra via Ignition’s print primitives or scripted Zebra socket.</w:t>
      </w:r>
    </w:p>
    <w:p>
      <w:pPr>
        <w:pStyle w:val="Compact"/>
        <w:numPr>
          <w:ilvl w:val="0"/>
          <w:numId w:val="1055"/>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5"/>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9"/>
    <w:bookmarkStart w:id="210"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6"/>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6"/>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7"/>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7"/>
        </w:numPr>
      </w:pPr>
      <w:r>
        <w:t xml:space="preserve">If they don’t match, return immediately.</w:t>
      </w:r>
    </w:p>
    <w:p>
      <w:pPr>
        <w:pStyle w:val="Compact"/>
        <w:numPr>
          <w:ilvl w:val="0"/>
          <w:numId w:val="1057"/>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8"/>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8"/>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8"/>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10"/>
    <w:bookmarkEnd w:id="211"/>
    <w:bookmarkStart w:id="218" w:name="aim-integration"/>
    <w:p>
      <w:pPr>
        <w:pStyle w:val="Heading3"/>
      </w:pPr>
      <w:r>
        <w:t xml:space="preserve">7.4 AIM Integration</w:t>
      </w:r>
    </w:p>
    <w:bookmarkStart w:id="212"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9"/>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9"/>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9"/>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60"/>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60"/>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60"/>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12"/>
    <w:bookmarkStart w:id="213"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13"/>
    <w:bookmarkStart w:id="214"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61"/>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61"/>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61"/>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14"/>
    <w:bookmarkStart w:id="215"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62"/>
        </w:numPr>
      </w:pPr>
      <w:r>
        <w:rPr>
          <w:rStyle w:val="VerbatimChar"/>
        </w:rPr>
        <w:t xml:space="preserve">TargetBufferDepth</w:t>
      </w:r>
      <w:r>
        <w:t xml:space="preserve"> </w:t>
      </w:r>
      <w:r>
        <w:t xml:space="preserve">(default 50) — the buffer size the topup script aims for.</w:t>
      </w:r>
    </w:p>
    <w:p>
      <w:pPr>
        <w:pStyle w:val="Compact"/>
        <w:numPr>
          <w:ilvl w:val="0"/>
          <w:numId w:val="1062"/>
        </w:numPr>
      </w:pPr>
      <w:r>
        <w:rPr>
          <w:rStyle w:val="VerbatimChar"/>
        </w:rPr>
        <w:t xml:space="preserve">TopupThreshold</w:t>
      </w:r>
      <w:r>
        <w:t xml:space="preserve"> </w:t>
      </w:r>
      <w:r>
        <w:t xml:space="preserve">(default 30) — the trigger for topup runs.</w:t>
      </w:r>
    </w:p>
    <w:p>
      <w:pPr>
        <w:pStyle w:val="Compact"/>
        <w:numPr>
          <w:ilvl w:val="0"/>
          <w:numId w:val="1062"/>
        </w:numPr>
      </w:pPr>
      <w:r>
        <w:rPr>
          <w:rStyle w:val="VerbatimChar"/>
        </w:rPr>
        <w:t xml:space="preserve">AlarmWarningDepth</w:t>
      </w:r>
      <w:r>
        <w:t xml:space="preserve"> </w:t>
      </w:r>
      <w:r>
        <w:t xml:space="preserve">(default 20).</w:t>
      </w:r>
    </w:p>
    <w:p>
      <w:pPr>
        <w:pStyle w:val="Compact"/>
        <w:numPr>
          <w:ilvl w:val="0"/>
          <w:numId w:val="1062"/>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5"/>
    <w:bookmarkStart w:id="216"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6"/>
    <w:bookmarkStart w:id="217"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7"/>
    <w:bookmarkEnd w:id="218"/>
    <w:bookmarkStart w:id="221" w:name="shipping-dock-workflow"/>
    <w:p>
      <w:pPr>
        <w:pStyle w:val="Heading3"/>
      </w:pPr>
      <w:r>
        <w:t xml:space="preserve">7.5 Shipping Dock Workflow</w:t>
      </w:r>
    </w:p>
    <w:bookmarkStart w:id="219"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9"/>
    <w:bookmarkStart w:id="220"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3"/>
        </w:numPr>
      </w:pPr>
      <w:r>
        <w:t xml:space="preserve">Set container status to SHIPPED</w:t>
      </w:r>
    </w:p>
    <w:p>
      <w:pPr>
        <w:pStyle w:val="Compact"/>
        <w:numPr>
          <w:ilvl w:val="0"/>
          <w:numId w:val="1063"/>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3"/>
        </w:numPr>
      </w:pPr>
      <w:r>
        <w:t xml:space="preserve">Log to</w:t>
      </w:r>
      <w:r>
        <w:t xml:space="preserve"> </w:t>
      </w:r>
      <w:r>
        <w:rPr>
          <w:rStyle w:val="VerbatimChar"/>
        </w:rPr>
        <w:t xml:space="preserve">Audit.OperationLog</w:t>
      </w:r>
    </w:p>
    <w:bookmarkEnd w:id="220"/>
    <w:bookmarkEnd w:id="221"/>
    <w:bookmarkStart w:id="224" w:name="container-holds"/>
    <w:p>
      <w:pPr>
        <w:pStyle w:val="Heading3"/>
      </w:pPr>
      <w:r>
        <w:t xml:space="preserve">7.6 Container Holds</w:t>
      </w:r>
    </w:p>
    <w:bookmarkStart w:id="222"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4"/>
        </w:numPr>
      </w:pPr>
      <w:r>
        <w:t xml:space="preserve">Set container status to HOLD</w:t>
      </w:r>
    </w:p>
    <w:p>
      <w:pPr>
        <w:pStyle w:val="Compact"/>
        <w:numPr>
          <w:ilvl w:val="0"/>
          <w:numId w:val="1064"/>
        </w:numPr>
      </w:pPr>
      <w:r>
        <w:t xml:space="preserve">Record the hold number (optional reference)</w:t>
      </w:r>
    </w:p>
    <w:p>
      <w:pPr>
        <w:pStyle w:val="Compact"/>
        <w:numPr>
          <w:ilvl w:val="0"/>
          <w:numId w:val="1064"/>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4"/>
        </w:numPr>
      </w:pPr>
      <w:r>
        <w:t xml:space="preserve">Held containers SHALL NOT be loadable at the Shipping Dock</w:t>
      </w:r>
    </w:p>
    <w:bookmarkEnd w:id="222"/>
    <w:bookmarkStart w:id="223"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5"/>
        </w:numPr>
      </w:pPr>
      <w:r>
        <w:t xml:space="preserve">Set container status back to COMPLETE</w:t>
      </w:r>
    </w:p>
    <w:p>
      <w:pPr>
        <w:pStyle w:val="Compact"/>
        <w:numPr>
          <w:ilvl w:val="0"/>
          <w:numId w:val="1065"/>
        </w:numPr>
      </w:pPr>
      <w:r>
        <w:t xml:space="preserve">Call AIM</w:t>
      </w:r>
      <w:r>
        <w:t xml:space="preserve"> </w:t>
      </w:r>
      <w:r>
        <w:rPr>
          <w:rStyle w:val="VerbatimChar"/>
        </w:rPr>
        <w:t xml:space="preserve">ReleaseFromHold</w:t>
      </w:r>
    </w:p>
    <w:p>
      <w:pPr>
        <w:pStyle w:val="Compact"/>
        <w:numPr>
          <w:ilvl w:val="0"/>
          <w:numId w:val="1065"/>
        </w:numPr>
      </w:pPr>
      <w:r>
        <w:t xml:space="preserve">The container is now eligible for shipping</w:t>
      </w:r>
    </w:p>
    <w:bookmarkEnd w:id="223"/>
    <w:bookmarkEnd w:id="224"/>
    <w:bookmarkStart w:id="228" w:name="sort-cage-mvp-expanded"/>
    <w:p>
      <w:pPr>
        <w:pStyle w:val="Heading3"/>
      </w:pPr>
      <w:r>
        <w:t xml:space="preserve">7.7 Sort Cage —</w:t>
      </w:r>
      <w:r>
        <w:t xml:space="preserve"> </w:t>
      </w:r>
      <w:r>
        <w:rPr>
          <w:rStyle w:val="VerbatimChar"/>
        </w:rPr>
        <w:t xml:space="preserve">MVP-EXPANDED</w:t>
      </w:r>
    </w:p>
    <w:bookmarkStart w:id="225"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6"/>
        </w:numPr>
      </w:pPr>
      <w:r>
        <w:t xml:space="preserve">The containers SHALL be moved to the Sort Cage location (</w:t>
      </w:r>
      <w:r>
        <w:rPr>
          <w:rStyle w:val="VerbatimChar"/>
        </w:rPr>
        <w:t xml:space="preserve">LotMovement</w:t>
      </w:r>
      <w:r>
        <w:t xml:space="preserve">)</w:t>
      </w:r>
    </w:p>
    <w:p>
      <w:pPr>
        <w:pStyle w:val="Compact"/>
        <w:numPr>
          <w:ilvl w:val="0"/>
          <w:numId w:val="1066"/>
        </w:numPr>
      </w:pPr>
      <w:r>
        <w:t xml:space="preserve">Operators unpack and inspect each part</w:t>
      </w:r>
    </w:p>
    <w:p>
      <w:pPr>
        <w:pStyle w:val="Compact"/>
        <w:numPr>
          <w:ilvl w:val="0"/>
          <w:numId w:val="1066"/>
        </w:numPr>
      </w:pPr>
      <w:r>
        <w:t xml:space="preserve">Good parts SHALL be re-packed into new containers</w:t>
      </w:r>
    </w:p>
    <w:p>
      <w:pPr>
        <w:pStyle w:val="Compact"/>
        <w:numPr>
          <w:ilvl w:val="0"/>
          <w:numId w:val="1066"/>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6"/>
        </w:numPr>
      </w:pPr>
      <w:r>
        <w:t xml:space="preserve">New LTT labels SHALL print for any new LOTs created during re-sort (print reason: SORT_CAGE)</w:t>
      </w:r>
    </w:p>
    <w:p>
      <w:pPr>
        <w:pStyle w:val="Compact"/>
        <w:numPr>
          <w:ilvl w:val="0"/>
          <w:numId w:val="1066"/>
        </w:numPr>
      </w:pPr>
      <w:r>
        <w:t xml:space="preserve">New shipping labels SHALL print for re-packed containers</w:t>
      </w:r>
    </w:p>
    <w:p>
      <w:pPr>
        <w:pStyle w:val="Compact"/>
        <w:numPr>
          <w:ilvl w:val="0"/>
          <w:numId w:val="1066"/>
        </w:numPr>
      </w:pPr>
      <w:r>
        <w:t xml:space="preserve">Old shipping labels SHALL be voided (FDS-07-008)</w:t>
      </w:r>
    </w:p>
    <w:p>
      <w:pPr>
        <w:pStyle w:val="Compact"/>
        <w:numPr>
          <w:ilvl w:val="0"/>
          <w:numId w:val="1066"/>
        </w:numPr>
      </w:pPr>
      <w:r>
        <w:t xml:space="preserve">AIM SHALL be updated for serial migrations via</w:t>
      </w:r>
      <w:r>
        <w:t xml:space="preserve"> </w:t>
      </w:r>
      <w:r>
        <w:rPr>
          <w:rStyle w:val="VerbatimChar"/>
        </w:rPr>
        <w:t xml:space="preserve">UpdateAim</w:t>
      </w:r>
      <w:r>
        <w:t xml:space="preserve"> </w:t>
      </w:r>
      <w:r>
        <w:t xml:space="preserve">(FDS-07-012)</w:t>
      </w:r>
    </w:p>
    <w:bookmarkEnd w:id="225"/>
    <w:bookmarkStart w:id="226"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6"/>
    <w:bookmarkStart w:id="227"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7"/>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7"/>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7"/>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7"/>
    <w:bookmarkEnd w:id="228"/>
    <w:bookmarkEnd w:id="229"/>
    <w:bookmarkStart w:id="255" w:name="quality-hold-management-mixed-scope"/>
    <w:p>
      <w:pPr>
        <w:pStyle w:val="Heading2"/>
      </w:pPr>
      <w:r>
        <w:t xml:space="preserve">8. Quality &amp; Hold Management — MIXED SCOPE</w:t>
      </w:r>
    </w:p>
    <w:bookmarkStart w:id="230"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30"/>
    <w:bookmarkStart w:id="239" w:name="hold-management-mvp-expanded"/>
    <w:p>
      <w:pPr>
        <w:pStyle w:val="Heading3"/>
      </w:pPr>
      <w:r>
        <w:t xml:space="preserve">8.2 Hold Management —</w:t>
      </w:r>
      <w:r>
        <w:t xml:space="preserve"> </w:t>
      </w:r>
      <w:r>
        <w:rPr>
          <w:rStyle w:val="VerbatimChar"/>
        </w:rPr>
        <w:t xml:space="preserve">MVP-EXPANDED</w:t>
      </w:r>
    </w:p>
    <w:bookmarkStart w:id="231"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31"/>
    <w:bookmarkStart w:id="232"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32"/>
    <w:bookmarkStart w:id="233"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33"/>
    <w:bookmarkStart w:id="234"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34"/>
    <w:bookmarkStart w:id="235"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the FDS-05-022 sublot pattern) to isolate suspect parts. The suspect child LOT can be scrapped while the remainder is released. Genealogy permanently records the split. This is the MVP mechanism for partial quality disposition.</w:t>
      </w:r>
    </w:p>
    <w:bookmarkEnd w:id="235"/>
    <w:bookmarkStart w:id="236"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6"/>
    <w:bookmarkStart w:id="237"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7"/>
    <w:bookmarkStart w:id="238"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8"/>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8"/>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8"/>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8"/>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8"/>
        </w:numPr>
      </w:pPr>
      <w:r>
        <w:rPr>
          <w:b/>
          <w:bCs/>
        </w:rPr>
        <w:t xml:space="preserve">Bulk Hold / Bulk Release</w:t>
      </w:r>
      <w:r>
        <w:t xml:space="preserve"> </w:t>
      </w:r>
      <w:r>
        <w:t xml:space="preserve">— follows FDS-08-006 search + multi-select semantics.</w:t>
      </w:r>
    </w:p>
    <w:p>
      <w:pPr>
        <w:pStyle w:val="Compact"/>
        <w:numPr>
          <w:ilvl w:val="0"/>
          <w:numId w:val="1068"/>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8"/>
    <w:bookmarkEnd w:id="239"/>
    <w:bookmarkStart w:id="246" w:name="inspections-mvp"/>
    <w:p>
      <w:pPr>
        <w:pStyle w:val="Heading3"/>
      </w:pPr>
      <w:r>
        <w:t xml:space="preserve">8.3 Inspections —</w:t>
      </w:r>
      <w:r>
        <w:t xml:space="preserve"> </w:t>
      </w:r>
      <w:r>
        <w:rPr>
          <w:rStyle w:val="VerbatimChar"/>
        </w:rPr>
        <w:t xml:space="preserve">MVP</w:t>
      </w:r>
    </w:p>
    <w:bookmarkStart w:id="240"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40"/>
    <w:bookmarkStart w:id="241"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41"/>
    <w:bookmarkStart w:id="242"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42"/>
    <w:bookmarkStart w:id="243"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9"/>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9"/>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9"/>
        </w:numPr>
      </w:pPr>
      <w:r>
        <w:t xml:space="preserve">Calculate the overall sample result (PASS if all required attributes pass, FAIL if any required attribute fails)</w:t>
      </w:r>
    </w:p>
    <w:p>
      <w:pPr>
        <w:pStyle w:val="Compact"/>
        <w:numPr>
          <w:ilvl w:val="0"/>
          <w:numId w:val="1069"/>
        </w:numPr>
      </w:pPr>
      <w:r>
        <w:t xml:space="preserve">Log to</w:t>
      </w:r>
      <w:r>
        <w:t xml:space="preserve"> </w:t>
      </w:r>
      <w:r>
        <w:rPr>
          <w:rStyle w:val="VerbatimChar"/>
        </w:rPr>
        <w:t xml:space="preserve">Audit.OperationLog</w:t>
      </w:r>
    </w:p>
    <w:bookmarkEnd w:id="243"/>
    <w:bookmarkStart w:id="244"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44"/>
    <w:bookmarkStart w:id="245"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5"/>
    <w:bookmarkEnd w:id="246"/>
    <w:bookmarkStart w:id="249" w:name="sampling-workflows-conditional"/>
    <w:p>
      <w:pPr>
        <w:pStyle w:val="Heading3"/>
      </w:pPr>
      <w:r>
        <w:t xml:space="preserve">8.4 Sampling Workflows —</w:t>
      </w:r>
      <w:r>
        <w:t xml:space="preserve"> </w:t>
      </w:r>
      <w:r>
        <w:rPr>
          <w:rStyle w:val="VerbatimChar"/>
        </w:rPr>
        <w:t xml:space="preserve">CONDITIONAL</w:t>
      </w:r>
    </w:p>
    <w:bookmarkStart w:id="247"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7"/>
    <w:bookmarkStart w:id="248"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8"/>
    <w:bookmarkEnd w:id="249"/>
    <w:bookmarkStart w:id="252" w:name="defect-codes-mvp"/>
    <w:p>
      <w:pPr>
        <w:pStyle w:val="Heading3"/>
      </w:pPr>
      <w:r>
        <w:t xml:space="preserve">8.5 Defect Codes —</w:t>
      </w:r>
      <w:r>
        <w:t xml:space="preserve"> </w:t>
      </w:r>
      <w:r>
        <w:rPr>
          <w:rStyle w:val="VerbatimChar"/>
        </w:rPr>
        <w:t xml:space="preserve">MVP</w:t>
      </w:r>
    </w:p>
    <w:bookmarkStart w:id="250"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50"/>
    <w:bookmarkStart w:id="251"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51"/>
    <w:bookmarkEnd w:id="252"/>
    <w:bookmarkStart w:id="254" w:name="non-conformance-management-future"/>
    <w:p>
      <w:pPr>
        <w:pStyle w:val="Heading3"/>
      </w:pPr>
      <w:r>
        <w:t xml:space="preserve">8.6 Non-Conformance Management —</w:t>
      </w:r>
      <w:r>
        <w:t xml:space="preserve"> </w:t>
      </w:r>
      <w:r>
        <w:rPr>
          <w:rStyle w:val="VerbatimChar"/>
        </w:rPr>
        <w:t xml:space="preserve">FUTURE</w:t>
      </w:r>
    </w:p>
    <w:bookmarkStart w:id="253"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53"/>
    <w:bookmarkEnd w:id="254"/>
    <w:bookmarkEnd w:id="255"/>
    <w:bookmarkStart w:id="276" w:name="downtime-tracking-mixed-scope"/>
    <w:p>
      <w:pPr>
        <w:pStyle w:val="Heading2"/>
      </w:pPr>
      <w:r>
        <w:t xml:space="preserve">9. Downtime Tracking — MIXED SCOPE</w:t>
      </w:r>
    </w:p>
    <w:bookmarkStart w:id="256"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6"/>
    <w:bookmarkStart w:id="262" w:name="downtime-events-mvp"/>
    <w:p>
      <w:pPr>
        <w:pStyle w:val="Heading3"/>
      </w:pPr>
      <w:r>
        <w:t xml:space="preserve">9.2 Downtime Events —</w:t>
      </w:r>
      <w:r>
        <w:t xml:space="preserve"> </w:t>
      </w:r>
      <w:r>
        <w:rPr>
          <w:rStyle w:val="VerbatimChar"/>
        </w:rPr>
        <w:t xml:space="preserve">MVP</w:t>
      </w:r>
    </w:p>
    <w:bookmarkStart w:id="257"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7"/>
    <w:bookmarkStart w:id="258"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8"/>
    <w:bookmarkStart w:id="259"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9"/>
    <w:bookmarkStart w:id="260"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60"/>
    <w:bookmarkStart w:id="261"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70"/>
        </w:numPr>
      </w:pPr>
      <w:r>
        <w:t xml:space="preserve">Area (matching the machine’s area in the location hierarchy)</w:t>
      </w:r>
    </w:p>
    <w:p>
      <w:pPr>
        <w:pStyle w:val="Compact"/>
        <w:numPr>
          <w:ilvl w:val="0"/>
          <w:numId w:val="1070"/>
        </w:numPr>
      </w:pPr>
      <w:r>
        <w:t xml:space="preserve">Reason type (Equipment, Mold, Quality, Setup, Miscellaneous, Unscheduled)</w:t>
      </w:r>
    </w:p>
    <w:p>
      <w:pPr>
        <w:pStyle w:val="FirstParagraph"/>
      </w:pPr>
      <w:r>
        <w:t xml:space="preserve">The operator selects the type first, then the specific code within that type.</w:t>
      </w:r>
    </w:p>
    <w:bookmarkEnd w:id="261"/>
    <w:bookmarkEnd w:id="262"/>
    <w:bookmarkStart w:id="265" w:name="downtime-reason-codes-mvp"/>
    <w:p>
      <w:pPr>
        <w:pStyle w:val="Heading3"/>
      </w:pPr>
      <w:r>
        <w:t xml:space="preserve">9.3 Downtime Reason Codes —</w:t>
      </w:r>
      <w:r>
        <w:t xml:space="preserve"> </w:t>
      </w:r>
      <w:r>
        <w:rPr>
          <w:rStyle w:val="VerbatimChar"/>
        </w:rPr>
        <w:t xml:space="preserve">MVP</w:t>
      </w:r>
    </w:p>
    <w:bookmarkStart w:id="263"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63"/>
    <w:bookmarkStart w:id="264"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64"/>
    <w:bookmarkEnd w:id="265"/>
    <w:bookmarkStart w:id="273"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6"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6"/>
    <w:bookmarkStart w:id="267"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71"/>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71"/>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71"/>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7"/>
    <w:bookmarkStart w:id="268"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8"/>
    <w:bookmarkStart w:id="269"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9"/>
    <w:bookmarkStart w:id="270"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terminal modes.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terminal mode only in identity capture, not in selection</w:t>
      </w:r>
      <w:r>
        <w:t xml:space="preserve"> </w:t>
      </w:r>
      <w:r>
        <w:t xml:space="preserve">(per FDS-02-010):</w:t>
      </w:r>
    </w:p>
    <w:p>
      <w:pPr>
        <w:pStyle w:val="Compact"/>
        <w:numPr>
          <w:ilvl w:val="0"/>
          <w:numId w:val="1072"/>
        </w:numPr>
      </w:pPr>
      <w:r>
        <w:rPr>
          <w:b/>
          <w:bCs/>
        </w:rPr>
        <w:t xml:space="preserve">Dedicated terminals</w:t>
      </w:r>
      <w:r>
        <w:t xml:space="preserve"> </w:t>
      </w:r>
      <w:r>
        <w:t xml:space="preserve">(Cell-parented). Operator taps any breaks taken, then taps Submit. The submission is recorded against the operator’s initials presence context (per FDS-04-002) and the current shift instance.</w:t>
      </w:r>
    </w:p>
    <w:p>
      <w:pPr>
        <w:pStyle w:val="Compact"/>
        <w:numPr>
          <w:ilvl w:val="0"/>
          <w:numId w:val="1072"/>
        </w:numPr>
      </w:pPr>
      <w:r>
        <w:rPr>
          <w:b/>
          <w:bCs/>
        </w:rPr>
        <w:t xml:space="preserve">Shared terminals</w:t>
      </w:r>
      <w:r>
        <w:t xml:space="preserve"> </w:t>
      </w:r>
      <w:r>
        <w:t xml:space="preserve">(WorkCenter- or Area-parented). 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70"/>
    <w:bookmarkStart w:id="271"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71"/>
    <w:bookmarkStart w:id="272"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3"/>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3"/>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3"/>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72"/>
    <w:bookmarkEnd w:id="273"/>
    <w:bookmarkStart w:id="275" w:name="oee-future"/>
    <w:p>
      <w:pPr>
        <w:pStyle w:val="Heading3"/>
      </w:pPr>
      <w:r>
        <w:t xml:space="preserve">9.5 OEE —</w:t>
      </w:r>
      <w:r>
        <w:t xml:space="preserve"> </w:t>
      </w:r>
      <w:r>
        <w:rPr>
          <w:rStyle w:val="VerbatimChar"/>
        </w:rPr>
        <w:t xml:space="preserve">FUTURE</w:t>
      </w:r>
    </w:p>
    <w:bookmarkStart w:id="274"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74"/>
    <w:bookmarkEnd w:id="275"/>
    <w:bookmarkEnd w:id="276"/>
    <w:bookmarkStart w:id="295" w:name="plcopc-integration-mvp"/>
    <w:p>
      <w:pPr>
        <w:pStyle w:val="Heading2"/>
      </w:pPr>
      <w:r>
        <w:t xml:space="preserve">10. PLC/OPC Integration —</w:t>
      </w:r>
      <w:r>
        <w:t xml:space="preserve"> </w:t>
      </w:r>
      <w:r>
        <w:rPr>
          <w:rStyle w:val="VerbatimChar"/>
        </w:rPr>
        <w:t xml:space="preserve">MVP</w:t>
      </w:r>
    </w:p>
    <w:bookmarkStart w:id="277"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7"/>
    <w:bookmarkStart w:id="281" w:name="mip-handshake-protocol-serialized-lines"/>
    <w:p>
      <w:pPr>
        <w:pStyle w:val="Heading3"/>
      </w:pPr>
      <w:r>
        <w:t xml:space="preserve">10.2 MIP Handshake Protocol — Serialized Lines</w:t>
      </w:r>
    </w:p>
    <w:bookmarkStart w:id="278"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8"/>
    <w:bookmarkStart w:id="279" w:name="fds-10-002-mip-transaction-flow"/>
    <w:p>
      <w:pPr>
        <w:pStyle w:val="Heading4"/>
      </w:pPr>
      <w:r>
        <w:t xml:space="preserve">FDS-10-002 — MIP Transaction Flow</w:t>
      </w:r>
    </w:p>
    <w:p>
      <w:pPr>
        <w:pStyle w:val="FirstParagraph"/>
      </w:pPr>
      <w:r>
        <w:t xml:space="preserve">For each part cycle:</w:t>
      </w:r>
    </w:p>
    <w:p>
      <w:pPr>
        <w:pStyle w:val="Compact"/>
        <w:numPr>
          <w:ilvl w:val="0"/>
          <w:numId w:val="1074"/>
        </w:numPr>
      </w:pPr>
      <w:r>
        <w:t xml:space="preserve">PLC sets</w:t>
      </w:r>
      <w:r>
        <w:t xml:space="preserve"> </w:t>
      </w:r>
      <w:r>
        <w:rPr>
          <w:rStyle w:val="VerbatimChar"/>
        </w:rPr>
        <w:t xml:space="preserve">DataReady=1</w:t>
      </w:r>
    </w:p>
    <w:p>
      <w:pPr>
        <w:pStyle w:val="Compact"/>
        <w:numPr>
          <w:ilvl w:val="0"/>
          <w:numId w:val="1074"/>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4"/>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4"/>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4"/>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4"/>
        </w:numPr>
      </w:pPr>
      <w:r>
        <w:t xml:space="preserve">MES records consumption event, serialized part, container serial (per FDS-06-010)</w:t>
      </w:r>
    </w:p>
    <w:p>
      <w:pPr>
        <w:pStyle w:val="Compact"/>
        <w:numPr>
          <w:ilvl w:val="0"/>
          <w:numId w:val="1074"/>
        </w:numPr>
      </w:pPr>
      <w:r>
        <w:t xml:space="preserve">MES updates</w:t>
      </w:r>
      <w:r>
        <w:t xml:space="preserve"> </w:t>
      </w:r>
      <w:r>
        <w:rPr>
          <w:rStyle w:val="VerbatimChar"/>
        </w:rPr>
        <w:t xml:space="preserve">ContainerCount</w:t>
      </w:r>
    </w:p>
    <w:p>
      <w:pPr>
        <w:pStyle w:val="Compact"/>
        <w:numPr>
          <w:ilvl w:val="0"/>
          <w:numId w:val="1074"/>
        </w:numPr>
      </w:pPr>
      <w:r>
        <w:t xml:space="preserve">MES clears</w:t>
      </w:r>
      <w:r>
        <w:t xml:space="preserve"> </w:t>
      </w:r>
      <w:r>
        <w:rPr>
          <w:rStyle w:val="VerbatimChar"/>
        </w:rPr>
        <w:t xml:space="preserve">TransInProc=0</w:t>
      </w:r>
    </w:p>
    <w:bookmarkEnd w:id="279"/>
    <w:bookmarkStart w:id="280"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80"/>
    <w:bookmarkEnd w:id="281"/>
    <w:bookmarkStart w:id="288"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82"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82"/>
    <w:bookmarkStart w:id="283"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5"/>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5"/>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5"/>
        </w:numPr>
      </w:pPr>
      <w:r>
        <w:t xml:space="preserve">Route to escalation per FDS-10-009 / FDS-10-010 based on failure count and failure type.</w:t>
      </w:r>
    </w:p>
    <w:p>
      <w:pPr>
        <w:pStyle w:val="Compact"/>
        <w:numPr>
          <w:ilvl w:val="0"/>
          <w:numId w:val="1075"/>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5"/>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83"/>
    <w:bookmarkStart w:id="284"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6"/>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6"/>
        </w:numPr>
      </w:pPr>
      <w:r>
        <w:t xml:space="preserve">Require supervisor AD elevation (FDS-04-007) before production can resume on that cell.</w:t>
      </w:r>
    </w:p>
    <w:p>
      <w:pPr>
        <w:pStyle w:val="Compact"/>
        <w:numPr>
          <w:ilvl w:val="0"/>
          <w:numId w:val="1076"/>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84"/>
    <w:bookmarkStart w:id="285"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5"/>
    <w:bookmarkStart w:id="286"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7"/>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7"/>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6"/>
    <w:bookmarkStart w:id="287"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8"/>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8"/>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8"/>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8"/>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8"/>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7"/>
    <w:bookmarkEnd w:id="288"/>
    <w:bookmarkStart w:id="290" w:name="scale-integration"/>
    <w:p>
      <w:pPr>
        <w:pStyle w:val="Heading3"/>
      </w:pPr>
      <w:r>
        <w:t xml:space="preserve">10.4 Scale Integration</w:t>
      </w:r>
    </w:p>
    <w:bookmarkStart w:id="289"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9"/>
    <w:bookmarkEnd w:id="290"/>
    <w:bookmarkStart w:id="294" w:name="barcode-integration"/>
    <w:p>
      <w:pPr>
        <w:pStyle w:val="Heading3"/>
      </w:pPr>
      <w:r>
        <w:t xml:space="preserve">10.5 Barcode Integration</w:t>
      </w:r>
    </w:p>
    <w:bookmarkStart w:id="291"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91"/>
    <w:bookmarkStart w:id="292"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92"/>
    <w:bookmarkStart w:id="293"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93"/>
    <w:bookmarkEnd w:id="294"/>
    <w:bookmarkEnd w:id="295"/>
    <w:bookmarkStart w:id="311" w:name="audit-logging-mvp"/>
    <w:p>
      <w:pPr>
        <w:pStyle w:val="Heading2"/>
      </w:pPr>
      <w:r>
        <w:t xml:space="preserve">11. Audit &amp; Logging —</w:t>
      </w:r>
      <w:r>
        <w:t xml:space="preserve"> </w:t>
      </w:r>
      <w:r>
        <w:rPr>
          <w:rStyle w:val="VerbatimChar"/>
        </w:rPr>
        <w:t xml:space="preserve">MVP</w:t>
      </w:r>
    </w:p>
    <w:bookmarkStart w:id="296"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6"/>
    <w:bookmarkStart w:id="302" w:name="log-types"/>
    <w:p>
      <w:pPr>
        <w:pStyle w:val="Heading3"/>
      </w:pPr>
      <w:r>
        <w:t xml:space="preserve">11.2 Log Types</w:t>
      </w:r>
    </w:p>
    <w:bookmarkStart w:id="297"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7"/>
    <w:bookmarkStart w:id="298"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8"/>
    <w:bookmarkStart w:id="299"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9"/>
    <w:bookmarkStart w:id="300"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300"/>
    <w:bookmarkStart w:id="301"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301"/>
    <w:bookmarkEnd w:id="302"/>
    <w:bookmarkStart w:id="307" w:name="normalized-vocabularies"/>
    <w:p>
      <w:pPr>
        <w:pStyle w:val="Heading3"/>
      </w:pPr>
      <w:r>
        <w:t xml:space="preserve">11.3 Normalized Vocabularies</w:t>
      </w:r>
    </w:p>
    <w:bookmarkStart w:id="303"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303"/>
    <w:bookmarkStart w:id="304"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304"/>
    <w:bookmarkStart w:id="305"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5"/>
    <w:bookmarkStart w:id="306"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6"/>
    <w:bookmarkEnd w:id="307"/>
    <w:bookmarkStart w:id="310" w:name="data-retention"/>
    <w:p>
      <w:pPr>
        <w:pStyle w:val="Heading3"/>
      </w:pPr>
      <w:r>
        <w:t xml:space="preserve">11.4 Data Retention</w:t>
      </w:r>
    </w:p>
    <w:bookmarkStart w:id="308"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8"/>
    <w:bookmarkStart w:id="309"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9"/>
    <w:bookmarkEnd w:id="310"/>
    <w:bookmarkEnd w:id="311"/>
    <w:bookmarkStart w:id="333" w:name="reporting-mvp"/>
    <w:p>
      <w:pPr>
        <w:pStyle w:val="Heading2"/>
      </w:pPr>
      <w:r>
        <w:t xml:space="preserve">12. Reporting —</w:t>
      </w:r>
      <w:r>
        <w:t xml:space="preserve"> </w:t>
      </w:r>
      <w:r>
        <w:rPr>
          <w:rStyle w:val="VerbatimChar"/>
        </w:rPr>
        <w:t xml:space="preserve">MVP</w:t>
      </w:r>
    </w:p>
    <w:bookmarkStart w:id="312"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12"/>
    <w:bookmarkStart w:id="317" w:name="traceability-reports"/>
    <w:p>
      <w:pPr>
        <w:pStyle w:val="Heading3"/>
      </w:pPr>
      <w:r>
        <w:t xml:space="preserve">12.2 Traceability Reports</w:t>
      </w:r>
    </w:p>
    <w:bookmarkStart w:id="313"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13"/>
    <w:bookmarkStart w:id="314"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14"/>
    <w:bookmarkStart w:id="315"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5"/>
    <w:bookmarkStart w:id="316"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6"/>
    <w:bookmarkEnd w:id="317"/>
    <w:bookmarkStart w:id="322" w:name="X20e5703298e30073c8ffa1040c87c727e57d853"/>
    <w:p>
      <w:pPr>
        <w:pStyle w:val="Heading3"/>
      </w:pPr>
      <w:r>
        <w:t xml:space="preserve">12.3 Production Reports (Replacing Productivity DB)</w:t>
      </w:r>
    </w:p>
    <w:bookmarkStart w:id="318"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8"/>
    <w:bookmarkStart w:id="319"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9"/>
    <w:bookmarkStart w:id="320"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20"/>
    <w:bookmarkStart w:id="321"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21"/>
    <w:bookmarkEnd w:id="322"/>
    <w:bookmarkStart w:id="326" w:name="operational-reports"/>
    <w:p>
      <w:pPr>
        <w:pStyle w:val="Heading3"/>
      </w:pPr>
      <w:r>
        <w:t xml:space="preserve">12.4 Operational Reports</w:t>
      </w:r>
    </w:p>
    <w:bookmarkStart w:id="323"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23"/>
    <w:bookmarkStart w:id="324"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24"/>
    <w:bookmarkStart w:id="325"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5"/>
    <w:bookmarkEnd w:id="326"/>
    <w:bookmarkStart w:id="330" w:name="global-trace-tool-mvp"/>
    <w:p>
      <w:pPr>
        <w:pStyle w:val="Heading3"/>
      </w:pPr>
      <w:r>
        <w:t xml:space="preserve">12.5 Global Trace Tool —</w:t>
      </w:r>
      <w:r>
        <w:t xml:space="preserve"> </w:t>
      </w:r>
      <w:r>
        <w:rPr>
          <w:rStyle w:val="VerbatimChar"/>
        </w:rPr>
        <w:t xml:space="preserve">MVP</w:t>
      </w:r>
    </w:p>
    <w:bookmarkStart w:id="327"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7"/>
    <w:bookmarkStart w:id="328"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80"/>
        </w:numPr>
      </w:pPr>
      <w:r>
        <w:t xml:space="preserve">LOT</w:t>
      </w:r>
      <w:r>
        <w:t xml:space="preserve"> </w:t>
      </w:r>
      <w:r>
        <w:rPr>
          <w:rStyle w:val="VerbatimChar"/>
        </w:rPr>
        <w:t xml:space="preserve">LotName</w:t>
      </w:r>
      <w:r>
        <w:t xml:space="preserve"> </w:t>
      </w:r>
      <w:r>
        <w:t xml:space="preserve">(LTT barcode)</w:t>
      </w:r>
    </w:p>
    <w:p>
      <w:pPr>
        <w:pStyle w:val="Compact"/>
        <w:numPr>
          <w:ilvl w:val="0"/>
          <w:numId w:val="1080"/>
        </w:numPr>
      </w:pPr>
      <w:r>
        <w:t xml:space="preserve">Sub-LOT</w:t>
      </w:r>
      <w:r>
        <w:t xml:space="preserve"> </w:t>
      </w:r>
      <w:r>
        <w:rPr>
          <w:rStyle w:val="VerbatimChar"/>
        </w:rPr>
        <w:t xml:space="preserve">LotName</w:t>
      </w:r>
    </w:p>
    <w:p>
      <w:pPr>
        <w:pStyle w:val="Compact"/>
        <w:numPr>
          <w:ilvl w:val="0"/>
          <w:numId w:val="1080"/>
        </w:numPr>
      </w:pPr>
      <w:r>
        <w:t xml:space="preserve">Serialized part serial number (</w:t>
      </w:r>
      <w:r>
        <w:rPr>
          <w:rStyle w:val="VerbatimChar"/>
        </w:rPr>
        <w:t xml:space="preserve">SerializedPart.SerialNumber</w:t>
      </w:r>
      <w:r>
        <w:t xml:space="preserve">)</w:t>
      </w:r>
    </w:p>
    <w:p>
      <w:pPr>
        <w:pStyle w:val="Compact"/>
        <w:numPr>
          <w:ilvl w:val="0"/>
          <w:numId w:val="1080"/>
        </w:numPr>
      </w:pPr>
      <w:r>
        <w:t xml:space="preserve">Container</w:t>
      </w:r>
      <w:r>
        <w:t xml:space="preserve"> </w:t>
      </w:r>
      <w:r>
        <w:rPr>
          <w:rStyle w:val="VerbatimChar"/>
        </w:rPr>
        <w:t xml:space="preserve">ContainerName</w:t>
      </w:r>
    </w:p>
    <w:p>
      <w:pPr>
        <w:pStyle w:val="Compact"/>
        <w:numPr>
          <w:ilvl w:val="0"/>
          <w:numId w:val="1080"/>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8"/>
    <w:bookmarkStart w:id="329"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81"/>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81"/>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81"/>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81"/>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81"/>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81"/>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29"/>
    <w:bookmarkEnd w:id="330"/>
    <w:bookmarkStart w:id="332" w:name="notifications-posture-mvp"/>
    <w:p>
      <w:pPr>
        <w:pStyle w:val="Heading3"/>
      </w:pPr>
      <w:r>
        <w:t xml:space="preserve">12.6 Notifications Posture —</w:t>
      </w:r>
      <w:r>
        <w:t xml:space="preserve"> </w:t>
      </w:r>
      <w:r>
        <w:rPr>
          <w:rStyle w:val="VerbatimChar"/>
        </w:rPr>
        <w:t xml:space="preserve">MVP</w:t>
      </w:r>
    </w:p>
    <w:bookmarkStart w:id="331"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31"/>
    <w:bookmarkEnd w:id="332"/>
    <w:bookmarkEnd w:id="333"/>
    <w:bookmarkStart w:id="344" w:name="external-system-interfaces-mixed-scope"/>
    <w:p>
      <w:pPr>
        <w:pStyle w:val="Heading2"/>
      </w:pPr>
      <w:r>
        <w:t xml:space="preserve">13. External System Interfaces — MIXED SCOPE</w:t>
      </w:r>
    </w:p>
    <w:bookmarkStart w:id="337" w:name="aim-honda-edi-mvp"/>
    <w:p>
      <w:pPr>
        <w:pStyle w:val="Heading3"/>
      </w:pPr>
      <w:r>
        <w:t xml:space="preserve">13.1 AIM (Honda EDI) —</w:t>
      </w:r>
      <w:r>
        <w:t xml:space="preserve"> </w:t>
      </w:r>
      <w:r>
        <w:rPr>
          <w:rStyle w:val="VerbatimChar"/>
        </w:rPr>
        <w:t xml:space="preserve">MVP</w:t>
      </w:r>
    </w:p>
    <w:bookmarkStart w:id="334"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34"/>
    <w:bookmarkStart w:id="335"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82"/>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82"/>
        </w:numPr>
      </w:pPr>
      <w:r>
        <w:t xml:space="preserve">Queue the call for retry (per FDS-01-006 dispatch pattern)</w:t>
      </w:r>
    </w:p>
    <w:p>
      <w:pPr>
        <w:pStyle w:val="Compact"/>
        <w:numPr>
          <w:ilvl w:val="0"/>
          <w:numId w:val="1082"/>
        </w:numPr>
      </w:pPr>
      <w:r>
        <w:t xml:space="preserve">Alert the shipping operator that the AIM call is pending</w:t>
      </w:r>
    </w:p>
    <w:p>
      <w:pPr>
        <w:pStyle w:val="Compact"/>
        <w:numPr>
          <w:ilvl w:val="0"/>
          <w:numId w:val="1082"/>
        </w:numPr>
      </w:pPr>
      <w:r>
        <w:t xml:space="preserve">The container SHALL remain in its current status until the AIM call succeeds</w:t>
      </w:r>
    </w:p>
    <w:bookmarkEnd w:id="335"/>
    <w:bookmarkStart w:id="336"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36"/>
    <w:bookmarkEnd w:id="337"/>
    <w:bookmarkStart w:id="339" w:name="macola-erp-future"/>
    <w:p>
      <w:pPr>
        <w:pStyle w:val="Heading3"/>
      </w:pPr>
      <w:r>
        <w:t xml:space="preserve">13.2 Macola ERP —</w:t>
      </w:r>
      <w:r>
        <w:t xml:space="preserve"> </w:t>
      </w:r>
      <w:r>
        <w:rPr>
          <w:rStyle w:val="VerbatimChar"/>
        </w:rPr>
        <w:t xml:space="preserve">FUTURE</w:t>
      </w:r>
    </w:p>
    <w:bookmarkStart w:id="338"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8"/>
    <w:bookmarkEnd w:id="339"/>
    <w:bookmarkStart w:id="341" w:name="intelex-quality-management-future"/>
    <w:p>
      <w:pPr>
        <w:pStyle w:val="Heading3"/>
      </w:pPr>
      <w:r>
        <w:t xml:space="preserve">13.3 Intelex (Quality Management) —</w:t>
      </w:r>
      <w:r>
        <w:t xml:space="preserve"> </w:t>
      </w:r>
      <w:r>
        <w:rPr>
          <w:rStyle w:val="VerbatimChar"/>
        </w:rPr>
        <w:t xml:space="preserve">FUTURE</w:t>
      </w:r>
    </w:p>
    <w:bookmarkStart w:id="340"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40"/>
    <w:bookmarkEnd w:id="341"/>
    <w:bookmarkStart w:id="343" w:name="scada-process-dashboards-future"/>
    <w:p>
      <w:pPr>
        <w:pStyle w:val="Heading3"/>
      </w:pPr>
      <w:r>
        <w:t xml:space="preserve">13.4 SCADA / Process Dashboards —</w:t>
      </w:r>
      <w:r>
        <w:t xml:space="preserve"> </w:t>
      </w:r>
      <w:r>
        <w:rPr>
          <w:rStyle w:val="VerbatimChar"/>
        </w:rPr>
        <w:t xml:space="preserve">FUTURE</w:t>
      </w:r>
    </w:p>
    <w:bookmarkStart w:id="342"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42"/>
    <w:bookmarkEnd w:id="343"/>
    <w:bookmarkEnd w:id="344"/>
    <w:bookmarkStart w:id="351" w:name="data-migration-conditional"/>
    <w:p>
      <w:pPr>
        <w:pStyle w:val="Heading2"/>
      </w:pPr>
      <w:r>
        <w:t xml:space="preserve">14. Data Migration —</w:t>
      </w:r>
      <w:r>
        <w:t xml:space="preserve"> </w:t>
      </w:r>
      <w:r>
        <w:rPr>
          <w:rStyle w:val="VerbatimChar"/>
        </w:rPr>
        <w:t xml:space="preserve">CONDITIONAL</w:t>
      </w:r>
    </w:p>
    <w:bookmarkStart w:id="350"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5"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5"/>
    <w:bookmarkStart w:id="346"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46"/>
    <w:bookmarkStart w:id="347"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7"/>
    <w:bookmarkStart w:id="348"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8"/>
    <w:bookmarkStart w:id="349"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3"/>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3"/>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3"/>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3"/>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9"/>
    <w:bookmarkEnd w:id="350"/>
    <w:bookmarkEnd w:id="351"/>
    <w:bookmarkStart w:id="362" w:name="deployment-commissioning-mvp"/>
    <w:p>
      <w:pPr>
        <w:pStyle w:val="Heading2"/>
      </w:pPr>
      <w:r>
        <w:t xml:space="preserve">15. Deployment &amp; Commissioning —</w:t>
      </w:r>
      <w:r>
        <w:t xml:space="preserve"> </w:t>
      </w:r>
      <w:r>
        <w:rPr>
          <w:rStyle w:val="VerbatimChar"/>
        </w:rPr>
        <w:t xml:space="preserve">MVP</w:t>
      </w:r>
    </w:p>
    <w:bookmarkStart w:id="358" w:name="deployment-approach"/>
    <w:p>
      <w:pPr>
        <w:pStyle w:val="Heading3"/>
      </w:pPr>
      <w:r>
        <w:t xml:space="preserve">15.1 Deployment Approach</w:t>
      </w:r>
    </w:p>
    <w:bookmarkStart w:id="352"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52"/>
    <w:bookmarkStart w:id="353"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53"/>
    <w:bookmarkStart w:id="354"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54"/>
    <w:bookmarkStart w:id="355"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5"/>
    <w:bookmarkStart w:id="356"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56"/>
    <w:bookmarkStart w:id="357"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7"/>
    <w:bookmarkEnd w:id="358"/>
    <w:bookmarkStart w:id="361" w:name="change-management"/>
    <w:p>
      <w:pPr>
        <w:pStyle w:val="Heading3"/>
      </w:pPr>
      <w:r>
        <w:t xml:space="preserve">15.2 Change Management</w:t>
      </w:r>
    </w:p>
    <w:bookmarkStart w:id="359"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9"/>
    <w:bookmarkStart w:id="360"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60"/>
    <w:bookmarkEnd w:id="361"/>
    <w:bookmarkEnd w:id="362"/>
    <w:bookmarkStart w:id="366"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63"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63"/>
    <w:bookmarkStart w:id="364"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4"/>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4"/>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4"/>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4"/>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4"/>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64"/>
    <w:bookmarkStart w:id="365"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5"/>
    <w:bookmarkEnd w:id="366"/>
    <w:bookmarkStart w:id="375" w:name="appendices"/>
    <w:p>
      <w:pPr>
        <w:pStyle w:val="Heading2"/>
      </w:pPr>
      <w:r>
        <w:t xml:space="preserve">Appendices</w:t>
      </w:r>
    </w:p>
    <w:bookmarkStart w:id="367"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7"/>
    <w:bookmarkStart w:id="368"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8"/>
    <w:bookmarkStart w:id="369"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9"/>
    <w:bookmarkStart w:id="370"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70"/>
    <w:bookmarkStart w:id="371"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71"/>
    <w:bookmarkStart w:id="372"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72"/>
    <w:bookmarkStart w:id="373"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73"/>
    <w:bookmarkStart w:id="374"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74"/>
    <w:bookmarkEnd w:id="375"/>
    <w:bookmarkStart w:id="376"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76"/>
    <w:bookmarkEnd w:id="3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2026-06-08T19:06:03Z</dcterms:created>
  <dcterms:modified xsi:type="dcterms:W3CDTF">2026-06-08T19:06:03Z</dcterms:modified>
</cp:coreProperties>
</file>

<file path=docProps/custom.xml><?xml version="1.0" encoding="utf-8"?>
<Properties xmlns="http://schemas.openxmlformats.org/officeDocument/2006/custom-properties" xmlns:vt="http://schemas.openxmlformats.org/officeDocument/2006/docPropsVTypes"/>
</file>