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d65b102504447e29ede9fa58d0d9e111c6ec3e"/>
    <w:p>
      <w:pPr>
        <w:pStyle w:val="Heading1"/>
      </w:pPr>
      <w:r>
        <w:t xml:space="preserve">{{PROJECT_NAME}} — Functional Design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FDS-{{PROJECT_CODE}}-001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{{PROJECT_LONG_NAME}}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Blue Ridge Automation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{{CLIENT_NAME}} ({{CLIENT_LOCATION}})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0.1 — Working Draft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{{YYYY-MM-DD}}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{{YYYY-MM-DD}}</w:t>
            </w:r>
          </w:p>
        </w:tc>
        <w:tc>
          <w:tcPr/>
          <w:p>
            <w:pPr>
              <w:pStyle w:val="Compact"/>
            </w:pPr>
            <w:r>
              <w:t xml:space="preserve">{{Author}}</w:t>
            </w:r>
          </w:p>
        </w:tc>
        <w:tc>
          <w:tcPr/>
          <w:p>
            <w:pPr>
              <w:pStyle w:val="Compact"/>
            </w:pPr>
            <w:r>
              <w:t xml:space="preserve">Initial draft.</w:t>
            </w:r>
          </w:p>
        </w:tc>
      </w:tr>
    </w:tbl>
    <w:p>
      <w:pPr>
        <w:pStyle w:val="BlockText"/>
      </w:pPr>
      <w:r>
        <w:rPr>
          <w:i/>
          <w:iCs/>
        </w:rPr>
        <w:t xml:space="preserve">During pre-release development the revision history MAY be moved into a companion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{{PROJECT_CODE}}_FDS_CHANGELOG.docx</w:t>
      </w:r>
      <w:r>
        <w:rPr>
          <w:i/>
          <w:iCs/>
        </w:rPr>
        <w:t xml:space="preserve"> </w:t>
      </w:r>
      <w:r>
        <w:rPr>
          <w:i/>
          <w:iCs/>
        </w:rPr>
        <w:t xml:space="preserve">to keep the FDS body uncluttered. At customer-review release the change log SHALL be reintegrated into this document.</w:t>
      </w:r>
    </w:p>
    <w:p>
      <w:r>
        <w:pict>
          <v:rect style="width:0;height:1.5pt" o:hralign="center" o:hrstd="t" o:hr="t"/>
        </w:pict>
      </w:r>
    </w:p>
    <w:bookmarkEnd w:id="9"/>
    <w:bookmarkStart w:id="10" w:name="approval"/>
    <w:p>
      <w:pPr>
        <w:pStyle w:val="Heading2"/>
      </w:pPr>
      <w:r>
        <w:t xml:space="preserve">Approval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Signature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Ridge — Project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{{Client}} —</w:t>
            </w:r>
            <w:r>
              <w:t xml:space="preserve"> </w:t>
            </w:r>
            <w:r>
              <w:rPr>
                <w:i/>
                <w:iCs/>
              </w:rPr>
              <w:t xml:space="preserve">Role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{{Client}} —</w:t>
            </w:r>
            <w:r>
              <w:t xml:space="preserve"> </w:t>
            </w:r>
            <w:r>
              <w:rPr>
                <w:i/>
                <w:iCs/>
              </w:rPr>
              <w:t xml:space="preserve">Role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cope-statement"/>
    <w:p>
      <w:pPr>
        <w:pStyle w:val="Heading2"/>
      </w:pPr>
      <w:r>
        <w:t xml:space="preserve">Scope Statement</w:t>
      </w:r>
    </w:p>
    <w:p>
      <w:pPr>
        <w:pStyle w:val="BlockText"/>
      </w:pPr>
      <w:r>
        <w:rPr>
          <w:i/>
          <w:iCs/>
        </w:rPr>
        <w:t xml:space="preserve">One paragraph: how this FDS relates to the upstream FRS (or equivalent requirements artifact), the target platform, and the target database. The FRS says</w:t>
      </w:r>
      <w:r>
        <w:t xml:space="preserve"> </w:t>
      </w:r>
      <w:r>
        <w:t xml:space="preserve">what</w:t>
      </w:r>
      <w:r>
        <w:t xml:space="preserve"> </w:t>
      </w:r>
      <w:r>
        <w:rPr>
          <w:i/>
          <w:iCs/>
        </w:rPr>
        <w:t xml:space="preserve">the system needs to do; this FDS says</w:t>
      </w:r>
      <w:r>
        <w:t xml:space="preserve"> </w:t>
      </w:r>
      <w:r>
        <w:t xml:space="preserve">how.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rPr>
          <w:i/>
          <w:iCs/>
        </w:rPr>
        <w:t xml:space="preserve">List or reference the in-scope items (typically by reference to a Scope Matrix).</w:t>
      </w:r>
    </w:p>
    <w:p>
      <w:pPr>
        <w:pStyle w:val="BodyText"/>
      </w:pPr>
      <w:r>
        <w:rPr>
          <w:b/>
          <w:bCs/>
        </w:rPr>
        <w:t xml:space="preserve">Not in scope:</w:t>
      </w:r>
      <w:r>
        <w:t xml:space="preserve"> </w:t>
      </w:r>
      <w:r>
        <w:rPr>
          <w:i/>
          <w:iCs/>
        </w:rPr>
        <w:t xml:space="preserve">List or reference the out-of-scope items. Items the data model accommodates but that will not be implemented, tested, or delivered in this phase MAY be tagged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FUTURE</w:t>
      </w:r>
      <w:r>
        <w:rPr>
          <w:i/>
          <w:iCs/>
        </w:rPr>
        <w:t xml:space="preserve"> </w:t>
      </w:r>
      <w:r>
        <w:rPr>
          <w:i/>
          <w:iCs/>
        </w:rPr>
        <w:t xml:space="preserve">and described in the FDS body for forward-compatibility, or omitted entirely.</w:t>
      </w:r>
    </w:p>
    <w:p>
      <w:pPr>
        <w:pStyle w:val="BodyText"/>
      </w:pPr>
      <w:r>
        <w:rPr>
          <w:b/>
          <w:bCs/>
        </w:rPr>
        <w:t xml:space="preserve">Scope authority:</w:t>
      </w:r>
      <w:r>
        <w:t xml:space="preserve"> </w:t>
      </w:r>
      <w:r>
        <w:rPr>
          <w:i/>
          <w:iCs/>
        </w:rPr>
        <w:t xml:space="preserve">Name the artifact that is the definitive in/out boundary. Any scope change requires written agreement from both parties.</w:t>
      </w:r>
    </w:p>
    <w:p>
      <w:pPr>
        <w:pStyle w:val="BodyText"/>
      </w:pPr>
      <w:r>
        <w:rPr>
          <w:b/>
          <w:bCs/>
        </w:rPr>
        <w:t xml:space="preserve">Related documents: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Document name and version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Purpose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ocument-conventions"/>
    <w:p>
      <w:pPr>
        <w:pStyle w:val="Heading2"/>
      </w:pPr>
      <w:r>
        <w:t xml:space="preserve">Document Conventions</w:t>
      </w:r>
    </w:p>
    <w:p>
      <w:pPr>
        <w:pStyle w:val="FirstParagraph"/>
      </w:pPr>
      <w:r>
        <w:rPr>
          <w:b/>
          <w:bCs/>
        </w:rPr>
        <w:t xml:space="preserve">Requirement keywords</w:t>
      </w:r>
      <w:r>
        <w:t xml:space="preserve"> </w:t>
      </w:r>
      <w:r>
        <w:t xml:space="preserve">per RFC 2119: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Keyword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Mandatory — must be implemented and tested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SHALL NOT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Prohibited — must not be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Recommended — implement unless there is a documented reason not to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MAY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Optional — may be implemented at Blue Ridge’s discretion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Designed for but not delivered in this phase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Requirement numbering:</w:t>
      </w:r>
      <w:r>
        <w:t xml:space="preserve"> </w:t>
      </w:r>
      <w:r>
        <w:rPr>
          <w:rStyle w:val="VerbatimChar"/>
        </w:rPr>
        <w:t xml:space="preserve">FDS-XX-NNN</w:t>
      </w:r>
      <w:r>
        <w:t xml:space="preserve"> </w:t>
      </w:r>
      <w:r>
        <w:t xml:space="preserve">where XX is the section number and NNN is sequential within that section. Example:</w:t>
      </w:r>
      <w:r>
        <w:t xml:space="preserve"> </w:t>
      </w:r>
      <w:r>
        <w:rPr>
          <w:rStyle w:val="VerbatimChar"/>
        </w:rPr>
        <w:t xml:space="preserve">FDS-05-012</w:t>
      </w:r>
      <w:r>
        <w:t xml:space="preserve"> </w:t>
      </w:r>
      <w:r>
        <w:t xml:space="preserve">is the 12th requirement in Section 5.</w:t>
      </w:r>
    </w:p>
    <w:p>
      <w:pPr>
        <w:pStyle w:val="BodyText"/>
      </w:pPr>
      <w:r>
        <w:rPr>
          <w:b/>
          <w:bCs/>
        </w:rPr>
        <w:t xml:space="preserve">Upstream-requirements crosswalk:</w:t>
      </w:r>
      <w:r>
        <w:t xml:space="preserve"> </w:t>
      </w:r>
      <w:r>
        <w:t xml:space="preserve">Where an FDS requirement traces to a specific upstream requirement (FRS, RFP, customer spec), the upstream ID is noted in parentheses. Example:</w:t>
      </w:r>
      <w:r>
        <w:t xml:space="preserve"> </w:t>
      </w:r>
      <w:r>
        <w:rPr>
          <w:rStyle w:val="VerbatimChar"/>
        </w:rPr>
        <w:t xml:space="preserve">(FRS 3.9.6)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Scope tags:</w:t>
      </w:r>
      <w:r>
        <w:t xml:space="preserve"> </w:t>
      </w:r>
      <w:r>
        <w:t xml:space="preserve">Each section and sub-section is tagged with its scope status. Project-defined values, typically a subset of</w:t>
      </w:r>
      <w:r>
        <w:t xml:space="preserve"> </w:t>
      </w:r>
      <w:r>
        <w:rPr>
          <w:rStyle w:val="VerbatimChar"/>
        </w:rPr>
        <w:t xml:space="preserve">MVP</w:t>
      </w:r>
      <w:r>
        <w:t xml:space="preserve">,</w:t>
      </w:r>
      <w:r>
        <w:t xml:space="preserve"> </w:t>
      </w:r>
      <w:r>
        <w:rPr>
          <w:rStyle w:val="VerbatimChar"/>
        </w:rPr>
        <w:t xml:space="preserve">MVP-EXPANDED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5" w:name="glossary"/>
    <w:p>
      <w:pPr>
        <w:pStyle w:val="Heading2"/>
      </w:pPr>
      <w:r>
        <w:t xml:space="preserve">Glossary</w:t>
      </w:r>
    </w:p>
    <w:p>
      <w:pPr>
        <w:pStyle w:val="BlockText"/>
      </w:pPr>
      <w:r>
        <w:rPr>
          <w:i/>
          <w:iCs/>
        </w:rPr>
        <w:t xml:space="preserve">Define domain-specific terms grouped into sub-glossaries (e.g., Production / Quality / System / Data Model — adapt the groupings to the project). One row per term. Keep definitions to one sentence where possible.</w:t>
      </w:r>
    </w:p>
    <w:bookmarkStart w:id="13" w:name="group-a"/>
    <w:p>
      <w:pPr>
        <w:pStyle w:val="Heading3"/>
      </w:pPr>
      <w:r>
        <w:rPr>
          <w:i/>
          <w:iCs/>
        </w:rPr>
        <w:t xml:space="preserve">Group A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group-b"/>
    <w:p>
      <w:pPr>
        <w:pStyle w:val="Heading3"/>
      </w:pPr>
      <w:r>
        <w:rPr>
          <w:i/>
          <w:iCs/>
        </w:rPr>
        <w:t xml:space="preserve">Group B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section-title-scope_tag"/>
    <w:p>
      <w:pPr>
        <w:pStyle w:val="Heading2"/>
      </w:pPr>
      <w:r>
        <w:t xml:space="preserve">1.</w:t>
      </w:r>
      <w:r>
        <w:t xml:space="preserve"> </w:t>
      </w:r>
      <w:r>
        <w:rPr>
          <w:i/>
          <w:iCs/>
        </w:rPr>
        <w:t xml:space="preserve">Section Title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SCOPE_TAG</w:t>
      </w:r>
    </w:p>
    <w:p>
      <w:pPr>
        <w:pStyle w:val="BlockText"/>
      </w:pPr>
      <w:r>
        <w:rPr>
          <w:i/>
          <w:iCs/>
        </w:rPr>
        <w:t xml:space="preserve">Each numbered section covers one cohesive area of the design. Use the subsection pattern below: a Design Overview followed by one or more topic subsections,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FDS-XX-NNN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entries embedded where the design rule needs to be unambiguous and testable. Narrative paragraphs sit between requirements to explain rationale and context.</w:t>
      </w:r>
    </w:p>
    <w:bookmarkStart w:id="16" w:name="design-overview"/>
    <w:p>
      <w:pPr>
        <w:pStyle w:val="Heading3"/>
      </w:pPr>
      <w:r>
        <w:t xml:space="preserve">1.1 Design Overview</w:t>
      </w:r>
    </w:p>
    <w:p>
      <w:pPr>
        <w:pStyle w:val="FirstParagraph"/>
      </w:pPr>
      <w:r>
        <w:rPr>
          <w:i/>
          <w:iCs/>
        </w:rPr>
        <w:t xml:space="preserve">Narrative introduction to this section’s scope and the design choices it commits to.</w:t>
      </w:r>
    </w:p>
    <w:bookmarkEnd w:id="16"/>
    <w:bookmarkStart w:id="19" w:name="topic"/>
    <w:p>
      <w:pPr>
        <w:pStyle w:val="Heading3"/>
      </w:pPr>
      <w:r>
        <w:t xml:space="preserve">1.2</w:t>
      </w:r>
      <w:r>
        <w:t xml:space="preserve"> </w:t>
      </w:r>
      <w:r>
        <w:rPr>
          <w:i/>
          <w:iCs/>
        </w:rPr>
        <w:t xml:space="preserve">Topic</w:t>
      </w:r>
    </w:p>
    <w:p>
      <w:pPr>
        <w:pStyle w:val="FirstParagraph"/>
      </w:pPr>
      <w:r>
        <w:rPr>
          <w:i/>
          <w:iCs/>
        </w:rPr>
        <w:t xml:space="preserve">Narrative.</w:t>
      </w:r>
    </w:p>
    <w:bookmarkStart w:id="17" w:name="fds-01-001-requirement-title"/>
    <w:p>
      <w:pPr>
        <w:pStyle w:val="Heading4"/>
      </w:pPr>
      <w:r>
        <w:t xml:space="preserve">FDS-01-001 —</w:t>
      </w:r>
      <w:r>
        <w:t xml:space="preserve"> </w:t>
      </w:r>
      <w:r>
        <w:rPr>
          <w:i/>
          <w:iCs/>
        </w:rPr>
        <w:t xml:space="preserve">Requirement Title</w:t>
      </w:r>
    </w:p>
    <w:p>
      <w:pPr>
        <w:pStyle w:val="FirstParagraph"/>
      </w:pPr>
      <w:r>
        <w:t xml:space="preserve">The system SHALL</w:t>
      </w:r>
      <w:r>
        <w:t xml:space="preserve"> </w:t>
      </w:r>
      <w:r>
        <w:rPr>
          <w:i/>
          <w:iCs/>
        </w:rPr>
        <w:t xml:space="preserve">…</w:t>
      </w:r>
      <w:r>
        <w:t xml:space="preserve">. (Upstream-ID-if-any)</w:t>
      </w:r>
    </w:p>
    <w:bookmarkEnd w:id="17"/>
    <w:bookmarkStart w:id="18" w:name="fds-01-002-requirement-title"/>
    <w:p>
      <w:pPr>
        <w:pStyle w:val="Heading4"/>
      </w:pPr>
      <w:r>
        <w:t xml:space="preserve">FDS-01-002 —</w:t>
      </w:r>
      <w:r>
        <w:t xml:space="preserve"> </w:t>
      </w:r>
      <w:r>
        <w:rPr>
          <w:i/>
          <w:iCs/>
        </w:rPr>
        <w:t xml:space="preserve">Requirement Title</w:t>
      </w:r>
    </w:p>
    <w:p>
      <w:pPr>
        <w:pStyle w:val="FirstParagraph"/>
      </w:pPr>
      <w:r>
        <w:t xml:space="preserve">The system SHOULD</w:t>
      </w:r>
      <w:r>
        <w:t xml:space="preserve"> </w:t>
      </w:r>
      <w:r>
        <w:rPr>
          <w:i/>
          <w:iCs/>
        </w:rPr>
        <w:t xml:space="preserve">…</w:t>
      </w:r>
      <w:r>
        <w:t xml:space="preserve">.</w:t>
      </w:r>
    </w:p>
    <w:bookmarkEnd w:id="18"/>
    <w:bookmarkEnd w:id="19"/>
    <w:bookmarkStart w:id="21" w:name="topic-scope_tag"/>
    <w:p>
      <w:pPr>
        <w:pStyle w:val="Heading3"/>
      </w:pPr>
      <w:r>
        <w:t xml:space="preserve">1.3</w:t>
      </w:r>
      <w:r>
        <w:t xml:space="preserve"> </w:t>
      </w:r>
      <w:r>
        <w:rPr>
          <w:i/>
          <w:iCs/>
        </w:rPr>
        <w:t xml:space="preserve">Topic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SCOPE_TAG</w:t>
      </w:r>
    </w:p>
    <w:p>
      <w:pPr>
        <w:pStyle w:val="BlockText"/>
      </w:pPr>
      <w:r>
        <w:rPr>
          <w:i/>
          <w:iCs/>
        </w:rPr>
        <w:t xml:space="preserve">Subsections MAY carry their own scope tag when their scope status differs from the parent section.</w:t>
      </w:r>
    </w:p>
    <w:bookmarkStart w:id="20" w:name="fds-01-003-requirement-title"/>
    <w:p>
      <w:pPr>
        <w:pStyle w:val="Heading4"/>
      </w:pPr>
      <w:r>
        <w:t xml:space="preserve">FDS-01-003 —</w:t>
      </w:r>
      <w:r>
        <w:t xml:space="preserve"> </w:t>
      </w:r>
      <w:r>
        <w:rPr>
          <w:i/>
          <w:iCs/>
        </w:rPr>
        <w:t xml:space="preserve">Requirement Title</w:t>
      </w:r>
    </w:p>
    <w:p>
      <w:pPr>
        <w:pStyle w:val="FirstParagraph"/>
      </w:pPr>
      <w:r>
        <w:rPr>
          <w:i/>
          <w:iCs/>
        </w:rPr>
        <w:t xml:space="preserve">Statement.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ection-title-scope_tag-1"/>
    <w:p>
      <w:pPr>
        <w:pStyle w:val="Heading2"/>
      </w:pPr>
      <w:r>
        <w:t xml:space="preserve">2.</w:t>
      </w:r>
      <w:r>
        <w:t xml:space="preserve"> </w:t>
      </w:r>
      <w:r>
        <w:rPr>
          <w:i/>
          <w:iCs/>
        </w:rPr>
        <w:t xml:space="preserve">Section Title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SCOPE_TAG</w:t>
      </w:r>
    </w:p>
    <w:bookmarkStart w:id="24" w:name="design-overview-1"/>
    <w:p>
      <w:pPr>
        <w:pStyle w:val="Heading3"/>
      </w:pPr>
      <w:r>
        <w:t xml:space="preserve">2.1 Design Overview</w:t>
      </w:r>
    </w:p>
    <w:bookmarkStart w:id="23" w:name="fds-02-001-requirement-title"/>
    <w:p>
      <w:pPr>
        <w:pStyle w:val="Heading4"/>
      </w:pPr>
      <w:r>
        <w:t xml:space="preserve">FDS-02-001 —</w:t>
      </w:r>
      <w:r>
        <w:t xml:space="preserve"> </w:t>
      </w:r>
      <w:r>
        <w:rPr>
          <w:i/>
          <w:iCs/>
        </w:rPr>
        <w:t xml:space="preserve">Requirement Title</w:t>
      </w:r>
    </w:p>
    <w:p>
      <w:pPr>
        <w:pStyle w:val="FirstParagraph"/>
      </w:pPr>
      <w:r>
        <w:rPr>
          <w:i/>
          <w:iCs/>
        </w:rPr>
        <w:t xml:space="preserve">Statement.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Add sections 3..N as needed. Section count and titles are project-specific. A complete FDS typically covers architecture, the core domain model, the primary domain workflows, identity and security, integrations, audit/logging, reporting, data migration, and deployment — but the exact decomposition is a project decision.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appendices"/>
    <w:p>
      <w:pPr>
        <w:pStyle w:val="Heading2"/>
      </w:pPr>
      <w:r>
        <w:t xml:space="preserve">Appendices</w:t>
      </w:r>
    </w:p>
    <w:p>
      <w:pPr>
        <w:pStyle w:val="BlockText"/>
      </w:pPr>
      <w:r>
        <w:rPr>
          <w:i/>
          <w:iCs/>
        </w:rPr>
        <w:t xml:space="preserve">Appendices hold reference material that supports the FDS body but would clutter it inline: seed data tables, tag maps, integration touch-point specifications, and the upstream-requirements + scope-matrix crosswalks. Conventional appendices are listed below; add or remove as the project requires.</w:t>
      </w:r>
    </w:p>
    <w:bookmarkStart w:id="26" w:name="appendix-a-title"/>
    <w:p>
      <w:pPr>
        <w:pStyle w:val="Heading3"/>
      </w:pPr>
      <w:r>
        <w:t xml:space="preserve">Appendix A:</w:t>
      </w:r>
      <w:r>
        <w:t xml:space="preserve"> </w:t>
      </w:r>
      <w:r>
        <w:rPr>
          <w:i/>
          <w:iCs/>
        </w:rPr>
        <w:t xml:space="preserve">Title</w:t>
      </w:r>
    </w:p>
    <w:p>
      <w:pPr>
        <w:pStyle w:val="FirstParagraph"/>
      </w:pPr>
      <w:r>
        <w:rPr>
          <w:i/>
          <w:iCs/>
        </w:rPr>
        <w:t xml:space="preserve">Description.</w:t>
      </w:r>
    </w:p>
    <w:bookmarkEnd w:id="26"/>
    <w:bookmarkStart w:id="27" w:name="X71a1d13d6b2d9bec35840aa5fb69b31b1bc2b4b"/>
    <w:p>
      <w:pPr>
        <w:pStyle w:val="Heading3"/>
      </w:pPr>
      <w:r>
        <w:t xml:space="preserve">Appendix F: Upstream-Requirements Crosswalk</w:t>
      </w:r>
    </w:p>
    <w:p>
      <w:pPr>
        <w:pStyle w:val="BlockText"/>
      </w:pPr>
      <w:r>
        <w:t xml:space="preserve">Every upstream requirement (FRS / RFP / spec) mapped to the FDS section and requirement ID that addresses it. Ensures complete coverage.</w:t>
      </w:r>
    </w:p>
    <w:bookmarkEnd w:id="27"/>
    <w:bookmarkStart w:id="28" w:name="appendix-g-scope-matrix-crosswalk"/>
    <w:p>
      <w:pPr>
        <w:pStyle w:val="Heading3"/>
      </w:pPr>
      <w:r>
        <w:t xml:space="preserve">Appendix G: Scope Matrix Crosswalk</w:t>
      </w:r>
    </w:p>
    <w:p>
      <w:pPr>
        <w:pStyle w:val="BlockText"/>
      </w:pPr>
      <w:r>
        <w:t xml:space="preserve">Every Scope Matrix row mapped to the FDS section, scope tag, and implementation status.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pen-items-register"/>
    <w:p>
      <w:pPr>
        <w:pStyle w:val="Heading2"/>
      </w:pPr>
      <w:r>
        <w:t xml:space="preserve">Open Items Register</w:t>
      </w:r>
    </w:p>
    <w:p>
      <w:pPr>
        <w:pStyle w:val="FirstParagraph"/>
      </w:pPr>
      <w:r>
        <w:t xml:space="preserve">This register lists only items that are</w:t>
      </w:r>
      <w:r>
        <w:t xml:space="preserve"> </w:t>
      </w:r>
      <w:r>
        <w:rPr>
          <w:b/>
          <w:bCs/>
        </w:rPr>
        <w:t xml:space="preserve">unresolved</w:t>
      </w:r>
      <w:r>
        <w:t xml:space="preserve"> </w:t>
      </w:r>
      <w:r>
        <w:t xml:space="preserve">(Open or In Review) as of the FDS version date. Resolved and superseded items are not listed here — once a decision is made, the FDS body section absorbs it as design fact.</w:t>
      </w:r>
    </w:p>
    <w:p>
      <w:pPr>
        <w:pStyle w:val="BodyText"/>
      </w:pPr>
      <w:r>
        <w:t xml:space="preserve">The full historical record (resolution rationale, options considered, revised-decision text, closed items, supersession history) lives in</w:t>
      </w:r>
      <w:r>
        <w:t xml:space="preserve"> </w:t>
      </w:r>
      <w:r>
        <w:rPr>
          <w:rStyle w:val="VerbatimChar"/>
        </w:rPr>
        <w:t xml:space="preserve">{{PROJECT_CODE}}_Open_Issues_Register.docx</w:t>
      </w:r>
      <w:r>
        <w:t xml:space="preserve"> </w:t>
      </w:r>
      <w:r>
        <w:t xml:space="preserve">— the canonical source.</w:t>
      </w:r>
    </w:p>
    <w:p>
      <w:pPr>
        <w:pStyle w:val="BodyText"/>
      </w:pPr>
      <w:r>
        <w:rPr>
          <w:b/>
          <w:bCs/>
        </w:rPr>
        <w:t xml:space="preserve">Status as of {{YYYY-MM-DD}}: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unresolved items.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FDS §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Criticality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§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Owner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2026-04-30T17:19:39Z</dcterms:created>
  <dcterms:modified xsi:type="dcterms:W3CDTF">2026-04-30T17:19:39Z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