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Legible Handicaps: Catch-Up Mechanics and the Trade Between Ludic and Shared Involvement in Couch Party Games</w:t>
      </w:r>
    </w:p>
    <w:p>
      <w:pPr>
        <w:spacing w:after="80"/>
        <w:jc w:val="center"/>
      </w:pPr>
      <w:r>
        <w:rPr>
          <w:sz w:val="24"/>
          <w:szCs w:val="24"/>
        </w:rPr>
        <w:t xml:space="preserve">Bruno Mirone</w:t>
      </w:r>
    </w:p>
    <w:p>
      <w:pPr>
        <w:spacing w:after="400"/>
        <w:jc w:val="center"/>
      </w:pPr>
      <w:r>
        <w:rPr>
          <w:i/>
          <w:iCs/>
          <w:sz w:val="22"/>
          <w:szCs w:val="22"/>
        </w:rPr>
        <w:t xml:space="preserve">FGCT4018 Introduction to Games Production — BA (Hons) Game Design, UCA</w:t>
      </w:r>
    </w:p>
    <w:p>
      <w:pPr>
        <w:spacing w:after="200" w:line="360"/>
        <w:jc w:val="both"/>
      </w:pPr>
      <w:r>
        <w:t xml:space="preserve">Couch party games occupy an awkward position in game design criticism. Titles such as </w:t>
      </w:r>
      <w:r>
        <w:rPr>
          <w:i/>
          <w:iCs/>
        </w:rPr>
        <w:t xml:space="preserve">Mario Kart</w:t>
      </w:r>
      <w:r>
        <w:t xml:space="preserve"> and </w:t>
      </w:r>
      <w:r>
        <w:rPr>
          <w:i/>
          <w:iCs/>
        </w:rPr>
        <w:t xml:space="preserve">Mario Party</w:t>
      </w:r>
      <w:r>
        <w:t xml:space="preserve"> are among the most commercially successful multiplayer products ever released, yet they routinely include systems that actively reduce the influence of player skill on the final result. Leading players are targeted with weapons they cannot avoid; trailing players receive resources they did not earn. Judged as competitive tests, these are design failures. This essay argues that they are not failures but trades, and that the terms of the trade can be described precisely using Gordon Calleja's model of player involvement. Catch-up mechanics degrade what Calleja calls ludic involvement — the player's engagement with rules, goals and consequential choice — in order to protect shared involvement, the player's engagement with the others in the room. The claim developed here is that this trade is legitimate only when the handicap is legible: visible to the player it acts upon, and motivated within the game's fiction. Where handicapping is concealed, or resolved after play has ended, it damages ludic involvement without producing the social return that justifies it.</w:t>
      </w:r>
    </w:p>
    <w:p>
      <w:pPr>
        <w:spacing w:after="200" w:line="360"/>
        <w:jc w:val="both"/>
      </w:pPr>
      <w:r>
        <w:t xml:space="preserve">Calleja (2011) argues that “immersion” has become too blunt an instrument for describing player experience, collapsing several distinct phenomena into a single spatial metaphor of submersion. </w:t>
      </w:r>
      <w:r>
        <w:rPr>
          <w:b/>
          <w:bCs/>
          <w:color w:val="C00000"/>
        </w:rPr>
        <w:t xml:space="preserve">[VERIFY]</w:t>
      </w:r>
      <w:r>
        <w:t xml:space="preserve"> In its place he proposes a model of player involvement distributed across several dimensions — among them kinaesthetic, spatial, narrative, affective, ludic and shared — which combine, when sustained, into what he terms incorporation. </w:t>
      </w:r>
      <w:r>
        <w:rPr>
          <w:b/>
          <w:bCs/>
          <w:color w:val="C00000"/>
        </w:rPr>
        <w:t xml:space="preserve">[VERIFY — confirm the exact list of dimensions and Calleja's own wording for each]</w:t>
      </w:r>
      <w:r>
        <w:t xml:space="preserve"> Two of these carry the argument here. Ludic involvement describes the player's engagement with the game's rules, objectives and the consequences that follow from their decisions. Shared involvement describes engagement with other agents in the game space, whether human or artificial.</w:t>
      </w:r>
    </w:p>
    <w:p>
      <w:pPr>
        <w:spacing w:after="200" w:line="360"/>
        <w:jc w:val="both"/>
      </w:pPr>
      <w:r>
        <w:t xml:space="preserve">Calleja's framework is developed largely in relation to single-player and networked online play, </w:t>
      </w:r>
      <w:r>
        <w:rPr>
          <w:b/>
          <w:bCs/>
          <w:color w:val="C00000"/>
        </w:rPr>
        <w:t xml:space="preserve">[VERIFY]</w:t>
      </w:r>
      <w:r>
        <w:t xml:space="preserve"> and it treats these dimensions as broadly complementary: involvement accumulates across them toward incorporation. Co-located multiplayer complicates this picture. In a shared-screen party game the other players are not represented within the game world but physically present beside the player, and shared involvement is not one contributor among several but the dominant register of the experience. This matters because it creates the possibility that the dimensions may compete rather than accumulate — that a designer might deliberately weaken one in order to strengthen another. Catch-up mechanics are the clearest instance of exactly that manoeuvre.</w:t>
      </w:r>
    </w:p>
    <w:p>
      <w:pPr>
        <w:spacing w:after="200" w:line="360"/>
        <w:jc w:val="both"/>
      </w:pPr>
      <w:r>
        <w:t xml:space="preserve">The formal vocabulary for these systems comes from Salen and Zimmerman (2004), who analyse games as cybernetic systems governed by feedback. </w:t>
      </w:r>
      <w:r>
        <w:rPr>
          <w:b/>
          <w:bCs/>
          <w:color w:val="C00000"/>
        </w:rPr>
        <w:t xml:space="preserve">[VERIFY — chapter on games as cybernetic systems]</w:t>
      </w:r>
      <w:r>
        <w:t xml:space="preserve"> Positive feedback amplifies existing advantage, accelerating a game toward its conclusion; negative feedback dampens it, holding outcomes closer together for longer. Catch-up mechanics are negative feedback systems, and their purpose is straightforward: to prevent the result from becoming apparent before the game has finished.</w:t>
      </w:r>
    </w:p>
    <w:p>
      <w:pPr>
        <w:spacing w:after="200" w:line="360"/>
        <w:jc w:val="both"/>
      </w:pPr>
      <w:r>
        <w:t xml:space="preserve">The cost is equally straightforward. If a player's advantage is systematically eroded in proportion to how well they are performing, then the causal relationship between skilled play and favourable outcome — which is precisely the material of ludic involvement — is weakened by design. The player still makes choices, but those choices matter less than the system's assessment of their standing. What the designer purchases with this is contention: every player remains plausibly capable of winning until late in the session, and therefore remains socially engaged. Nobody is reduced to spectating. In Calleja's terms, ludic involvement is spent to buy shared involvement.</w:t>
      </w:r>
    </w:p>
    <w:p>
      <w:pPr>
        <w:spacing w:after="200" w:line="360"/>
        <w:jc w:val="both"/>
      </w:pPr>
      <w:r>
        <w:rPr>
          <w:i/>
          <w:iCs/>
        </w:rPr>
        <w:t xml:space="preserve">Mario Kart</w:t>
      </w:r>
      <w:r>
        <w:t xml:space="preserve"> is unusually useful for this argument because the series deploys catch-up mechanics of both kinds, allowing the distinction to be drawn without leaving a single game. Its item distribution is weighted by race position, so that trailing players receive more powerful items than leaders, </w:t>
      </w:r>
      <w:r>
        <w:rPr>
          <w:b/>
          <w:bCs/>
          <w:color w:val="C00000"/>
        </w:rPr>
        <w:t xml:space="preserve">[VERIFY]</w:t>
      </w:r>
      <w:r>
        <w:t xml:space="preserve"> and the series has long been reported to scale the speed of computer-controlled racers relative to the player's position. </w:t>
      </w:r>
      <w:r>
        <w:rPr>
          <w:b/>
          <w:bCs/>
          <w:color w:val="C00000"/>
        </w:rPr>
        <w:t xml:space="preserve">[VERIFY — confirm for the specific title you cite]</w:t>
      </w:r>
      <w:r>
        <w:t xml:space="preserve"> Neither system is surfaced to the player. From the leading player's seat, the experience is of an advantage eroding for reasons that are felt but never shown.</w:t>
      </w:r>
    </w:p>
    <w:p>
      <w:pPr>
        <w:spacing w:after="200" w:line="360"/>
        <w:jc w:val="both"/>
      </w:pPr>
      <w:r>
        <w:t xml:space="preserve">Against this sits the Spiny Shell, commonly called the blue shell, which travels directly to whoever is in first place. It is announced by a distinctive sound, visible in flight, and universally understood by everyone in the room. It is, if anything, a more severe handicap than the concealed systems — and yet it functions completely differently in experience. Because it is legible, it becomes an event rather than an erosion. The room reacts to it collectively; the leader can see what is happening to them and why; the shell enters the player's working model of the rules as a known hazard to be anticipated and, occasionally, evaded.</w:t>
      </w:r>
    </w:p>
    <w:p>
      <w:pPr>
        <w:spacing w:after="200" w:line="360"/>
        <w:jc w:val="both"/>
      </w:pPr>
      <w:r>
        <w:t xml:space="preserve">This suggests that the damage catch-up mechanics do to ludic involvement is not a function of their severity but of their concealment. A visible handicap can be incorporated into the player's understanding of the ruleset, and therefore remains part of the ludic system rather than an intrusion upon it. A concealed one cannot; it operates on the player from outside the rules they believe themselves to be playing by. And because the blue shell is publicly legible, it does not merely avoid damaging shared involvement — it actively generates it, producing precisely the collective reaction the mechanic exists to preserve.</w:t>
      </w:r>
    </w:p>
    <w:p>
      <w:pPr>
        <w:spacing w:after="200" w:line="360"/>
        <w:jc w:val="both"/>
      </w:pPr>
      <w:r>
        <w:rPr>
          <w:i/>
          <w:iCs/>
        </w:rPr>
        <w:t xml:space="preserve">Mario Party</w:t>
      </w:r>
      <w:r>
        <w:t xml:space="preserve"> demonstrates the same principle failing. The series has historically concluded games by awarding bonus stars for achievements calculated across the whole session, such as collecting the most coins, and in earlier entries the criteria were not disclosed until the results screen. </w:t>
      </w:r>
      <w:r>
        <w:rPr>
          <w:b/>
          <w:bCs/>
          <w:color w:val="C00000"/>
        </w:rPr>
        <w:t xml:space="preserve">[VERIFY — confirm which titles]</w:t>
      </w:r>
      <w:r>
        <w:t xml:space="preserve"> Because these awards can reverse the standings, a player who has led throughout may lose at the moment of resolution to a system whose terms they were never told.</w:t>
      </w:r>
    </w:p>
    <w:p>
      <w:pPr>
        <w:spacing w:after="200" w:line="360"/>
        <w:jc w:val="both"/>
      </w:pPr>
      <w:r>
        <w:t xml:space="preserve">It would be too quick to attribute this to randomness. Party games are saturated with legible randomness — dice rolls, minigame roulettes, item draws — and players accept it readily, because it is visible, applies to everyone, and is understood in advance. The bonus star problem is temporal rather than probabilistic. The handicap resolves after play has ended, at the one moment when nothing can be done in response to it. The player is not given an obstacle to contend with but a verdict to receive. Ludic involvement is spent, and because the reversal arrives once the session is already over, very little shared involvement is bought with it. That later entries in the series display the bonus star criteria at the start of a game is telling. </w:t>
      </w:r>
      <w:r>
        <w:rPr>
          <w:b/>
          <w:bCs/>
          <w:color w:val="C00000"/>
        </w:rPr>
        <w:t xml:space="preserve">[VERIFY — e.g. Mario Party Superstars]</w:t>
      </w:r>
      <w:r>
        <w:t xml:space="preserve"> The mechanic was not removed; it was made legible. The correction consists precisely of moving the information from after play to before it.</w:t>
      </w:r>
    </w:p>
    <w:p>
      <w:pPr>
        <w:spacing w:after="200" w:line="360"/>
        <w:jc w:val="both"/>
      </w:pPr>
      <w:r>
        <w:t xml:space="preserve">Booze Blur, a mechanic designed for the Squid Shootout minigame in my own project </w:t>
      </w:r>
      <w:r>
        <w:rPr>
          <w:i/>
          <w:iCs/>
        </w:rPr>
        <w:t xml:space="preserve">Plunder Party</w:t>
      </w:r>
      <w:r>
        <w:t xml:space="preserve">, was conceived to apply this criterion deliberately. It is described here as design intent rather than as a shipped feature, since the minigame it belongs to is not implemented in the current build. The mechanic scales an obscuring blur on each player's aiming crosshair according to their rank, from eighty per cent for the leader down to none at all for the player in last place.</w:t>
      </w:r>
    </w:p>
    <w:p>
      <w:pPr>
        <w:spacing w:after="200" w:line="360"/>
        <w:jc w:val="both"/>
      </w:pPr>
      <w:r>
        <w:t xml:space="preserve">Its legibility rests on three properties. It is visible, in that the affected player sees the blur on their own crosshair rather than inferring a disadvantage from outcomes alone. It is proportional, so that the degree of blur functions as continuous feedback about standing rather than as a discrete punitive event — closer to a readable gradient than to a blue shell's sudden arrival. And it is diegetic: the handicap is motivated as the leading pirate having celebrated too enthusiastically with rum. This last property does real work. Following Juul's (2005) account of games as simultaneously real rules and fictional worlds, </w:t>
      </w:r>
      <w:r>
        <w:rPr>
          <w:b/>
          <w:bCs/>
          <w:color w:val="C00000"/>
        </w:rPr>
        <w:t xml:space="preserve">[VERIFY]</w:t>
      </w:r>
      <w:r>
        <w:t xml:space="preserve"> the fiction here is not decoration but the means by which an abstract rule is made immediately intelligible to a player in the middle of a round.</w:t>
      </w:r>
    </w:p>
    <w:p>
      <w:pPr>
        <w:spacing w:after="200" w:line="360"/>
        <w:jc w:val="both"/>
      </w:pPr>
      <w:r>
        <w:t xml:space="preserve">Catch-up mechanics, then, are best understood not as concessions to weaker players but as deliberate transfers of involvement from one dimension to another. Calleja's model supplies the vocabulary for describing that transfer, though its orientation toward single-player and networked contexts leaves the possibility of competition between dimensions underdeveloped; co-located play, where shared involvement dominates, makes that tension unavoidable. The comparison between </w:t>
      </w:r>
      <w:r>
        <w:rPr>
          <w:i/>
          <w:iCs/>
        </w:rPr>
        <w:t xml:space="preserve">Mario Kart</w:t>
      </w:r>
      <w:r>
        <w:t xml:space="preserve">'s blue shell and its concealed systems, and between earlier and later </w:t>
      </w:r>
      <w:r>
        <w:rPr>
          <w:i/>
          <w:iCs/>
        </w:rPr>
        <w:t xml:space="preserve">Mario Party</w:t>
      </w:r>
      <w:r>
        <w:t xml:space="preserve"> entries, indicates that legibility is the variable determining whether the transfer succeeds. A handicap the player can see, understand and narrativise remains inside the ludic system and pays for itself socially. A handicap that operates invisibly, or arrives after the game is already decided, costs the player their sense of consequential agency and returns nothing at all for it.</w:t>
      </w:r>
    </w:p>
    <w:p>
      <w:pPr>
        <w:pStyle w:val="SectionHeading"/>
      </w:pPr>
      <w:r>
        <w:t xml:space="preserve">References</w:t>
      </w:r>
    </w:p>
    <w:p>
      <w:pPr>
        <w:spacing w:after="120" w:line="360"/>
        <w:ind w:left="720" w:hanging="720"/>
      </w:pPr>
      <w:r>
        <w:t xml:space="preserve">Calleja, G. (2011) </w:t>
      </w:r>
      <w:r>
        <w:rPr>
          <w:i/>
          <w:iCs/>
        </w:rPr>
        <w:t xml:space="preserve">In-Game: From Immersion to Incorporation</w:t>
      </w:r>
      <w:r>
        <w:t xml:space="preserve">. Cambridge, MA: MIT Press.</w:t>
      </w:r>
    </w:p>
    <w:p>
      <w:pPr>
        <w:spacing w:after="120" w:line="360"/>
        <w:ind w:left="720" w:hanging="720"/>
      </w:pPr>
      <w:r>
        <w:t xml:space="preserve">Juul, J. (2005) </w:t>
      </w:r>
      <w:r>
        <w:rPr>
          <w:i/>
          <w:iCs/>
        </w:rPr>
        <w:t xml:space="preserve">Half-Real: Video Games Between Real Rules and Fictional Worlds</w:t>
      </w:r>
      <w:r>
        <w:t xml:space="preserve">. Cambridge, MA: MIT Press.</w:t>
      </w:r>
    </w:p>
    <w:p>
      <w:pPr>
        <w:spacing w:after="120" w:line="360"/>
        <w:ind w:left="720" w:hanging="720"/>
      </w:pPr>
      <w:r>
        <w:t xml:space="preserve">Salen, K. and Zimmerman, E. (2004) </w:t>
      </w:r>
      <w:r>
        <w:rPr>
          <w:i/>
          <w:iCs/>
        </w:rPr>
        <w:t xml:space="preserve">Rules of Play: Game Design Fundamentals</w:t>
      </w:r>
      <w:r>
        <w:t xml:space="preserve">. Cambridge, MA: MIT Press.</w:t>
      </w:r>
    </w:p>
    <w:p>
      <w:pPr>
        <w:pStyle w:val="SectionHeading"/>
      </w:pPr>
      <w:r>
        <w:t xml:space="preserve">Ludography</w:t>
      </w:r>
    </w:p>
    <w:p>
      <w:pPr>
        <w:spacing w:after="120" w:line="360"/>
        <w:ind w:left="720" w:hanging="720"/>
      </w:pPr>
      <w:r>
        <w:t xml:space="preserve">NDcube (2021) </w:t>
      </w:r>
      <w:r>
        <w:rPr>
          <w:i/>
          <w:iCs/>
        </w:rPr>
        <w:t xml:space="preserve">Mario Party Superstars</w:t>
      </w:r>
      <w:r>
        <w:t xml:space="preserve">. [Nintendo Switch]. Kyoto: Nintendo.</w:t>
      </w:r>
    </w:p>
    <w:p>
      <w:pPr>
        <w:spacing w:after="120" w:line="360"/>
        <w:ind w:left="720" w:hanging="720"/>
      </w:pPr>
      <w:r>
        <w:t xml:space="preserve">Nintendo (2017) </w:t>
      </w:r>
      <w:r>
        <w:rPr>
          <w:i/>
          <w:iCs/>
        </w:rPr>
        <w:t xml:space="preserve">Mario Kart 8 Deluxe</w:t>
      </w:r>
      <w:r>
        <w:t xml:space="preserve">. [Nintendo Switch]. Kyoto: Nintendo.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ectionHeading">
    <w:name w:val="Section Heading"/>
    <w:basedOn w:val="Normal"/>
    <w:next w:val="Normal"/>
    <w:pPr>
      <w:spacing w:after="200" w:before="32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Legible Handicaps</dc:title>
  <dc:creator>Bruno Mirone</dc:creator>
  <dc:description>FGCT4018 written essay</dc:description>
  <cp:lastModifiedBy>Un-named</cp:lastModifiedBy>
  <cp:revision>1</cp:revision>
  <dcterms:created xsi:type="dcterms:W3CDTF">2026-09-01T14:46:23.418Z</dcterms:created>
  <dcterms:modified xsi:type="dcterms:W3CDTF">2026-09-01T14:46:23.419Z</dcterms:modified>
</cp:coreProperties>
</file>

<file path=docProps/custom.xml><?xml version="1.0" encoding="utf-8"?>
<Properties xmlns="http://schemas.openxmlformats.org/officeDocument/2006/custom-properties" xmlns:vt="http://schemas.openxmlformats.org/officeDocument/2006/docPropsVTypes"/>
</file>