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eastAsia="Verdana"/>
          <w:b w:val="0"/>
          <w:i/>
          <w:sz w:val="18"/>
        </w:rPr>
        <w:t>&lt;&lt;On supplier's letterhead&gt;&gt;</w:t>
      </w:r>
    </w:p>
    <w:p>
      <w:pPr>
        <w:jc w:val="center"/>
      </w:pPr>
      <w:r>
        <w:rPr>
          <w:rFonts w:ascii="Verdana" w:hAnsi="Verdana" w:eastAsia="Verdana"/>
          <w:b/>
          <w:i w:val="0"/>
          <w:color w:val="1F4E78"/>
          <w:sz w:val="32"/>
        </w:rPr>
        <w:t>Collection Receipt</w:t>
      </w:r>
    </w:p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Company Logo / Company Name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Document Title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Collection Receipt (fixed wording)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Receipt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Payer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party making the payment (customer or agent/intermediary).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Payer Name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name of the party making the payment (customer or agent/intermediary).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Payer Address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address of the payer, combining Address Line 1, 2, 3, City, District, State and PIN Code.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No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/ Collection number generated by the system for the transaction.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Date of the collection.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Total amount received, in INR.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in Words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collected converted to words.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Office / Branch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collecting branch.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Collection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Sr. No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Line sequence.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Proposal Ref. No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proposal number against which the deposit is received.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Intermediary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main agent / intermediary on the proposal.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 (Rs.)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for the line.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Mode of Payment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Cash / Cheque / Demand Draft etc.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Name, CHQ/CC/DD No, CHQ/DD/BC Dt.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Printed only for non-cash modes.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Remarks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Free text.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Footer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Registered Office, IRDAI Regn. No., GSTIN, Customer Care, Claims, Email, Website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System-generated statement and Note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Fixed wording, as in the template.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Suggestions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Payer Code / Payer Name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the same two fields cover both customers and agents/intermediaries making the payment.</w:t>
            </w:r>
          </w:p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that this fits the business requirement.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Additional payer details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whether any other payer details are needed on the receipt, such as Payer Type (Customer or Agent).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Payer Address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the source of the payer address when the payer is an agent.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