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hd w:fill="052A22" w:val="clear"/>
        <w:spacing w:after="240" w:before="240"/>
        <w:jc w:val="center"/>
      </w:pPr>
      <w:r>
        <w:drawing>
          <wp:inline distT="0" distB="0" distL="0" distR="0">
            <wp:extent cx="3429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4D40"/>
          <w:sz w:val="18"/>
          <w:szCs w:val="18"/>
        </w:rPr>
        <w:t xml:space="preserve">BRB CAPITAL GROUP · RESEARCH &amp; TECHNOLOGY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052A22"/>
          <w:sz w:val="46"/>
          <w:szCs w:val="46"/>
        </w:rPr>
        <w:t xml:space="preserve">Transparent Models, Constrained Machines</w:t>
      </w:r>
    </w:p>
    <w:p>
      <w:pPr>
        <w:spacing w:after="160"/>
        <w:jc w:val="center"/>
      </w:pPr>
      <w:r>
        <w:rPr>
          <w:rFonts w:ascii="Georgia" w:cs="Georgia" w:eastAsia="Georgia" w:hAnsi="Georgia"/>
          <w:color w:val="1A4D40"/>
          <w:sz w:val="26"/>
          <w:szCs w:val="26"/>
        </w:rPr>
        <w:t xml:space="preserve">A Provenance-Bounded Architecture for AI-Assisted Equity Research on the Nigerian Exchange</w:t>
      </w:r>
    </w:p>
    <w:p>
      <w:pPr>
        <w:pBdr>
          <w:bottom w:val="single" w:color="8AC873" w:sz="16" w:space="4"/>
        </w:pBdr>
        <w:spacing w:after="120"/>
        <w:jc w:val="center"/>
      </w:pP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B6B64"/>
          <w:sz w:val="23"/>
          <w:szCs w:val="23"/>
        </w:rPr>
        <w:t xml:space="preserve">The methodological thesis underlying the BRB NGX Analyst Platform</w:t>
      </w:r>
    </w:p>
    <w:p>
      <w:pPr>
        <w:jc w:val="center"/>
      </w:pPr>
      <w:r>
        <w:rPr>
          <w:rFonts w:ascii="Calibri" w:cs="Calibri" w:eastAsia="Calibri" w:hAnsi="Calibri"/>
          <w:color w:val="5B6B64"/>
          <w:sz w:val="16"/>
          <w:szCs w:val="16"/>
        </w:rPr>
        <w:t xml:space="preserve">Working Paper · v1.0 · August 2026  ·  Internal analytical tool — not investment advice</w:t>
      </w:r>
    </w:p>
    <w:p>
      <w:r>
        <w:br w:type="page"/>
      </w:r>
    </w:p>
    <w:p>
      <w:pPr>
        <w:pBdr>
          <w:top w:val="single" w:color="D9DDD6" w:sz="4" w:space="8"/>
          <w:bottom w:val="single" w:color="D9DDD6" w:sz="4" w:space="8"/>
          <w:left w:val="single" w:color="D9DDD6" w:sz="4" w:space="8"/>
          <w:right w:val="single" w:color="D9DDD6" w:sz="4" w:space="8"/>
        </w:pBdr>
        <w:shd w:fill="F6F5F0" w:val="clear"/>
        <w:spacing w:after="160" w:line="250"/>
        <w:jc w:val="both"/>
      </w:pPr>
      <w:r>
        <w:rPr>
          <w:rFonts w:ascii="Georgia" w:cs="Georgia" w:eastAsia="Georgia" w:hAnsi="Georgia"/>
          <w:b/>
          <w:bCs/>
          <w:color w:val="052A22"/>
          <w:sz w:val="19"/>
          <w:szCs w:val="19"/>
        </w:rPr>
        <w:t xml:space="preserve">Abstract. </w:t>
      </w:r>
      <w:r>
        <w:rPr>
          <w:rFonts w:ascii="Georgia" w:cs="Georgia" w:eastAsia="Georgia" w:hAnsi="Georgia"/>
          <w:color w:val="1F2A26"/>
          <w:sz w:val="18"/>
          <w:szCs w:val="18"/>
        </w:rPr>
        <w:t xml:space="preserve">We describe the design thesis of an internal decision-support platform for equity research on the Nigerian Exchange (NGX) operated by a dual-regulated (FCA UK / SEC Nigeria) fund and portfolio manager. The central argument is that trustworthy machine assistance in a frontier, information-scarce market is best achieved not by maximising model autonomy but by bounding it: pairing transparent, auditable statistical models with large-language-model (LLM) reasoning strictly constrained by data provenance and by compliance-by-construction. We set out six components: (i) a delayed-quote data model with market-hours-aware caching and exact reconstruction of plan-gated aggregates; (ii) a reproducible Monte-Carlo geometric Brownian-motion (GBM) ensemble for probabilistic price scenarios with walk-forward validation; (iii) fundamental and dividend scenario models; (iv) a single-benchmark portfolio-risk stack; (v) a provenance-constrained LLM layer in which the model never originates market figures and all position arithmetic is recomputed server-side; and (vi) a maker-checker governance workflow. We argue this converts an opaque, hallucination-prone tool into an auditable analyst instrument, and are explicit about its limitations.</w:t>
      </w:r>
    </w:p>
    <w:p>
      <w:pPr>
        <w:spacing w:after="80"/>
      </w:pPr>
      <w:r>
        <w:rPr>
          <w:rFonts w:ascii="Calibri" w:cs="Calibri" w:eastAsia="Calibri" w:hAnsi="Calibri"/>
          <w:color w:val="5B6B64"/>
          <w:sz w:val="15"/>
          <w:szCs w:val="15"/>
        </w:rPr>
        <w:t xml:space="preserve">Keywords: frontier markets · NGX · Monte-Carlo simulation · geometric Brownian motion · portfolio risk · large language models · data provenance · RegTech · decision support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1.  Introduction and thesis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Nigerian Exchange is a frontier equity market characterised by concentrated liquidity in a small number of large-capitalisation names, uneven disclosure, and market data that is delayed rather than streamed in real time. Analysts must synthesise sparse, latency-bound information into portfolio decisions under a strict dual-regulatory regime. Two temptations arise when applying machine intelligence here: letting a statistical forecast masquerade as a prediction, and letting a language model both reason about and supply the underlying facts — inviting confident fabrication of prices, ratios and events.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Our thesis is that reliability in this environment is a property of constraint, not autonomy. We hold every quantitative output to three standards — transparent (reconstructable from inputs), reproducible (seeded and deterministic), and provenance-bounded (no figure originates inside a model that cannot cite it). The platform is positioned as decision support for a qualified professional, never as automated advice, and this positioning is enforced in code and workflow rather than merely stated in a disclaimer.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2.  Design principles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Transparency.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Analytical logic lives in pure, framework-free, unit-tested functions; every displayed number is traceable to inputs and a documented formula.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Provenance.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Market facts enter only through the authenticated data proxy or documents the system has read and can cite. Reasoning components consume these facts; they never manufacture them.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Compliance-by-construction.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Illustrative-scenario labelling, delayed-quote disclosure with explicit freshness, a maker-checker approval gate, role-based access and a full audit trail are structural, not optional.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Reproducibility.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Stochastic components use a seeded generator, so a given input reproduces a given scenario fan exactly — a prerequisite for review and regulatory defensibility.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3.  Data model and market microstructure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platform is, by design, a delayed-quote terminal. Prices republish roughly every twenty minutes during exchange hours (Mon–Fri, 09:00–16:00 West Africa Time) and reflect the last close outside them; the interface surfaces an explicit 'as of' timestamp on all prices. A market-hours-aware cache assigns short time-to-live to live-price groups while the market is open and long time-to-live when closed, with static reference data cached for many hours.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Certain aggregates (sector performance, breadth, year-to-date leaders) are gated behind higher data-plan tiers. Rather than estimate them, the platform reconstructs them exactly from the constituent list on an equal-weighted basis and labels them as derived — a real calculation, not an approximation. Foreign-exchange handling normalises to naira-per-unit at each call site, because spot and historical rates arrive under different inversion conventions.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4.  Probabilistic price forecasting: a Monte-Carlo GBM ensemble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Forward price scenarios are generated by an ensemble of geometric Brownian-motion paths rather than a single point forecast, so the output is a distribution expressed as probability bands. Let 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S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t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denote the closing price and r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t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= ln(S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t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/ S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t−1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) the daily log-return.</w:t>
      </w:r>
    </w:p>
    <w:p>
      <w:pPr>
        <w:pStyle w:val="Heading2"/>
        <w:spacing w:after="40" w:before="160"/>
      </w:pPr>
      <w:r>
        <w:rPr>
          <w:rFonts w:ascii="Georgia" w:cs="Georgia" w:eastAsia="Georgia" w:hAnsi="Georgia"/>
          <w:b/>
          <w:bCs/>
          <w:color w:val="1A4D40"/>
          <w:sz w:val="22"/>
          <w:szCs w:val="22"/>
        </w:rPr>
        <w:t xml:space="preserve">4.1  Drift and volatility estimation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per-step drift d blends two views of trend and is damped to temper long-horizon extrapolation. Let d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hist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be the mean historical log-return and d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reg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the slope of an OLS fit of ln(price) on time over the most recent 504 observations. With damping k = 0.5:</w:t>
      </w:r>
    </w:p>
    <w:p>
      <w:pPr>
        <w:pBdr>
          <w:left w:val="single" w:color="8AC873" w:sz="18" w:space="6"/>
        </w:pBdr>
        <w:shd w:fill="F2F5EF" w:val="clear"/>
        <w:spacing w:after="120" w:before="60" w:line="300"/>
        <w:jc w:val="center"/>
      </w:pP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d = k × ( 0.5 d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hist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+ 0.5 d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reg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) ,     s = stdev( r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)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where s is the daily volatility (standard deviation of log-returns). The blend gives weight to both the realised mean return and the fitted trend, while damping prevents a steep recent slope from producing implausible multi-month projections.</w:t>
      </w:r>
    </w:p>
    <w:p>
      <w:pPr>
        <w:pStyle w:val="Heading2"/>
        <w:spacing w:after="40" w:before="160"/>
      </w:pPr>
      <w:r>
        <w:rPr>
          <w:rFonts w:ascii="Georgia" w:cs="Georgia" w:eastAsia="Georgia" w:hAnsi="Georgia"/>
          <w:b/>
          <w:bCs/>
          <w:color w:val="1A4D40"/>
          <w:sz w:val="22"/>
          <w:szCs w:val="22"/>
        </w:rPr>
        <w:t xml:space="preserve">4.2  Simulation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Each of P = 2000 paths is evolved over H = 252 trading days. Because d is already a mean log-return, each step draws the log-return directly as Normal(d, s) — no additional Ito correction is applied (applying one would bias the median low by one-half the daily variance per step):</w:t>
      </w:r>
    </w:p>
    <w:p>
      <w:pPr>
        <w:pBdr>
          <w:left w:val="single" w:color="8AC873" w:sz="18" w:space="6"/>
        </w:pBdr>
        <w:shd w:fill="F2F5EF" w:val="clear"/>
        <w:spacing w:after="120" w:before="60" w:line="300"/>
        <w:jc w:val="center"/>
      </w:pP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S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= S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t−1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× exp( d + s × Z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) ,     Z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~ Normal(0, 1)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At each step the empirical percentiles of the 2000 simulated prices are recorded. The 10th, 25th, 50th, 75th and 90th percentiles form the fan chart; the median (P50) is the base case and P10/P90 the bear/bull envelope, summarised at the 3-, 6- and 12-month horizons.</w:t>
      </w:r>
    </w:p>
    <w:p>
      <w:pPr>
        <w:pStyle w:val="Heading2"/>
        <w:spacing w:after="40" w:before="160"/>
      </w:pPr>
      <w:r>
        <w:rPr>
          <w:rFonts w:ascii="Georgia" w:cs="Georgia" w:eastAsia="Georgia" w:hAnsi="Georgia"/>
          <w:b/>
          <w:bCs/>
          <w:color w:val="1A4D40"/>
          <w:sz w:val="22"/>
          <w:szCs w:val="22"/>
        </w:rPr>
        <w:t xml:space="preserve">4.3  Validation and reproducibility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Model quality is reported alongside every forecast. A walk-forward diagnostic re-fits on all but the last twenty-one trading days, projects the median forward, and reports the mean absolute percentage error (MAPE) against the realised price; the trend-fit R-squared is shown as goodness-of-fit. Users are told plainly that higher backtest error and lower R-squared imply wider real-world uncertainty than the bands convey. All paths derive from a seeded generator, so the scenario fan is exactly reproducible.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**Assumptions and their limits.** GBM presumes independent, identically distributed, log-normal shocks and a stationary drift/volatility regime. Frontier-market returns exhibit fat tails, autocorrelation and regime shifts; thin liquidity can make realised paths jump. The forecast is framed throughout as an illustrative scenario, not a prediction, recommendation or guarantee.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5.  Fundamental and dividend scenario models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Alongside the statistical view, a fundamentals view derives an implied price from an earnings assumption. With trailing-twelve-month EPS and an assumed exit price/earnings multiple m:</w:t>
      </w:r>
    </w:p>
    <w:p>
      <w:pPr>
        <w:pBdr>
          <w:left w:val="single" w:color="8AC873" w:sz="18" w:space="6"/>
        </w:pBdr>
        <w:shd w:fill="F2F5EF" w:val="clear"/>
        <w:spacing w:after="120" w:before="60" w:line="300"/>
        <w:jc w:val="center"/>
      </w:pP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implied price = EPS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ttm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× m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A sensitivity grid spans a range of growth and exit-multiple assumptions so the analyst reads the valuation surface rather than a single figure. The dividend model projects a forward path from the trailing-twelve-month dividend per share, grown at the historical compound annual growth rate clamped to a sane band, and reports a yield-on-cost path. All inputs are sourced from the market data feed or cited filings; none are supplied by a model.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6.  Portfolio construction and analytics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Portfolios are specified in either target-weight or share-unit mode; a common effective-weight function values unit-mode books by units multiplied by price so both feed one analytics path. On construction the platform computes a weighted dividend yield, a weighted price/earnings ratio (only positive earners contribute) and a sector allocation. An illustrative backtest rebases the blended book and its benchmark to 100 and holds current weights constant over the window — without rebalancing, dividends or transaction costs — reporting cumulative return, annualised volatility and maximum drawdown. This simplification is disclosed.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7.  Portfolio risk analytics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Risk statistics are computed from aligned daily level series (rebased portfolio and benchmark), from which returns are derived internally. Writing p and b for portfolio and benchmark daily returns and r</w:t>
      </w:r>
      <w:r>
        <w:rPr>
          <w:rFonts w:ascii="Georgia" w:cs="Georgia" w:eastAsia="Georgia" w:hAnsi="Georgia"/>
          <w:color w:val="1F2A26"/>
          <w:sz w:val="20"/>
          <w:szCs w:val="20"/>
          <w:vertAlign w:val="subscript"/>
        </w:rPr>
        <w:t xml:space="preserve">f</w:t>
      </w:r>
      <w:r>
        <w:rPr>
          <w:rFonts w:ascii="Georgia" w:cs="Georgia" w:eastAsia="Georgia" w:hAnsi="Georgia"/>
          <w:color w:val="1F2A26"/>
          <w:sz w:val="20"/>
          <w:szCs w:val="20"/>
        </w:rPr>
        <w:t xml:space="preserve"> for the daily risk-free rate:</w:t>
      </w:r>
    </w:p>
    <w:p>
      <w:pPr>
        <w:pBdr>
          <w:left w:val="single" w:color="8AC873" w:sz="18" w:space="6"/>
        </w:pBdr>
        <w:shd w:fill="F2F5EF" w:val="clear"/>
        <w:spacing w:after="120" w:before="60" w:line="300"/>
        <w:jc w:val="center"/>
      </w:pP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beta = cov(p, b) / var(b) ,   alpha = [ mean(p) − ( r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f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+ beta ( mean(b) − r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  <w:vertAlign w:val="subscript"/>
        </w:rPr>
        <w:t xml:space="preserve">f</w:t>
      </w: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 ) ) ] × 252</w:t>
      </w:r>
    </w:p>
    <w:p>
      <w:pPr>
        <w:pBdr>
          <w:left w:val="single" w:color="8AC873" w:sz="18" w:space="6"/>
        </w:pBdr>
        <w:shd w:fill="F2F5EF" w:val="clear"/>
        <w:spacing w:after="120" w:before="60" w:line="300"/>
        <w:jc w:val="center"/>
      </w:pPr>
      <w:r>
        <w:rPr>
          <w:rFonts w:ascii="Georgia" w:cs="Georgia" w:eastAsia="Georgia" w:hAnsi="Georgia"/>
          <w:i/>
          <w:iCs/>
          <w:color w:val="052A22"/>
          <w:sz w:val="21"/>
          <w:szCs w:val="21"/>
        </w:rPr>
        <w:t xml:space="preserve">tracking error = stdev(p − b) × sqrt(252) ,   Sharpe = annualised excess / annualised volatility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Jensen's alpha is the annualised return in excess of the CAPM expectation; the information ratio scales active return by tracking error; the Sortino ratio replaces total volatility with downside deviation against the risk-free target. Tail risk is estimated non-parametrically: the one-day 95% historical Value-at-Risk is the empirical loss quantile, and the 95% conditional VaR (expected shortfall) is the mean loss beyond it. A holding-level correlation matrix exposes diversification and concentration; maximum drawdown is measured peak-to-trough on the level series.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8.  Positions accounting and technical indicators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Booked transactions drive an average-cost engine that tracks running units, cost basis and realised profit and loss, with fees pro-rated to matched units on partial sells. Technical overlays — simple moving averages, the 14-period relative-strength index, drawdown-from-peak and annualised volatility — are computed on the full price history and then sliced to the visible window, so long-lookback indicators remain correct on short views.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9.  The reasoning layer and the provenance strategy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distinctive element is how the platform uses large language models. The governing rule is absolute: the model is a reasoner over supplied evidence, never a source of market facts. NGX prices, fundamentals and ratios are injected from the authenticated feed or extracted from official filings the system has read; the model is instructed to use only the figures provided, and its outputs are returned as validated structured objects where a schema applies.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Two safeguards close the loop. First, arithmetic is never trusted to the model: all position sizing and profit-and-loss are recomputed server-side from units and live prices, any invented instrument is dropped, and entry prices are reconciled to live quotes. Second, filing extractions carry page-level citations back to the source document. Together these convert the model from a potential fabricator into an auditable analyst that must show its work.</w:t>
      </w:r>
    </w:p>
    <w:p>
      <w:pPr>
        <w:pStyle w:val="Heading2"/>
        <w:spacing w:after="40" w:before="160"/>
      </w:pPr>
      <w:r>
        <w:rPr>
          <w:rFonts w:ascii="Georgia" w:cs="Georgia" w:eastAsia="Georgia" w:hAnsi="Georgia"/>
          <w:b/>
          <w:bCs/>
          <w:color w:val="1A4D40"/>
          <w:sz w:val="22"/>
          <w:szCs w:val="22"/>
        </w:rPr>
        <w:t xml:space="preserve">9.1  Reasoning-layer features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Daily desk briefing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— a structured read of the session written strictly from the day's own market data, with optional cited web context for qualitative events.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Filing extraction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— income statement, balance sheet and cash-flow tables lifted from official NGX filing PDFs with page citations.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Portfolio review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— a cash-constrained CIO analysis whose resulting trades are routed to the approval workflow rather than executed.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AI portfolio builder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— a liquidity-first CIO/head-trader construction for a given budget and horizon, with defined entry, target and stop levels, sized server-side to live prices and saveable as a tracked paper portfolio.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/>
          <w:bCs/>
          <w:color w:val="1F2A26"/>
          <w:sz w:val="20"/>
          <w:szCs w:val="20"/>
        </w:rPr>
        <w:t xml:space="preserve">Signal, dividend and sector-momentum reads</w:t>
      </w: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 — structured buy/hold/sell theses and outlooks framed as analysis, not instruction.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reasoning layer is model-plural: a high-capability model serves the analytical narratives and a specialised reasoning model serves the portfolio-construction task, each with refusal handling and graceful degradation to a 'not configured' state when credentials are absent.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10.  Validation, governance and compliance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Quantitative correctness is defended by a suite of unit tests over the pure analytical functions, and forecast quality by the walk-forward error reported in-product. Governance is structural. The platform is operated under dual FCA (UK) and SEC (Nigeria) oversight, enforced in code: every forecast carries an illustrative-scenario label; performance displays carry the standard past-performance caveat; rebalancing output is an analytical suggestion that must pass a maker-checker approval — an analyst submits and a different principal fund manager approves, with self-approval blocked. Access is role-based, secrets are encrypted at rest, and portfolio, transaction and approval actions are written to an audit trail. The human remains in the loop by construction: outputs are decision support for a qualified professional's judgement, and no output constitutes investment advice or an order.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11.  Limitations and future work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The GBM forecast assumes normal, i.i.d. shocks and a stationary regime; jump/regime-switching dynamics and fat tails are not modelled.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Risk is single-benchmark (CAPM-style beta); a multi-factor model would better attribute frontier-market risk.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Data are delayed, not streamed; the platform is explicitly a delayed-quote terminal.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The illustrative backtest omits rebalancing, dividends and transaction costs by design.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LLM reasoning, though provenance-bounded, still requires human verification of the qualitative narrative.</w:t>
      </w:r>
    </w:p>
    <w:p>
      <w:pPr>
        <w:pStyle w:val="ListParagraph"/>
        <w:numPr>
          <w:ilvl w:val="0"/>
          <w:numId w:val="2"/>
        </w:numPr>
        <w:spacing w:after="70" w:line="260"/>
        <w:jc w:val="both"/>
      </w:pPr>
      <w:r>
        <w:rPr>
          <w:rFonts w:ascii="Georgia" w:cs="Georgia" w:eastAsia="Georgia" w:hAnsi="Georgia"/>
          <w:b w:val="false"/>
          <w:bCs w:val="false"/>
          <w:color w:val="1F2A26"/>
          <w:sz w:val="20"/>
          <w:szCs w:val="20"/>
        </w:rPr>
        <w:t xml:space="preserve">The embedded single-instance datastore suits a single desk; horizontal scale would migrate to managed Postgres behind the same standard-SQL repository layer.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12.  Conclusion</w:t>
      </w:r>
    </w:p>
    <w:p>
      <w:pPr>
        <w:spacing w:after="140" w:line="268"/>
        <w:jc w:val="both"/>
      </w:pPr>
      <w:r>
        <w:rPr>
          <w:rFonts w:ascii="Georgia" w:cs="Georgia" w:eastAsia="Georgia" w:hAnsi="Georgia"/>
          <w:color w:val="1F2A26"/>
          <w:sz w:val="20"/>
          <w:szCs w:val="20"/>
        </w:rPr>
        <w:t xml:space="preserve">The models here are individually conventional — geometric Brownian motion, CAPM-style risk, average-cost accounting, discounted fundamentals. The thesis is not in any single model but in the discipline that surrounds them: transparency so every number is reconstructable; reproducibility so every scenario is repeatable; and a provenance boundary so machine reasoning augments, but never fabricates, the evidence base. In a frontier market with delayed, sparse data and a demanding compliance regime, this bounded, auditable design — rather than maximal autonomy — is what makes AI-assisted equity research trustworthy enough to sit on an analyst's desk.</w:t>
      </w:r>
    </w:p>
    <w:p>
      <w:pPr>
        <w:pStyle w:val="Heading1"/>
        <w:pBdr>
          <w:bottom w:val="single" w:color="8AC873" w:sz="10" w:space="3"/>
        </w:pBdr>
        <w:spacing w:after="60" w:before="260"/>
      </w:pPr>
      <w:r>
        <w:rPr>
          <w:rFonts w:ascii="Georgia" w:cs="Georgia" w:eastAsia="Georgia" w:hAnsi="Georgia"/>
          <w:b/>
          <w:bCs/>
          <w:color w:val="052A22"/>
          <w:sz w:val="26"/>
          <w:szCs w:val="26"/>
        </w:rPr>
        <w:t xml:space="preserve">Selected methodological references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Markowitz, H. (1952). Portfolio Selection.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The Journal of Finance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7(1), 77–91.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Sharpe, W. F. (1966). Mutual Fund Performance.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The Journal of Business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39(1), 119–138.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Jensen, M. C. (1968). The Performance of Mutual Funds in the Period 1945–1964.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The Journal of Finance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23(2), 389–416.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Black, F., &amp; Scholes, M. (1973). The Pricing of Options and Corporate Liabilities.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Journal of Political Economy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81(3), 637–654.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Merton, R. C. (1973). Theory of Rational Option Pricing.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The Bell Journal of Economics and Management Science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4(1), 141–183.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Sortino, F. A., &amp; Price, L. N. (1994). Performance Measurement in a Downside Risk Framework.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The Journal of Investing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3(3), 59–64.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Artzner, P., Delbaen, F., Eber, J.-M., &amp; Heath, D. (1999). Coherent Measures of Risk.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Mathematical Finance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, 9(3), 203–228.</w:t>
      </w:r>
    </w:p>
    <w:p>
      <w:pPr>
        <w:spacing w:after="60" w:line="240"/>
        <w:ind w:left="300" w:hanging="300"/>
      </w:pP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Glasserman, P. (2003). </w:t>
      </w:r>
      <w:r>
        <w:rPr>
          <w:rFonts w:ascii="Georgia" w:cs="Georgia" w:eastAsia="Georgia" w:hAnsi="Georgia"/>
          <w:i/>
          <w:iCs/>
          <w:color w:val="1F2A26"/>
          <w:sz w:val="18"/>
          <w:szCs w:val="18"/>
        </w:rPr>
        <w:t xml:space="preserve">Monte Carlo Methods in Financial Engineering</w:t>
      </w:r>
      <w:r>
        <w:rPr>
          <w:rFonts w:ascii="Georgia" w:cs="Georgia" w:eastAsia="Georgia" w:hAnsi="Georgia"/>
          <w:i w:val="false"/>
          <w:iCs w:val="false"/>
          <w:color w:val="1F2A26"/>
          <w:sz w:val="18"/>
          <w:szCs w:val="18"/>
        </w:rPr>
        <w:t xml:space="preserve">. Springer.</w:t>
      </w:r>
    </w:p>
    <w:p>
      <w:pPr>
        <w:spacing w:before="120"/>
      </w:pPr>
      <w:r>
        <w:rPr>
          <w:rFonts w:ascii="Calibri" w:cs="Calibri" w:eastAsia="Calibri" w:hAnsi="Calibri"/>
          <w:color w:val="5B6B64"/>
          <w:sz w:val="15"/>
          <w:szCs w:val="15"/>
        </w:rPr>
        <w:t xml:space="preserve">This is an internal research and methodology white paper describing the design of the BRB NGX Analyst Platform. It is not investment advice, a research recommendation on any security, or a solicitation. Forecasts are illustrative scenarios; prices are delayed; past performance does not indicate future results.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4"/>
        <w:sz w:val="13"/>
        <w:szCs w:val="13"/>
      </w:rPr>
      <w:t xml:space="preserve">BRB Capital Group — NGX Analyst Platform · internal research white paper · p. </w:t>
    </w:r>
    <w:r>
      <w:rPr>
        <w:rFonts w:ascii="Calibri" w:cs="Calibri" w:eastAsia="Calibri" w:hAnsi="Calibri"/>
        <w:color w:val="5B6B64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color w:val="8AC87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e09b53da9412e3a5b2043ae3b5e92b548ef8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BRB NGX Analyst — Research &amp; Methodology White Paper</dc:title>
  <dc:creator>BRB Capital Group</dc:creator>
  <cp:lastModifiedBy>Un-named</cp:lastModifiedBy>
  <cp:revision>1</cp:revision>
  <dcterms:created xsi:type="dcterms:W3CDTF">2026-08-04T13:58:43.206Z</dcterms:created>
  <dcterms:modified xsi:type="dcterms:W3CDTF">2026-08-04T13:58:43.206Z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