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BRF Filex — Sample Letter</w:t>
      </w:r>
    </w:p>
    <w:p>
      <w:r>
        <w:t>This is a realistic Word document used by the filex e2e suite to exercise OnlyOffice's docx rendering path. The fixture is intentionally varied so the editor surfaces font / paragraph / list rendering for the viewer audit.</w:t>
      </w:r>
    </w:p>
    <w:p>
      <w:pPr>
        <w:pStyle w:val="Heading2"/>
      </w:pPr>
      <w:r>
        <w:t>Highlights</w:t>
      </w:r>
    </w:p>
    <w:p>
      <w:pPr>
        <w:pStyle w:val="ListBullet"/>
      </w:pPr>
      <w:r>
        <w:t>Headings + paragraphs</w:t>
      </w:r>
    </w:p>
    <w:p>
      <w:pPr>
        <w:pStyle w:val="ListBullet"/>
      </w:pPr>
      <w:r>
        <w:t>Bullet list</w:t>
      </w:r>
    </w:p>
    <w:p>
      <w:pPr>
        <w:pStyle w:val="ListBullet"/>
      </w:pPr>
      <w:r>
        <w:t>Tables</w:t>
      </w:r>
    </w:p>
    <w:p>
      <w:pPr>
        <w:pStyle w:val="ListBullet"/>
      </w:pPr>
      <w:r>
        <w:t>Inline emphasis</w:t>
      </w:r>
    </w:p>
    <w:p>
      <w:pPr>
        <w:pStyle w:val="Heading2"/>
      </w:pPr>
      <w:r>
        <w:t>Tabular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Replica</w:t>
            </w:r>
          </w:p>
        </w:tc>
        <w:tc>
          <w:tcPr>
            <w:tcW w:type="dxa" w:w="2880"/>
          </w:tcPr>
          <w:p>
            <w:r>
              <w:t>infra</w:t>
            </w:r>
          </w:p>
        </w:tc>
        <w:tc>
          <w:tcPr>
            <w:tcW w:type="dxa" w:w="2880"/>
          </w:tcPr>
          <w:p>
            <w:r>
              <w:t>beta</w:t>
            </w:r>
          </w:p>
        </w:tc>
      </w:tr>
    </w:tbl>
    <w:p>
      <w:r>
        <w:t>End of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