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1066" w14:textId="77777777" w:rsidR="001A7B26" w:rsidRPr="00FC3AEC" w:rsidRDefault="001A7B26" w:rsidP="001A7B26">
      <w:pPr>
        <w:rPr>
          <w:color w:val="000000" w:themeColor="text1"/>
        </w:rPr>
      </w:pPr>
    </w:p>
    <w:p w14:paraId="5014F1B2" w14:textId="77777777" w:rsidR="001A7B26" w:rsidRPr="00FC3AEC" w:rsidRDefault="001A7B26" w:rsidP="001A7B26">
      <w:pPr>
        <w:pStyle w:val="2"/>
      </w:pPr>
      <w:bookmarkStart w:id="0" w:name="_Toc30237342"/>
      <w:r w:rsidRPr="00FC3AEC">
        <w:rPr>
          <w:rFonts w:hint="eastAsia"/>
        </w:rPr>
        <w:t>入射角特性の拡充</w:t>
      </w:r>
      <w:bookmarkEnd w:id="0"/>
    </w:p>
    <w:p w14:paraId="4E890EEF" w14:textId="77777777" w:rsidR="001A7B26" w:rsidRDefault="001A7B26" w:rsidP="001A7B26">
      <w:pPr>
        <w:pStyle w:val="afa"/>
      </w:pPr>
      <w:r>
        <w:rPr>
          <w:rFonts w:hint="eastAsia"/>
        </w:rPr>
        <w:t>平成</w:t>
      </w:r>
      <w:r>
        <w:rPr>
          <w:rFonts w:hint="eastAsia"/>
        </w:rPr>
        <w:t>30</w:t>
      </w:r>
      <w:r>
        <w:rPr>
          <w:rFonts w:hint="eastAsia"/>
        </w:rPr>
        <w:t>年度基整促事業で構築した簡易熱負荷計算の入射角特性は、現行省エネルギー基準で熱負荷に用いられている</w:t>
      </w:r>
      <w:r w:rsidRPr="00AE75A2">
        <w:rPr>
          <w:rFonts w:hint="eastAsia"/>
        </w:rPr>
        <w:t xml:space="preserve">温熱環境シミュレーションプログラム　</w:t>
      </w:r>
      <w:r w:rsidRPr="00AE75A2">
        <w:rPr>
          <w:rFonts w:hint="eastAsia"/>
        </w:rPr>
        <w:t>AE-Sim/Heat</w:t>
      </w:r>
      <w:r>
        <w:rPr>
          <w:rFonts w:hint="eastAsia"/>
        </w:rPr>
        <w:t>と同じ入射角特性を実装した。ここでは、以下の方針のもと</w:t>
      </w:r>
      <w:r w:rsidRPr="0067406C">
        <w:t>JIS A2103-2014</w:t>
      </w:r>
      <w:r>
        <w:rPr>
          <w:rFonts w:hint="eastAsia"/>
        </w:rPr>
        <w:t xml:space="preserve">　</w:t>
      </w:r>
      <w:r w:rsidRPr="0067406C">
        <w:rPr>
          <w:rFonts w:hint="eastAsia"/>
        </w:rPr>
        <w:t>窓及びドアの熱性能－日射熱取得率の計算</w:t>
      </w:r>
      <w:r>
        <w:rPr>
          <w:rFonts w:hint="eastAsia"/>
        </w:rPr>
        <w:t xml:space="preserve">　の附属書</w:t>
      </w:r>
      <w:r>
        <w:rPr>
          <w:rFonts w:hint="eastAsia"/>
        </w:rPr>
        <w:t>G</w:t>
      </w:r>
      <w:r>
        <w:rPr>
          <w:rFonts w:hint="eastAsia"/>
        </w:rPr>
        <w:t xml:space="preserve">　</w:t>
      </w:r>
      <w:r w:rsidRPr="0067406C">
        <w:rPr>
          <w:rFonts w:hint="eastAsia"/>
        </w:rPr>
        <w:t>斜入射に対する板ガラスの光学特性の計算方法</w:t>
      </w:r>
      <w:r>
        <w:rPr>
          <w:rFonts w:hint="eastAsia"/>
        </w:rPr>
        <w:t xml:space="preserve">　に記載の方法を実装する。</w:t>
      </w:r>
    </w:p>
    <w:p w14:paraId="7B0EB56C" w14:textId="77777777" w:rsidR="001A7B26" w:rsidRPr="00AE75A2" w:rsidRDefault="001A7B26" w:rsidP="001A7B26">
      <w:pPr>
        <w:pStyle w:val="8"/>
      </w:pPr>
      <w:r w:rsidRPr="00AE75A2">
        <w:rPr>
          <w:rFonts w:hint="eastAsia"/>
        </w:rPr>
        <w:t>単板と複層で式を分ける</w:t>
      </w:r>
    </w:p>
    <w:p w14:paraId="7E52DED3" w14:textId="77777777" w:rsidR="001A7B26" w:rsidRPr="00AE75A2" w:rsidRDefault="001A7B26" w:rsidP="001A7B26">
      <w:pPr>
        <w:pStyle w:val="8"/>
      </w:pPr>
      <w:r w:rsidRPr="00AE75A2">
        <w:rPr>
          <w:rFonts w:hint="eastAsia"/>
        </w:rPr>
        <w:t>付属部材からの（多重）反射などは考慮しない、従って、ガラスの枚数のみで決める</w:t>
      </w:r>
    </w:p>
    <w:p w14:paraId="4C3B48C0" w14:textId="77777777" w:rsidR="001A7B26" w:rsidRDefault="001A7B26" w:rsidP="001A7B26">
      <w:pPr>
        <w:pStyle w:val="8"/>
      </w:pPr>
      <w:r w:rsidRPr="00AE75A2">
        <w:rPr>
          <w:rFonts w:hint="eastAsia"/>
        </w:rPr>
        <w:t>熱線反射ガラス等の区別は（入射角特性の式においては）しない</w:t>
      </w:r>
    </w:p>
    <w:p w14:paraId="1962D095" w14:textId="3589D94E" w:rsidR="001A7B26" w:rsidRPr="00DE1766" w:rsidRDefault="001A7B26" w:rsidP="001A7B26">
      <w:pPr>
        <w:pStyle w:val="afa"/>
      </w:pPr>
      <w:r w:rsidRPr="0067406C">
        <w:t>JIS A2103-2014</w:t>
      </w:r>
      <w:r>
        <w:rPr>
          <w:rFonts w:hint="eastAsia"/>
        </w:rPr>
        <w:t>における入射角特性は入射角を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とすると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_Ref17121983 \h</w:instrText>
      </w:r>
      <w:r>
        <w:instrText xml:space="preserve"> </w:instrText>
      </w:r>
      <w:r>
        <w:fldChar w:fldCharType="separate"/>
      </w:r>
      <w:r w:rsidR="000C583B">
        <w:rPr>
          <w:rFonts w:hint="eastAsia"/>
        </w:rPr>
        <w:t>（</w:t>
      </w:r>
      <w:r w:rsidR="000C583B">
        <w:rPr>
          <w:noProof/>
        </w:rPr>
        <w:t>1</w:t>
      </w:r>
      <w:r w:rsidR="000C583B">
        <w:rPr>
          <w:rFonts w:hint="eastAsia"/>
        </w:rPr>
        <w:t>）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_Ref30007261 \h </w:instrText>
      </w:r>
      <w:r>
        <w:fldChar w:fldCharType="separate"/>
      </w:r>
      <w:r w:rsidR="000C583B">
        <w:rPr>
          <w:rFonts w:hint="eastAsia"/>
        </w:rPr>
        <w:t>（</w:t>
      </w:r>
      <w:r w:rsidR="000C583B">
        <w:rPr>
          <w:noProof/>
        </w:rPr>
        <w:t>2</w:t>
      </w:r>
      <w:r w:rsidR="000C583B">
        <w:rPr>
          <w:rFonts w:hint="eastAsia"/>
        </w:rPr>
        <w:t>）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_Ref17121984 \h</w:instrText>
      </w:r>
      <w:r>
        <w:instrText xml:space="preserve"> </w:instrText>
      </w:r>
      <w:r>
        <w:fldChar w:fldCharType="separate"/>
      </w:r>
      <w:r w:rsidR="000C583B">
        <w:rPr>
          <w:rFonts w:hint="eastAsia"/>
        </w:rPr>
        <w:t>（</w:t>
      </w:r>
      <w:r w:rsidR="000C583B">
        <w:rPr>
          <w:noProof/>
        </w:rPr>
        <w:t>5</w:t>
      </w:r>
      <w:r w:rsidR="000C583B">
        <w:rPr>
          <w:rFonts w:hint="eastAsia"/>
        </w:rPr>
        <w:t>）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_Ref30007285 \h </w:instrText>
      </w:r>
      <w:r>
        <w:fldChar w:fldCharType="separate"/>
      </w:r>
      <w:r w:rsidR="000C583B">
        <w:rPr>
          <w:rFonts w:hint="eastAsia"/>
        </w:rPr>
        <w:t>（</w:t>
      </w:r>
      <w:r w:rsidR="000C583B">
        <w:rPr>
          <w:noProof/>
        </w:rPr>
        <w:t>6</w:t>
      </w:r>
      <w:r w:rsidR="000C583B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式で求められる。</w:t>
      </w:r>
    </w:p>
    <w:tbl>
      <w:tblPr>
        <w:tblStyle w:val="aff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345"/>
        <w:gridCol w:w="1059"/>
      </w:tblGrid>
      <w:tr w:rsidR="001A7B26" w14:paraId="1A0ED621" w14:textId="77777777" w:rsidTr="00723A03">
        <w:tc>
          <w:tcPr>
            <w:tcW w:w="4347" w:type="dxa"/>
          </w:tcPr>
          <w:p w14:paraId="7EE8AE01" w14:textId="77777777" w:rsidR="001A7B26" w:rsidRPr="00D032DC" w:rsidRDefault="001A7B26" w:rsidP="00723A03">
            <w:pPr>
              <w:pStyle w:val="C0"/>
            </w:pPr>
            <w:r>
              <w:rPr>
                <w:rFonts w:hint="eastAsia"/>
              </w:rPr>
              <w:t>（単層の場合）</w:t>
            </w:r>
          </w:p>
        </w:tc>
        <w:tc>
          <w:tcPr>
            <w:tcW w:w="4345" w:type="dxa"/>
          </w:tcPr>
          <w:p w14:paraId="3F686050" w14:textId="77777777" w:rsidR="001A7B26" w:rsidRPr="00D032DC" w:rsidRDefault="001A7B26" w:rsidP="00723A03">
            <w:pPr>
              <w:pStyle w:val="affa"/>
            </w:pPr>
            <m:oMathPara>
              <m:oMath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D,i,k,n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N,i,k</m:t>
                    </m:r>
                  </m:sub>
                </m:sSub>
                <m:r>
                  <m:t>×</m:t>
                </m:r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n,i,k,n</m:t>
                    </m:r>
                  </m:sub>
                </m:sSub>
              </m:oMath>
            </m:oMathPara>
          </w:p>
        </w:tc>
        <w:tc>
          <w:tcPr>
            <w:tcW w:w="1059" w:type="dxa"/>
          </w:tcPr>
          <w:p w14:paraId="2243B1F5" w14:textId="0919D2BA" w:rsidR="001A7B26" w:rsidRDefault="001A7B26" w:rsidP="00723A03">
            <w:pPr>
              <w:pStyle w:val="afc"/>
              <w:ind w:firstLine="210"/>
            </w:pPr>
            <w:bookmarkStart w:id="1" w:name="_Ref17121983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C583B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"/>
          </w:p>
        </w:tc>
      </w:tr>
      <w:tr w:rsidR="001A7B26" w14:paraId="1E02AD0A" w14:textId="77777777" w:rsidTr="00723A03">
        <w:tc>
          <w:tcPr>
            <w:tcW w:w="4347" w:type="dxa"/>
          </w:tcPr>
          <w:p w14:paraId="46396676" w14:textId="77777777" w:rsidR="001A7B26" w:rsidRDefault="001A7B26" w:rsidP="00723A03">
            <w:pPr>
              <w:pStyle w:val="C0"/>
            </w:pPr>
            <w:r>
              <w:rPr>
                <w:rFonts w:hint="eastAsia"/>
              </w:rPr>
              <w:t>（複層の場合）</w:t>
            </w:r>
          </w:p>
        </w:tc>
        <w:tc>
          <w:tcPr>
            <w:tcW w:w="4345" w:type="dxa"/>
          </w:tcPr>
          <w:p w14:paraId="231C98BB" w14:textId="77777777" w:rsidR="001A7B26" w:rsidRDefault="001A7B26" w:rsidP="00723A03">
            <w:pPr>
              <w:pStyle w:val="affa"/>
            </w:pPr>
            <m:oMathPara>
              <m:oMath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D,i,k,n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N,i,k</m:t>
                    </m:r>
                  </m:sub>
                </m:sSub>
                <m:r>
                  <m:t>×</m:t>
                </m:r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n,i,k,n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1-</m:t>
                    </m:r>
                    <m:sSup>
                      <m:sSupPr>
                        <m:ctrlPr/>
                      </m:sSup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ρ</m:t>
                            </m:r>
                          </m:e>
                          <m:sub>
                            <m:r>
                              <m:t>n,i,k,n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59" w:type="dxa"/>
          </w:tcPr>
          <w:p w14:paraId="1B1C0BF0" w14:textId="2DA27035" w:rsidR="001A7B26" w:rsidRDefault="001A7B26" w:rsidP="00723A03">
            <w:pPr>
              <w:pStyle w:val="afc"/>
              <w:ind w:firstLine="210"/>
            </w:pPr>
            <w:bookmarkStart w:id="2" w:name="_Ref30007261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C583B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"/>
          </w:p>
        </w:tc>
      </w:tr>
      <w:tr w:rsidR="001A7B26" w14:paraId="644F750B" w14:textId="77777777" w:rsidTr="00723A03">
        <w:tc>
          <w:tcPr>
            <w:tcW w:w="8692" w:type="dxa"/>
            <w:gridSpan w:val="2"/>
            <w:vAlign w:val="center"/>
          </w:tcPr>
          <w:p w14:paraId="67B50A9C" w14:textId="77777777" w:rsidR="001A7B26" w:rsidRPr="00D032DC" w:rsidRDefault="001A7B26" w:rsidP="00723A03">
            <w:pPr>
              <w:pStyle w:val="affa"/>
            </w:pPr>
            <m:oMathPara>
              <m:oMath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n,i,k,n</m:t>
                    </m:r>
                  </m:sub>
                </m:sSub>
                <m:r>
                  <m:t>=0.000×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+2.552×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+1.364×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-11.388×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+13.617×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-5.146×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059" w:type="dxa"/>
            <w:vAlign w:val="center"/>
          </w:tcPr>
          <w:p w14:paraId="2764E26F" w14:textId="454E1E48" w:rsidR="001A7B26" w:rsidRDefault="001A7B26" w:rsidP="00723A03">
            <w:pPr>
              <w:pStyle w:val="afc"/>
              <w:ind w:firstLine="210"/>
            </w:pPr>
            <w:bookmarkStart w:id="3" w:name="_Ref473708900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C583B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"/>
          </w:p>
        </w:tc>
      </w:tr>
      <w:tr w:rsidR="001A7B26" w14:paraId="03E780CD" w14:textId="77777777" w:rsidTr="00723A03">
        <w:tc>
          <w:tcPr>
            <w:tcW w:w="8692" w:type="dxa"/>
            <w:gridSpan w:val="2"/>
            <w:vAlign w:val="center"/>
          </w:tcPr>
          <w:p w14:paraId="574A1417" w14:textId="77777777" w:rsidR="001A7B26" w:rsidRDefault="001A7B26" w:rsidP="00723A03">
            <w:pPr>
              <w:pStyle w:val="affa"/>
            </w:pPr>
            <m:oMathPara>
              <m:oMath>
                <m:sSub>
                  <m:sSubPr>
                    <m:ctrlPr/>
                  </m:sSubPr>
                  <m:e>
                    <m:r>
                      <m:t>ρ</m:t>
                    </m:r>
                  </m:e>
                  <m:sub>
                    <m:r>
                      <m:t>n,i,k,n</m:t>
                    </m:r>
                  </m:sub>
                </m:sSub>
                <m:r>
                  <m:t>=1.000×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-5.189×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+12.392×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-16.593×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+11.851×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  <m:r>
                  <m:t>-3.461×</m:t>
                </m:r>
                <m:func>
                  <m:funcPr>
                    <m:ctrlPr/>
                  </m:funcPr>
                  <m:fName>
                    <m:sSup>
                      <m:sSupPr>
                        <m:ctrlPr/>
                      </m:sSupPr>
                      <m:e>
                        <m:r>
                          <m:t>cos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fName>
                  <m:e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i,k,n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059" w:type="dxa"/>
            <w:vAlign w:val="center"/>
          </w:tcPr>
          <w:p w14:paraId="4FF1A22D" w14:textId="44592EA2" w:rsidR="001A7B26" w:rsidRDefault="001A7B26" w:rsidP="00723A03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C583B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1A7B26" w14:paraId="59BDE4D7" w14:textId="77777777" w:rsidTr="00723A03">
        <w:tc>
          <w:tcPr>
            <w:tcW w:w="4347" w:type="dxa"/>
          </w:tcPr>
          <w:p w14:paraId="6344F3E4" w14:textId="77777777" w:rsidR="001A7B26" w:rsidRPr="00D032DC" w:rsidRDefault="001A7B26" w:rsidP="00723A03">
            <w:pPr>
              <w:pStyle w:val="C0"/>
            </w:pPr>
            <w:r>
              <w:rPr>
                <w:rFonts w:hint="eastAsia"/>
              </w:rPr>
              <w:t>（単層の場合）</w:t>
            </w:r>
          </w:p>
        </w:tc>
        <w:tc>
          <w:tcPr>
            <w:tcW w:w="4345" w:type="dxa"/>
            <w:vAlign w:val="center"/>
          </w:tcPr>
          <w:p w14:paraId="674D4D3D" w14:textId="77777777" w:rsidR="001A7B26" w:rsidRPr="00D032DC" w:rsidRDefault="001A7B26" w:rsidP="00723A03">
            <w:pPr>
              <w:pStyle w:val="affa"/>
            </w:pPr>
            <m:oMathPara>
              <m:oMath>
                <m:sSub>
                  <m:sSubPr>
                    <m:ctrlPr/>
                  </m:sSubPr>
                  <m:e>
                    <m:r>
                      <w:rPr>
                        <w:rFonts w:cs="Cambria Math"/>
                      </w:rPr>
                      <m:t>τ</m:t>
                    </m:r>
                  </m:e>
                  <m:sub>
                    <m:r>
                      <m:t>d,i,k,n</m:t>
                    </m:r>
                  </m:sub>
                </m:sSub>
                <m:r>
                  <m:t>=0.900⋅</m:t>
                </m:r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N,i,k</m:t>
                    </m:r>
                  </m:sub>
                </m:sSub>
              </m:oMath>
            </m:oMathPara>
          </w:p>
        </w:tc>
        <w:tc>
          <w:tcPr>
            <w:tcW w:w="1059" w:type="dxa"/>
            <w:vAlign w:val="center"/>
          </w:tcPr>
          <w:p w14:paraId="1B990E14" w14:textId="10EF00E3" w:rsidR="001A7B26" w:rsidRDefault="001A7B26" w:rsidP="00723A03">
            <w:pPr>
              <w:pStyle w:val="afc"/>
              <w:ind w:firstLine="210"/>
            </w:pPr>
            <w:bookmarkStart w:id="4" w:name="_Ref17121984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C583B"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4"/>
          </w:p>
        </w:tc>
      </w:tr>
      <w:tr w:rsidR="001A7B26" w14:paraId="3C651F44" w14:textId="77777777" w:rsidTr="00723A03">
        <w:tc>
          <w:tcPr>
            <w:tcW w:w="4347" w:type="dxa"/>
          </w:tcPr>
          <w:p w14:paraId="6500E232" w14:textId="77777777" w:rsidR="001A7B26" w:rsidRDefault="001A7B26" w:rsidP="00723A03">
            <w:pPr>
              <w:pStyle w:val="C0"/>
            </w:pPr>
            <w:r>
              <w:rPr>
                <w:rFonts w:hint="eastAsia"/>
              </w:rPr>
              <w:t>（複層の場合）</w:t>
            </w:r>
          </w:p>
        </w:tc>
        <w:tc>
          <w:tcPr>
            <w:tcW w:w="4345" w:type="dxa"/>
            <w:vAlign w:val="center"/>
          </w:tcPr>
          <w:p w14:paraId="6DF28D0D" w14:textId="77777777" w:rsidR="001A7B26" w:rsidRDefault="001A7B26" w:rsidP="00723A03">
            <w:pPr>
              <w:pStyle w:val="affa"/>
            </w:pPr>
            <m:oMathPara>
              <m:oMath>
                <m:sSub>
                  <m:sSubPr>
                    <m:ctrlPr/>
                  </m:sSubPr>
                  <m:e>
                    <m:r>
                      <w:rPr>
                        <w:rFonts w:cs="Cambria Math"/>
                      </w:rPr>
                      <m:t>τ</m:t>
                    </m:r>
                  </m:e>
                  <m:sub>
                    <m:r>
                      <m:t>d,i,k,n</m:t>
                    </m:r>
                  </m:sub>
                </m:sSub>
                <m:r>
                  <m:t>=0.832⋅</m:t>
                </m:r>
                <m:sSub>
                  <m:sSubPr>
                    <m:ctrlPr/>
                  </m:sSubPr>
                  <m:e>
                    <m:r>
                      <m:t>τ</m:t>
                    </m:r>
                  </m:e>
                  <m:sub>
                    <m:r>
                      <m:t>N,i,k</m:t>
                    </m:r>
                  </m:sub>
                </m:sSub>
              </m:oMath>
            </m:oMathPara>
          </w:p>
        </w:tc>
        <w:tc>
          <w:tcPr>
            <w:tcW w:w="1059" w:type="dxa"/>
            <w:vAlign w:val="center"/>
          </w:tcPr>
          <w:p w14:paraId="0D1A135A" w14:textId="16E52EE2" w:rsidR="001A7B26" w:rsidRDefault="001A7B26" w:rsidP="00723A03">
            <w:pPr>
              <w:pStyle w:val="afc"/>
              <w:ind w:firstLine="210"/>
            </w:pPr>
            <w:bookmarkStart w:id="5" w:name="_Ref30007285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C583B"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5"/>
          </w:p>
        </w:tc>
      </w:tr>
    </w:tbl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851"/>
        <w:gridCol w:w="7047"/>
      </w:tblGrid>
      <w:tr w:rsidR="001A7B26" w:rsidRPr="00FC3AEC" w14:paraId="0289C97A" w14:textId="77777777" w:rsidTr="00723A03">
        <w:trPr>
          <w:cantSplit/>
          <w:jc w:val="right"/>
        </w:trPr>
        <w:tc>
          <w:tcPr>
            <w:tcW w:w="850" w:type="dxa"/>
            <w:hideMark/>
          </w:tcPr>
          <w:p w14:paraId="0E6D36B1" w14:textId="77777777" w:rsidR="001A7B26" w:rsidRPr="00FC3AEC" w:rsidRDefault="001A7B26" w:rsidP="00723A03">
            <w:pPr>
              <w:rPr>
                <w:color w:val="000000" w:themeColor="text1"/>
              </w:rPr>
            </w:pPr>
            <w:r w:rsidRPr="00FC3AEC">
              <w:rPr>
                <w:rFonts w:hint="eastAsia"/>
                <w:color w:val="000000" w:themeColor="text1"/>
              </w:rPr>
              <w:t>ここで、</w:t>
            </w:r>
          </w:p>
        </w:tc>
        <w:tc>
          <w:tcPr>
            <w:tcW w:w="851" w:type="dxa"/>
            <w:hideMark/>
          </w:tcPr>
          <w:p w14:paraId="0ED7E69E" w14:textId="77777777" w:rsidR="001A7B26" w:rsidRPr="00FC3AEC" w:rsidRDefault="001A7B26" w:rsidP="00723A03">
            <w:pPr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D,i,k,n</m:t>
                  </m:r>
                </m:sub>
              </m:sSub>
            </m:oMath>
            <w:r w:rsidRPr="00FC3AEC">
              <w:rPr>
                <w:rFonts w:hint="eastAsia"/>
                <w:color w:val="000000" w:themeColor="text1"/>
              </w:rPr>
              <w:t>：</w:t>
            </w:r>
          </w:p>
        </w:tc>
        <w:tc>
          <w:tcPr>
            <w:tcW w:w="7047" w:type="dxa"/>
            <w:hideMark/>
          </w:tcPr>
          <w:p w14:paraId="0BB6E55D" w14:textId="77777777" w:rsidR="001A7B26" w:rsidRPr="00FC3AEC" w:rsidRDefault="001A7B26" w:rsidP="00723A03">
            <w:pPr>
              <w:rPr>
                <w:color w:val="000000" w:themeColor="text1"/>
              </w:rPr>
            </w:pPr>
            <w:proofErr w:type="spellStart"/>
            <w:r>
              <w:rPr>
                <w:rStyle w:val="af3"/>
              </w:rPr>
              <w:t>i</w:t>
            </w:r>
            <w:proofErr w:type="spellEnd"/>
            <w:r w:rsidRPr="00A96530">
              <w:t>室</w:t>
            </w:r>
            <w:r>
              <w:rPr>
                <w:rFonts w:hint="eastAsia"/>
              </w:rPr>
              <w:t>の部位</w:t>
            </w:r>
            <w:r w:rsidRPr="0013329D">
              <w:rPr>
                <w:rStyle w:val="affb"/>
              </w:rPr>
              <w:t>k</w:t>
            </w:r>
            <w:r>
              <w:rPr>
                <w:rFonts w:hint="eastAsia"/>
              </w:rPr>
              <w:t>における</w:t>
            </w:r>
            <w:r w:rsidRPr="008A18CE">
              <w:rPr>
                <w:rStyle w:val="af3"/>
                <w:rFonts w:hint="eastAsia"/>
              </w:rPr>
              <w:t>n</w:t>
            </w:r>
            <w:r>
              <w:rPr>
                <w:rFonts w:hint="eastAsia"/>
              </w:rPr>
              <w:t>時点の直達日射に対する日射透過率</w:t>
            </w:r>
          </w:p>
        </w:tc>
      </w:tr>
      <w:tr w:rsidR="001A7B26" w:rsidRPr="00FC3AEC" w14:paraId="621AE18F" w14:textId="77777777" w:rsidTr="00723A03">
        <w:trPr>
          <w:cantSplit/>
          <w:jc w:val="right"/>
        </w:trPr>
        <w:tc>
          <w:tcPr>
            <w:tcW w:w="850" w:type="dxa"/>
          </w:tcPr>
          <w:p w14:paraId="7B02F2A2" w14:textId="77777777" w:rsidR="001A7B26" w:rsidRPr="00FC3AEC" w:rsidRDefault="001A7B26" w:rsidP="00723A03">
            <w:pPr>
              <w:rPr>
                <w:color w:val="000000" w:themeColor="text1"/>
              </w:rPr>
            </w:pPr>
          </w:p>
        </w:tc>
        <w:tc>
          <w:tcPr>
            <w:tcW w:w="851" w:type="dxa"/>
            <w:hideMark/>
          </w:tcPr>
          <w:p w14:paraId="3B231C3A" w14:textId="77777777" w:rsidR="001A7B26" w:rsidRPr="00FC3AEC" w:rsidRDefault="001A7B26" w:rsidP="00723A03">
            <w:pPr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N,i,k</m:t>
                  </m:r>
                </m:sub>
              </m:sSub>
            </m:oMath>
            <w:r w:rsidRPr="00FC3AEC">
              <w:rPr>
                <w:rFonts w:hint="eastAsia"/>
                <w:color w:val="000000" w:themeColor="text1"/>
              </w:rPr>
              <w:t>：</w:t>
            </w:r>
          </w:p>
        </w:tc>
        <w:tc>
          <w:tcPr>
            <w:tcW w:w="7047" w:type="dxa"/>
            <w:hideMark/>
          </w:tcPr>
          <w:p w14:paraId="4CFEB2B6" w14:textId="77777777" w:rsidR="001A7B26" w:rsidRPr="00FC3AEC" w:rsidRDefault="001A7B26" w:rsidP="00723A03">
            <w:pPr>
              <w:rPr>
                <w:color w:val="000000" w:themeColor="text1"/>
              </w:rPr>
            </w:pPr>
            <w:proofErr w:type="spellStart"/>
            <w:r>
              <w:rPr>
                <w:rStyle w:val="af3"/>
              </w:rPr>
              <w:t>i</w:t>
            </w:r>
            <w:proofErr w:type="spellEnd"/>
            <w:r w:rsidRPr="00A96530">
              <w:t>室</w:t>
            </w:r>
            <w:r>
              <w:rPr>
                <w:rFonts w:hint="eastAsia"/>
              </w:rPr>
              <w:t>の部位</w:t>
            </w:r>
            <w:r w:rsidRPr="0013329D">
              <w:rPr>
                <w:rStyle w:val="affb"/>
              </w:rPr>
              <w:t>k</w:t>
            </w:r>
            <w:r>
              <w:rPr>
                <w:rFonts w:hint="eastAsia"/>
              </w:rPr>
              <w:t>における垂直入射時の日射透過率</w:t>
            </w:r>
          </w:p>
        </w:tc>
      </w:tr>
      <w:tr w:rsidR="001A7B26" w14:paraId="587DC3F3" w14:textId="77777777" w:rsidTr="00723A03">
        <w:trPr>
          <w:cantSplit/>
          <w:jc w:val="right"/>
        </w:trPr>
        <w:tc>
          <w:tcPr>
            <w:tcW w:w="850" w:type="dxa"/>
          </w:tcPr>
          <w:p w14:paraId="3C4C04F0" w14:textId="77777777" w:rsidR="001A7B26" w:rsidRPr="00FC3AEC" w:rsidRDefault="001A7B26" w:rsidP="00723A03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B664ACC" w14:textId="77777777" w:rsidR="001A7B26" w:rsidRPr="00FC3AEC" w:rsidRDefault="001A7B26" w:rsidP="00723A03">
            <w:pPr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n,i,k,n</m:t>
                  </m:r>
                </m:sub>
              </m:sSub>
            </m:oMath>
            <w:r>
              <w:rPr>
                <w:rFonts w:hint="eastAsia"/>
                <w:color w:val="000000" w:themeColor="text1"/>
              </w:rPr>
              <w:t>：</w:t>
            </w:r>
          </w:p>
        </w:tc>
        <w:tc>
          <w:tcPr>
            <w:tcW w:w="7047" w:type="dxa"/>
          </w:tcPr>
          <w:p w14:paraId="2E504542" w14:textId="77777777" w:rsidR="001A7B26" w:rsidRDefault="001A7B26" w:rsidP="00723A03">
            <w:pPr>
              <w:rPr>
                <w:color w:val="000000" w:themeColor="text1"/>
              </w:rPr>
            </w:pPr>
            <w:proofErr w:type="spellStart"/>
            <w:r>
              <w:rPr>
                <w:rStyle w:val="af3"/>
              </w:rPr>
              <w:t>i</w:t>
            </w:r>
            <w:proofErr w:type="spellEnd"/>
            <w:r w:rsidRPr="00A96530">
              <w:t>室</w:t>
            </w:r>
            <w:r>
              <w:rPr>
                <w:rFonts w:hint="eastAsia"/>
              </w:rPr>
              <w:t>の部位</w:t>
            </w:r>
            <w:r w:rsidRPr="0013329D">
              <w:rPr>
                <w:rStyle w:val="affb"/>
              </w:rPr>
              <w:t>k</w:t>
            </w:r>
            <w:r>
              <w:rPr>
                <w:rFonts w:hint="eastAsia"/>
              </w:rPr>
              <w:t>における</w:t>
            </w:r>
            <w:r w:rsidRPr="008A18CE">
              <w:rPr>
                <w:rStyle w:val="af3"/>
                <w:rFonts w:hint="eastAsia"/>
              </w:rPr>
              <w:t>n</w:t>
            </w:r>
            <w:r>
              <w:rPr>
                <w:rFonts w:hint="eastAsia"/>
              </w:rPr>
              <w:t>時点の直達日射に対する日射吸収率</w:t>
            </w:r>
          </w:p>
        </w:tc>
      </w:tr>
      <w:tr w:rsidR="001A7B26" w14:paraId="16C641D3" w14:textId="77777777" w:rsidTr="00723A03">
        <w:trPr>
          <w:cantSplit/>
          <w:jc w:val="right"/>
        </w:trPr>
        <w:tc>
          <w:tcPr>
            <w:tcW w:w="850" w:type="dxa"/>
          </w:tcPr>
          <w:p w14:paraId="6BD32C59" w14:textId="77777777" w:rsidR="001A7B26" w:rsidRPr="00FC3AEC" w:rsidRDefault="001A7B26" w:rsidP="00723A03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F5941D4" w14:textId="77777777" w:rsidR="001A7B26" w:rsidRDefault="001A7B26" w:rsidP="00723A03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d,i,k,n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</w:tcPr>
          <w:p w14:paraId="3E3F2048" w14:textId="77777777" w:rsidR="001A7B26" w:rsidRDefault="001A7B26" w:rsidP="00723A03">
            <w:pPr>
              <w:rPr>
                <w:rStyle w:val="af3"/>
              </w:rPr>
            </w:pPr>
            <w:proofErr w:type="spellStart"/>
            <w:r>
              <w:rPr>
                <w:rStyle w:val="af3"/>
              </w:rPr>
              <w:t>i</w:t>
            </w:r>
            <w:proofErr w:type="spellEnd"/>
            <w:r w:rsidRPr="00A96530">
              <w:t>室</w:t>
            </w:r>
            <w:r>
              <w:rPr>
                <w:rFonts w:hint="eastAsia"/>
              </w:rPr>
              <w:t>の部位</w:t>
            </w:r>
            <w:r w:rsidRPr="0013329D">
              <w:rPr>
                <w:rStyle w:val="affb"/>
              </w:rPr>
              <w:t>k</w:t>
            </w:r>
            <w:r>
              <w:rPr>
                <w:rFonts w:hint="eastAsia"/>
              </w:rPr>
              <w:t>における</w:t>
            </w:r>
            <w:r w:rsidRPr="008A18CE">
              <w:rPr>
                <w:rStyle w:val="af3"/>
                <w:rFonts w:hint="eastAsia"/>
              </w:rPr>
              <w:t>n</w:t>
            </w:r>
            <w:r>
              <w:rPr>
                <w:rFonts w:hint="eastAsia"/>
              </w:rPr>
              <w:t>時点の拡散日射に対する日射透過率</w:t>
            </w:r>
          </w:p>
        </w:tc>
      </w:tr>
    </w:tbl>
    <w:p w14:paraId="4ED8030F" w14:textId="77777777" w:rsidR="001A7B26" w:rsidRPr="00FC3AEC" w:rsidRDefault="001A7B26" w:rsidP="001A7B26">
      <w:pPr>
        <w:rPr>
          <w:color w:val="000000" w:themeColor="text1"/>
        </w:rPr>
      </w:pPr>
    </w:p>
    <w:p w14:paraId="3A948631" w14:textId="77777777" w:rsidR="00D9146A" w:rsidRPr="001A7B26" w:rsidRDefault="00D9146A"/>
    <w:sectPr w:rsidR="00D9146A" w:rsidRPr="001A7B26" w:rsidSect="001A7B2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.8pt;height:9.8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26"/>
    <w:rsid w:val="00072125"/>
    <w:rsid w:val="00094781"/>
    <w:rsid w:val="000A3FFE"/>
    <w:rsid w:val="000C583B"/>
    <w:rsid w:val="00146C62"/>
    <w:rsid w:val="00184A16"/>
    <w:rsid w:val="001A7B26"/>
    <w:rsid w:val="001E0420"/>
    <w:rsid w:val="001E45D3"/>
    <w:rsid w:val="002261E4"/>
    <w:rsid w:val="00255B28"/>
    <w:rsid w:val="002F46E4"/>
    <w:rsid w:val="002F5FB9"/>
    <w:rsid w:val="00414430"/>
    <w:rsid w:val="0044515E"/>
    <w:rsid w:val="004C33EA"/>
    <w:rsid w:val="00614EDC"/>
    <w:rsid w:val="006203A2"/>
    <w:rsid w:val="00624776"/>
    <w:rsid w:val="0065306F"/>
    <w:rsid w:val="006772F5"/>
    <w:rsid w:val="00697C8E"/>
    <w:rsid w:val="006C42A8"/>
    <w:rsid w:val="00720D96"/>
    <w:rsid w:val="00793F9A"/>
    <w:rsid w:val="007A290A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C366D4"/>
    <w:rsid w:val="00D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F8E97"/>
  <w15:chartTrackingRefBased/>
  <w15:docId w15:val="{9508F884-0723-481F-9680-88EFE0F7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A7B26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6">
    <w:name w:val="heading 6"/>
    <w:basedOn w:val="a1"/>
    <w:next w:val="a1"/>
    <w:link w:val="60"/>
    <w:autoRedefine/>
    <w:uiPriority w:val="9"/>
    <w:unhideWhenUsed/>
    <w:qFormat/>
    <w:rsid w:val="001A7B26"/>
    <w:pPr>
      <w:keepNext/>
      <w:ind w:leftChars="20" w:left="426" w:hanging="386"/>
      <w:outlineLvl w:val="5"/>
    </w:pPr>
    <w:rPr>
      <w:b/>
      <w:bCs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  <w:style w:type="character" w:customStyle="1" w:styleId="60">
    <w:name w:val="見出し 6 (文字)"/>
    <w:basedOn w:val="a2"/>
    <w:link w:val="6"/>
    <w:uiPriority w:val="9"/>
    <w:rsid w:val="001A7B26"/>
    <w:rPr>
      <w:rFonts w:ascii="Times New Roman" w:eastAsia="ＭＳ Ｐ明朝" w:hAnsi="Times New Roman" w:cs="Times New Roman"/>
      <w:b/>
      <w:bCs/>
      <w:sz w:val="20"/>
      <w:szCs w:val="24"/>
    </w:rPr>
  </w:style>
  <w:style w:type="paragraph" w:customStyle="1" w:styleId="affa">
    <w:name w:val="数式"/>
    <w:basedOn w:val="afa"/>
    <w:autoRedefine/>
    <w:qFormat/>
    <w:rsid w:val="001A7B26"/>
    <w:pPr>
      <w:ind w:firstLineChars="0" w:firstLine="0"/>
      <w:jc w:val="center"/>
    </w:pPr>
    <w:rPr>
      <w:rFonts w:ascii="Cambria Math" w:hAnsi="Cambria Math"/>
      <w:i/>
      <w:sz w:val="20"/>
    </w:rPr>
  </w:style>
  <w:style w:type="character" w:styleId="affb">
    <w:name w:val="Subtle Emphasis"/>
    <w:basedOn w:val="a2"/>
    <w:uiPriority w:val="19"/>
    <w:qFormat/>
    <w:rsid w:val="001A7B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2</cp:revision>
  <dcterms:created xsi:type="dcterms:W3CDTF">2020-12-19T03:51:00Z</dcterms:created>
  <dcterms:modified xsi:type="dcterms:W3CDTF">2020-12-19T03:52:00Z</dcterms:modified>
</cp:coreProperties>
</file>