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113" w:name="_GoBack"/>
            <w:bookmarkEnd w:id="113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项目测试文档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0.5.0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目录</w:t>
      </w:r>
      <w:r>
        <w:rPr>
          <w:rStyle w:val="64"/>
          <w:rFonts w:asciiTheme="minorHAnsi" w:hAnsiTheme="minorHAnsi"/>
          <w:b w:val="0"/>
        </w:rPr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"_Toc56721227"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测试计划</w:t>
      </w:r>
      <w:r>
        <w:tab/>
      </w:r>
      <w:r>
        <w:fldChar w:fldCharType="begin"/>
      </w:r>
      <w:r>
        <w:instrText xml:space="preserve"> PAGEREF _Toc56721227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"_Toc56721228"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测试策略与目标</w:t>
      </w:r>
      <w:r>
        <w:tab/>
      </w:r>
      <w:r>
        <w:fldChar w:fldCharType="begin"/>
      </w:r>
      <w:r>
        <w:instrText xml:space="preserve"> PAGEREF _Toc56721228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"_Toc56721229"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测试范围</w:t>
      </w:r>
      <w:r>
        <w:tab/>
      </w:r>
      <w:r>
        <w:fldChar w:fldCharType="begin"/>
      </w:r>
      <w:r>
        <w:instrText xml:space="preserve"> PAGEREF _Toc56721229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"_Toc56721230"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测试环境</w:t>
      </w:r>
      <w:r>
        <w:tab/>
      </w:r>
      <w:r>
        <w:fldChar w:fldCharType="begin"/>
      </w:r>
      <w:r>
        <w:instrText xml:space="preserve"> PAGEREF _Toc56721230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"_Toc56721231"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单元测试</w:t>
      </w:r>
      <w:r>
        <w:tab/>
      </w:r>
      <w:r>
        <w:fldChar w:fldCharType="begin"/>
      </w:r>
      <w:r>
        <w:instrText xml:space="preserve"> PAGEREF _Toc56721231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2.1</w:t>
        <w:tab/>
        <w:t>功能模块覆盖矩阵</w:t>
        <w:tab/>
        <w:t>2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"_Toc56721233" </w:instrText>
      </w:r>
      <w:r>
        <w:fldChar w:fldCharType="separate"/>
      </w:r>
      <w:r>
        <w:rPr>
          <w:rStyle w:val="63"/>
          <w:rFonts w:cs="Times New Roman"/>
        </w:rPr>
        <w:t>2.1.1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"_Toc56721234" </w:instrText>
      </w:r>
      <w:r>
        <w:fldChar w:fldCharType="separate"/>
      </w:r>
      <w:r>
        <w:rPr>
          <w:rStyle w:val="63"/>
          <w:rFonts w:cs="Times New Roman"/>
        </w:rPr>
        <w:t>2.1.2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"_Toc56721235" </w:instrText>
      </w:r>
      <w:r>
        <w:fldChar w:fldCharType="separate"/>
      </w:r>
      <w:r>
        <w:rPr>
          <w:rStyle w:val="63"/>
          <w:rFonts w:cs="Times New Roman"/>
        </w:rPr>
        <w:t>2.1.3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_Toc56721235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2.2</w:t>
        <w:tab/>
        <w:t>AI 对话与主链编排</w:t>
        <w:tab/>
        <w:t>2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"_Toc56721237"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功能测试</w:t>
      </w:r>
      <w:r>
        <w:tab/>
      </w:r>
      <w:r>
        <w:fldChar w:fldCharType="begin"/>
      </w:r>
      <w:r>
        <w:instrText xml:space="preserve"> PAGEREF _Toc56721237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3.1</w:t>
        <w:tab/>
        <w:t>功能模块覆盖矩阵</w:t>
        <w:tab/>
        <w:t>3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"_Toc56721239" </w:instrText>
      </w:r>
      <w:r>
        <w:fldChar w:fldCharType="separate"/>
      </w:r>
      <w:r>
        <w:rPr>
          <w:rStyle w:val="63"/>
          <w:rFonts w:cs="Times New Roman"/>
        </w:rPr>
        <w:t>3.1.1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"_Toc56721240" </w:instrText>
      </w:r>
      <w:r>
        <w:fldChar w:fldCharType="separate"/>
      </w:r>
      <w:r>
        <w:rPr>
          <w:rStyle w:val="63"/>
          <w:rFonts w:cs="Times New Roman"/>
        </w:rPr>
        <w:t>3.1.2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"_Toc56721241" </w:instrText>
      </w:r>
      <w:r>
        <w:fldChar w:fldCharType="separate"/>
      </w:r>
      <w:r>
        <w:rPr>
          <w:rStyle w:val="63"/>
          <w:rFonts w:cs="Times New Roman"/>
        </w:rPr>
        <w:t>3.1.3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3.2</w:t>
        <w:tab/>
        <w:t>AI 对话与主链编排</w:t>
        <w:tab/>
        <w:t>3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"_Toc56721243"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系统测试</w:t>
      </w:r>
      <w:r>
        <w:tab/>
      </w:r>
      <w:r>
        <w:fldChar w:fldCharType="begin"/>
      </w:r>
      <w:r>
        <w:instrText xml:space="preserve"> PAGEREF _Toc56721243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4.2</w:t>
        <w:tab/>
        <w:t>性能测试</w:t>
        <w:tab/>
        <w:t>4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"_Toc56721245" </w:instrText>
      </w:r>
      <w:r>
        <w:fldChar w:fldCharType="separate"/>
      </w:r>
      <w:r>
        <w:rPr>
          <w:rStyle w:val="63"/>
          <w:rFonts w:cs="Times New Roman"/>
        </w:rPr>
        <w:t>4.1.1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"_Toc56721246" </w:instrText>
      </w:r>
      <w:r>
        <w:fldChar w:fldCharType="separate"/>
      </w:r>
      <w:r>
        <w:rPr>
          <w:rStyle w:val="63"/>
          <w:rFonts w:cs="Times New Roman"/>
        </w:rPr>
        <w:t>4.1.2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"_Toc56721247" </w:instrText>
      </w:r>
      <w:r>
        <w:fldChar w:fldCharType="separate"/>
      </w:r>
      <w:r>
        <w:rPr>
          <w:rStyle w:val="63"/>
          <w:rFonts w:cs="Times New Roman"/>
        </w:rPr>
        <w:t>4.1.3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r>
              <w:rPr>
                <w:rStyle w:val="64"/>
                <w:rFonts w:asciiTheme="minorHAnsi" w:hAnsiTheme="minorHAnsi" w:eastAsiaTheme="minorEastAsia"/>
              </w:rPr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补全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重构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0.4.0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章节补全、表格渲染修正、语言润色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0.5.0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按总决赛标准重构，恢复并增强0.4强内容，China-first打磨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21227"/>
      <w:bookmarkStart w:id="1" w:name="_Toc56711384"/>
      <w:bookmarkStart w:id="2" w:name="_Toc56710946"/>
      <w:bookmarkStart w:id="3" w:name="_Toc56710839"/>
      <w:bookmarkStart w:id="4" w:name="_Toc56711137"/>
      <w:bookmarkStart w:id="5" w:name="_Toc331243603"/>
      <w:bookmarkStart w:id="6" w:name="_Toc331238769"/>
      <w:bookmarkStart w:id="7" w:name="_Toc331238830"/>
      <w:bookmarkStart w:id="8" w:name="_Toc331545160"/>
      <w:bookmarkStart w:id="9" w:name="_Toc331243703"/>
      <w:bookmarkStart w:id="10" w:name="_Toc331243782"/>
      <w:bookmarkStart w:id="11" w:name="_Toc331243882"/>
      <w:r>
        <w:t>测试</w:t>
      </w:r>
      <w:r>
        <w:rPr>
          <w:rFonts w:hint="eastAsia"/>
        </w:rPr>
        <w:t>计划</w:t>
      </w:r>
      <w:bookmarkEnd w:id="0"/>
      <w:bookmarkEnd w:id="1"/>
      <w:bookmarkEnd w:id="2"/>
      <w:bookmarkEnd w:id="3"/>
      <w:bookmarkEnd w:id="4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</w:p>
    <w:p>
      <w:pPr>
        <w:pStyle w:val="4"/>
      </w:pPr>
      <w:bookmarkStart w:id="12" w:name="_Toc56711385"/>
      <w:bookmarkStart w:id="13" w:name="_Toc56721228"/>
      <w:bookmarkStart w:id="14" w:name="_Toc56710947"/>
      <w:bookmarkStart w:id="15" w:name="_Toc56710840"/>
      <w:bookmarkStart w:id="16" w:name="_Toc56711138"/>
      <w:r>
        <w:rPr>
          <w:rFonts w:hint="eastAsia"/>
        </w:rPr>
        <w:t>测试策略与目标</w:t>
      </w:r>
      <w:bookmarkEnd w:id="12"/>
      <w:bookmarkEnd w:id="13"/>
      <w:bookmarkEnd w:id="14"/>
      <w:bookmarkEnd w:id="15"/>
      <w:bookmarkEnd w:id="1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星火采用“单元测试 + 功能测试 + 系统测试 + benchmark + 工程闸门 + 人工验收”的组合测试策略。测试目标不是证明某一段代码可以运行，而是证明总决赛范围内的全部 10 个功能模块都具备可说明、可验证、可回归的质量基础。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本轮测试策略强调以下五点：</w:t>
      </w:r>
    </w:p>
    <w:p>
      <w:pPr>
        <w:pStyle w:val="4"/>
      </w:pPr>
      <w:bookmarkStart w:id="17" w:name="_Toc56721229"/>
      <w:bookmarkStart w:id="18" w:name="_Toc56711386"/>
      <w:bookmarkStart w:id="19" w:name="_Toc56711139"/>
      <w:bookmarkStart w:id="20" w:name="_Toc56710841"/>
      <w:bookmarkStart w:id="21" w:name="_Toc56710948"/>
      <w:r>
        <w:rPr>
          <w:rFonts w:hint="eastAsia"/>
        </w:rPr>
        <w:t>测试范围</w:t>
      </w:r>
      <w:bookmarkEnd w:id="17"/>
      <w:bookmarkEnd w:id="18"/>
      <w:bookmarkEnd w:id="19"/>
      <w:bookmarkEnd w:id="20"/>
      <w:bookmarkEnd w:id="2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pStyle w:val="4"/>
      </w:pPr>
      <w:bookmarkStart w:id="22" w:name="_Toc56711140"/>
      <w:bookmarkStart w:id="23" w:name="_Toc56711387"/>
      <w:bookmarkStart w:id="24" w:name="_Toc56710842"/>
      <w:bookmarkStart w:id="25" w:name="_Toc56721230"/>
      <w:bookmarkStart w:id="26" w:name="_Toc56710949"/>
      <w:r>
        <w:rPr>
          <w:rFonts w:hint="eastAsia"/>
        </w:rPr>
        <w:t>测试环境</w:t>
      </w:r>
      <w:bookmarkEnd w:id="22"/>
      <w:bookmarkEnd w:id="23"/>
      <w:bookmarkEnd w:id="24"/>
      <w:bookmarkEnd w:id="25"/>
      <w:bookmarkEnd w:id="2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bookmarkStart w:id="27" w:name="_Toc56711141"/>
      <w:bookmarkStart w:id="28" w:name="_Toc56710950"/>
      <w:bookmarkStart w:id="29" w:name="_Toc56721231"/>
      <w:bookmarkStart w:id="30" w:name="_Toc56710843"/>
      <w:bookmarkStart w:id="31" w:name="_Toc56711388"/>
      <w:r>
        <w:rPr>
          <w:rFonts w:hint="eastAsia"/>
        </w:rPr>
        <w:t>单元测试</w:t>
      </w:r>
      <w:bookmarkEnd w:id="27"/>
      <w:bookmarkEnd w:id="28"/>
      <w:bookmarkEnd w:id="29"/>
      <w:bookmarkEnd w:id="30"/>
      <w:bookmarkEnd w:id="3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功能模块覆盖矩阵</w:t>
      </w:r>
    </w:p>
    <w:p>
      <w:pPr>
        <w:pStyle w:val="5"/>
      </w:pPr>
      <w:bookmarkStart w:id="37" w:name="_Toc56711143"/>
      <w:bookmarkStart w:id="38" w:name="_Toc56710952"/>
      <w:bookmarkStart w:id="39" w:name="_Toc56710845"/>
      <w:bookmarkStart w:id="40" w:name="_Toc56721233"/>
      <w:bookmarkStart w:id="41" w:name="_Toc56711390"/>
      <w:r>
        <w:rPr>
          <w:rFonts w:hint="eastAsia"/>
        </w:rPr>
        <w:t>测试用例与结果分析</w:t>
      </w:r>
      <w:bookmarkEnd w:id="37"/>
      <w:bookmarkEnd w:id="38"/>
      <w:bookmarkEnd w:id="39"/>
      <w:bookmarkEnd w:id="40"/>
      <w:bookmarkEnd w:id="41"/>
    </w:p>
    <w:p>
      <w:pPr>
        <w:pStyle w:val="3"/>
        <w:ind w:firstLine="480"/>
      </w:pPr>
      <w:r>
        <w:rPr>
          <w:rFonts w:hint="eastAsia"/>
        </w:rPr>
        <w:t>单元测试用例：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功能模块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对话与主链编排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入口链路稳定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学习规划与任务执行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链路成立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知识星图与 GraphRAG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具备专项验证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多 Agent 协作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多模式可回归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执行闭环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分阶段覆盖完整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学习报告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报告聚合与输出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报告服务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具备专项验证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知识剧场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路径推演与解释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预测剧场服务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具备专项验证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学习模拟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轮次与反馈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模拟引擎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具备专项验证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成就契约与成长反馈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触发规则与状态变更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成就/契约服务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规则级验证</w:t>
            </w:r>
          </w:p>
        </w:tc>
      </w:tr>
      <w:tr>
        <w:tc>
          <w:tcPr>
            <w:tcW w:type="dxa" w:w="1951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BGM 与多感官体验</w:t>
            </w:r>
          </w:p>
        </w:tc>
        <w:tc>
          <w:tcPr>
            <w:tcW w:type="dxa" w:w="1457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模式切换与恢复</w:t>
            </w:r>
          </w:p>
        </w:tc>
        <w:tc>
          <w:tcPr>
            <w:tcW w:type="dxa" w:w="170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端侧体验服务</w:t>
            </w:r>
          </w:p>
        </w:tc>
        <w:tc>
          <w:tcPr>
            <w:tcW w:type="dxa" w:w="170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70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端侧专项验证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测试结果分析：</w:t>
      </w:r>
    </w:p>
    <w:p>
      <w:pPr>
        <w:ind w:firstLine="480"/>
      </w:pPr>
    </w:p>
    <w:p>
      <w:pPr>
        <w:pStyle w:val="5"/>
      </w:pPr>
      <w:bookmarkStart w:id="42" w:name="_Toc56721234"/>
      <w:bookmarkStart w:id="43" w:name="_Toc56711144"/>
      <w:bookmarkStart w:id="44" w:name="_Toc56710953"/>
      <w:bookmarkStart w:id="45" w:name="_Toc56710846"/>
      <w:bookmarkStart w:id="46" w:name="_Toc56711391"/>
      <w:r>
        <w:rPr>
          <w:rFonts w:hint="eastAsia"/>
        </w:rPr>
        <w:t>测试结果综合分析及建议</w:t>
      </w:r>
      <w:bookmarkEnd w:id="42"/>
      <w:bookmarkEnd w:id="43"/>
      <w:bookmarkEnd w:id="44"/>
      <w:bookmarkEnd w:id="45"/>
      <w:bookmarkEnd w:id="46"/>
    </w:p>
    <w:p>
      <w:pPr>
        <w:pStyle w:val="3"/>
        <w:ind w:firstLine="480"/>
      </w:pPr>
    </w:p>
    <w:p>
      <w:pPr>
        <w:pStyle w:val="5"/>
      </w:pPr>
      <w:bookmarkStart w:id="47" w:name="_Toc56710847"/>
      <w:bookmarkStart w:id="48" w:name="_Toc56711145"/>
      <w:bookmarkStart w:id="49" w:name="_Toc56710954"/>
      <w:bookmarkStart w:id="50" w:name="_Toc56711392"/>
      <w:bookmarkStart w:id="51" w:name="_Toc56721235"/>
      <w:r>
        <w:rPr>
          <w:rFonts w:hint="eastAsia"/>
        </w:rPr>
        <w:t>测试经验总结</w:t>
      </w:r>
      <w:bookmarkEnd w:id="47"/>
      <w:bookmarkEnd w:id="48"/>
      <w:bookmarkEnd w:id="49"/>
      <w:bookmarkEnd w:id="50"/>
      <w:bookmarkEnd w:id="51"/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对话与主链编排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主链编排入口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用户输入后能否正确进入主链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信息充分性检查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是否能判断当前信息是否需要继续澄清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模块分流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是否能根据目标进入解释、规划、图谱、协作或执行链路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结果合成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是否能输出结构化且可继续推进的结果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该模块是所有能力的总入口，因此单元测试重点不在“能不能生成一段回复”，而在“能不能稳定接住输入并正确分流”。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当前主链已具备稳定验证基础。后续仍可继续补充极端长会话、异常上下文和快速切场景等边界回归。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主链类模块最容易因为上下文丢失或状态判断失真而带来连锁问题，因此必须把澄清、分流和状态读取一起测，而不能拆开孤立测试。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2.3 学习规划与任务执行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计划生成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是否能根据目标输出阶段计划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任务拆解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是否能生成可执行任务项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优先级与约束处理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是否能考虑时间、难度和当前状态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状态更新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任务推进后是否能回写状态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本模块测试重点是“可执行性”，而不是文本看起来是否完整。只要计划不能继续转成行动，模块就没有真正成立。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当前该模块已具备“目标 -&gt; 计划 -&gt; 任务 -&gt; 状态更新”的主链验证基础。后续建议继续补充超长周期目标和多约束场景下的回归样本。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计划模块的单元测试不能只验证输出内容，还要验证任务粒度是否合理、是否能够接回主链。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2.4 知识星图与 GraphRAG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知识节点查询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节点与关系是否正确返回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掌握度状态更新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用户节点状态是否能正确写回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GraphRAG 检索融合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向量检索与图关系是否共同支撑路径推荐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推荐路径是否具备基本可解释性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这一模块是星火区别于普通资料整理或搜索工具的核心之一，因此测试既关注“查得到”，也关注“推得通”。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知识星图链路已经具备专项验证基础。后续可继续补充更细粒度的图谱样例和与真实界面联动的回归材料。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图谱类模块必须同时测试数据正确性、关系合理性和路径解释性，三者缺一不可。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2.5 Mirofish 多 Agent 协作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专家路由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能否把问题分配给合适专家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协作模式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sequential / parallel / debate / delegation 是否可运行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结果聚合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多专家结果是否能稳定合并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重规划触发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必要时是否能触发后续重规划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该模块的测试重点不是“多几个角色”，而是“协作是否真的在产生结构化价值”。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已形成专项回归基础。后续重点是让复杂协作场景在演示中更易理解，并继续压缩非必要分支。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 Agent 模块要重点验证“协作稳定性”和“聚合解释性”，而不只是单个专家是否能回答问题。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2.6 OpenClaw 执行闭环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0-4 主链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路由、构建、翻译、执行、回流是否串通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ExecutionIntent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结构化执行协议是否完整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TrustEngine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信任等级与回流规则是否正确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拒绝与降级路径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高风险或低可信结果是否会被拦截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是当前最重要的创新模块之一，因此测试不只看“能不能执行”，还要看“能不能在边界内执行”。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该模块已具备完整分阶段回归基础，是目前最强的专项测试模块之一。后续仍应保留高风险场景的人类接管口径。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执行闭环类模块必须把“能力增强”和“风险治理”一起测试，否则就会变成不可控黑盒。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2.7 学习报告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数据聚合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是否能汇总计划、任务、图谱与执行数据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报告生成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是否能输出结构化反馈与建议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跳转入口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报告结果能否衔接后续动作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趋势表达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是否能形成阶段变化摘要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学习报告模块的单元测试重点在于“反馈能否真正指导下一步”，而不是报告字数是否足够多。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当前报告链路已具备专项回归基础。后续建议补强更高质量的截图和评审版解释材料。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报告模块不能只看生成成功，还要看结果是否可读、是否能导向下一步操作。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2.8 知识剧场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路径推演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是否能生成路径推演结果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预测解释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是否能给出清晰解释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图谱联动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是否与知识星图保持一致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状态提示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是否能说明预测结果的边界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知识剧场模块属于解释型能力，因此测试重点是“说得清楚”而不是“页面看起来炫”。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该模块已具备专项验证基础。后续可进一步标准化评审演示中的文字说明和关键截图。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预测与推演类模块必须显式标注边界，避免用户把“趋势判断”误解为“确定结论”。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2.9 学习模拟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场景初始化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角色和场景是否正确加载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轮次推进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多轮模拟是否可稳定运行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结果反馈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是否能返回结构化结果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上下文保持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多轮互动中上下文是否基本稳定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学习模拟模块的测试重点是“互动过程能否稳定维持”，而不仅仅是结果能否生成。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当前学习模拟已具备专项验证基础。后续应继续补充长轮次、复杂角色和人工验收材料。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模拟模块最需要警惕的是上下文错位、轮次跳变和角色设定漂移。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2.10 成就契约与成长反馈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规则满足时是否正确触发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契约进度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是否能正确更新持续行为进度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反馈展示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是否能返回正确的成长提示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去重控制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是否避免重复或过度触发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该模块的重点在于“反馈准确且克制”，避免把成长系统做成频繁打扰用户的提示系统。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当前该模块已具备规则级验证基础。后续可继续补充更强的体验层证据和真实展示素材。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成长反馈类模块必须把触发条件、展示时机和去打扰策略一起纳入测试。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2.11 BGM 与多感官体验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测试对象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关键验证点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模式切换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不同场景模式是否可切换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音频恢复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路由切换后是否能恢复正确音景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弱能力降级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无法使用某项能力时是否能平滑降级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状态同步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模式状态是否与页面路由保持一致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多感官模块与常规功能不同，它既要测逻辑，也要测端侧能力缺失时的行为，因此单元测试更强调边界与恢复能力。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当前端侧专项验证已存在，但真机环境下的统一签收仍是后续重点。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多感官模块最容易受设备差异影响，因此必须把“能力缺失时如何降级”纳入核心测试项。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57" w:name="_Toc56710956"/>
      <w:bookmarkStart w:id="58" w:name="_Toc56710849"/>
      <w:bookmarkStart w:id="59" w:name="_Toc56721237"/>
      <w:bookmarkStart w:id="60" w:name="_Toc56711394"/>
      <w:bookmarkStart w:id="61" w:name="_Toc56711147"/>
      <w:r>
        <w:rPr>
          <w:rFonts w:hint="eastAsia"/>
        </w:rPr>
        <w:t>功能测试</w:t>
      </w:r>
      <w:bookmarkEnd w:id="57"/>
      <w:bookmarkEnd w:id="58"/>
      <w:bookmarkEnd w:id="59"/>
      <w:bookmarkEnd w:id="60"/>
      <w:bookmarkEnd w:id="6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功能模块覆盖矩阵</w:t>
      </w:r>
    </w:p>
    <w:p>
      <w:pPr>
        <w:pStyle w:val="5"/>
      </w:pPr>
      <w:bookmarkStart w:id="67" w:name="_Toc56711396"/>
      <w:bookmarkStart w:id="68" w:name="_Toc56710851"/>
      <w:bookmarkStart w:id="69" w:name="_Toc56710958"/>
      <w:bookmarkStart w:id="70" w:name="_Toc56721239"/>
      <w:bookmarkStart w:id="71" w:name="_Toc56711149"/>
      <w:r>
        <w:rPr>
          <w:rFonts w:hint="eastAsia"/>
        </w:rPr>
        <w:t>测试用例与结果分析</w:t>
      </w:r>
      <w:bookmarkEnd w:id="67"/>
      <w:bookmarkEnd w:id="68"/>
      <w:bookmarkEnd w:id="69"/>
      <w:bookmarkEnd w:id="70"/>
      <w:bookmarkEnd w:id="71"/>
    </w:p>
    <w:p>
      <w:pPr>
        <w:pStyle w:val="3"/>
        <w:ind w:firstLine="480"/>
      </w:pPr>
      <w:r>
        <w:rPr>
          <w:rFonts w:hint="eastAsia"/>
        </w:rPr>
        <w:t>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功能模块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AI 对话与主链编排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主链可演示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学习规划与任务执行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计划链路成立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知识星图与 GraphRAG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知识结构可展示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多 Agent 协作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评审可展示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OpenClaw 执行闭环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差异化强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学习报告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学习数据到报告展示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反馈可读性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可引导下一步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知识剧场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路径推演展示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解释清晰度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预测链路可展示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学习模拟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主题到多轮模拟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轮次稳定性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情景化成立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成就契约与成长反馈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触发到反馈展示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反馈节奏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成长闭环成立</w:t>
            </w:r>
          </w:p>
        </w:tc>
      </w:tr>
      <w:tr>
        <w:tc>
          <w:tcPr>
            <w:tcW w:type="dxa" w:w="1951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BGM 与多感官体验</w:t>
            </w:r>
          </w:p>
        </w:tc>
        <w:tc>
          <w:tcPr>
            <w:tcW w:type="dxa" w:w="1457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场景切换到多感官反馈</w:t>
            </w:r>
          </w:p>
        </w:tc>
        <w:tc>
          <w:tcPr>
            <w:tcW w:type="dxa" w:w="170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端侧协调</w:t>
            </w:r>
          </w:p>
        </w:tc>
        <w:tc>
          <w:tcPr>
            <w:tcW w:type="dxa" w:w="170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type="dxa" w:w="170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具备降级能力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测试结果分析：</w:t>
      </w:r>
    </w:p>
    <w:p>
      <w:pPr>
        <w:ind w:firstLine="480"/>
      </w:pPr>
    </w:p>
    <w:p>
      <w:pPr>
        <w:pStyle w:val="3"/>
        <w:ind w:firstLine="480"/>
      </w:pPr>
    </w:p>
    <w:p>
      <w:pPr>
        <w:pStyle w:val="5"/>
      </w:pPr>
      <w:bookmarkStart w:id="72" w:name="_Toc56710852"/>
      <w:bookmarkStart w:id="73" w:name="_Toc56710959"/>
      <w:bookmarkStart w:id="74" w:name="_Toc56711150"/>
      <w:bookmarkStart w:id="75" w:name="_Toc56721240"/>
      <w:bookmarkStart w:id="76" w:name="_Toc56711397"/>
      <w:r>
        <w:rPr>
          <w:rFonts w:hint="eastAsia"/>
        </w:rPr>
        <w:t>测试结果综合分析及建议</w:t>
      </w:r>
      <w:bookmarkEnd w:id="72"/>
      <w:bookmarkEnd w:id="73"/>
      <w:bookmarkEnd w:id="74"/>
      <w:bookmarkEnd w:id="75"/>
      <w:bookmarkEnd w:id="76"/>
    </w:p>
    <w:p>
      <w:pPr>
        <w:pStyle w:val="5"/>
      </w:pPr>
      <w:bookmarkStart w:id="77" w:name="_Toc56710960"/>
      <w:bookmarkStart w:id="78" w:name="_Toc56711398"/>
      <w:bookmarkStart w:id="79" w:name="_Toc56710853"/>
      <w:bookmarkStart w:id="80" w:name="_Toc56721241"/>
      <w:bookmarkStart w:id="81" w:name="_Toc56711151"/>
      <w:r>
        <w:rPr>
          <w:rFonts w:hint="eastAsia"/>
        </w:rPr>
        <w:t>测试经验总结</w:t>
      </w:r>
      <w:bookmarkEnd w:id="77"/>
      <w:bookmarkEnd w:id="78"/>
      <w:bookmarkEnd w:id="79"/>
      <w:bookmarkEnd w:id="80"/>
      <w:bookmarkEnd w:id="81"/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对话与主链编排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用户输入“我两周后要复习完离散数学，今晚该先做什么”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系统已建立基本会话环境与状态读取能力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输入目标 -&gt; 观察是否先澄清必要信息 -&gt; 查看返回结果是否包含明确下一步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系统给出清晰澄清或直接输出可执行的下一步入口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主链稳定，能够给出明确下一步并继续引导后续模块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主链功能已具备可演示基础。总决赛阶段建议固定一条最稳定的评审演示路径，减少现场环境波动带来的不确定性。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主链功能测试应优先围绕“用户是否马上知道系统在干什么”展开，而不只是看回复是否足够长。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3.3 学习规划与任务执行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用户从学习目标进入计划页并确认任务拆解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目标已明确，系统能读取基础状态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输入目标 -&gt; 生成阶段计划 -&gt; 查看任务拆解 -&gt; 修改任务状态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计划可读、任务可执行、状态可更新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计划与任务链路可完成闭环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该模块已具备稳定演示能力。后续可继续补强多阶段复杂约束场景下的演示脚本。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功能测试要关注任务是否真的“可做”，而不是只看计划文案是否漂亮。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3.4 知识星图与 GraphRAG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用户围绕某主题查看星图并获取推荐路径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相关知识节点与关系已存在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打开知识星图 -&gt; 选择主题 -&gt; 查看节点详情与推荐路径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节点、关系、掌握度和推荐路径可解释展示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节点、关系和推荐链路可解释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该模块功能表现稳定，后续重点是补足更高质量的界面截图与路径案例。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图谱页面功能测试必须同时验证“看得懂”和“算得对”。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3.5 Mirofish 多 Agent 协作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复杂学习问题触发多专家协作并返回聚合结论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专家角色、协作模式与聚合逻辑已可运行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发起复杂问题 -&gt; 观察专家协作过程 -&gt; 查看聚合输出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协作路径清晰，聚合结果结构化，可继续推进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协作路径清晰，可解释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建议总决赛展示中优先使用结构最清晰的协作模式，避免在有限时间里展示过多分支。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多 Agent 的功能测试不能只看“有没有多个回答”，而要看“协作是否真的提升了复杂任务处理质量”。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3.6 OpenClaw 执行闭环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系统识别任务可执行，进入执行、回流和信任评估流程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ExecutionIntent、执行路由和 TrustEngine 已可运行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触发可执行任务 -&gt; 查看审批与边界说明 -&gt; 观察回流结果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能完整经过执行、可信评估和主链回流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闭环成立，边界说明清晰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该模块已具备明显差异化展示价值。建议比赛展示中同时保留“可执行路径”和“拒绝/降级路径”的说明。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执行闭环的功能测试必须包含成功路径、拒绝路径和人工接管口径。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3.7 学习报告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用户完成阶段学习后查看报告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已存在计划、任务、图谱或执行数据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打开报告页面 -&gt; 查看总结、薄弱点、建议动作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报告可展示完成情况、薄弱点和建议动作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报告能引导用户理解当前状态并继续推进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该模块功能可用，后续建议增强最终视觉材料与案例说明。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报告功能测试要重点看“用户看完后知不知道下一步”，而不是报告字数。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3.8 知识剧场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用户查看路径推演与预测说明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图谱与相关状态已准备完毕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进入剧场页面 -&gt; 查看关键节点与解释说明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能表达路径趋势，并标明预测性质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剧场视图能表达关键节点与解释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功能链路已具备，后续可继续优化文字表达简洁度与页面信息密度。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解释型页面的功能测试应验证用户是否能在较短时间内抓住主结论。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3.9 学习模拟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用户进入模拟场景并完成多轮互动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角色设定、轮次规则与反馈逻辑已建立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进入模拟页面 -&gt; 完成多轮互动 -&gt; 查看结果反馈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模拟流程稳定，反馈结构清晰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模拟流程可运行，反馈清晰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功能稳定，建议固定两到三条最有代表性的模拟场景用于总决赛展示。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模拟功能测试最需要防止上下文错位、角色漂移和反馈跳变。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3.10 成就契约与成长反馈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用户完成阶段行为后触发成就或契约反馈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成就规则、契约规则和成长事件已建立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触发行为 -&gt; 查看反馈提示与成长时间线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反馈及时但不过度打扰，能够形成闭环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反馈形成闭环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功能可用，后续可继续补强最终视觉呈现与阶段案例材料。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成长反馈要保持及时但克制，功能测试要特别关注误触发和过度打扰。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3.11 BGM 与多感官体验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场景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页面切换、模式切换和弱能力降级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音频、触觉、模式配置等端侧能力已接通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执行步骤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切换页面与模式 -&gt; 观察音景恢复和反馈变化 -&gt; 模拟能力缺失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音景和反馈协调，能力缺失时平滑降级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音景和反馈总体协调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结论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端侧链路整体可用，真机一致性仍是后续需要进一步收口的重点。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端侧体验模块的功能测试必须考虑设备差异、权限差异和前后台切换差异。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87" w:name="_Toc56711153"/>
      <w:bookmarkStart w:id="88" w:name="_Toc56710855"/>
      <w:bookmarkStart w:id="89" w:name="_Toc56710962"/>
      <w:bookmarkStart w:id="90" w:name="_Toc56721243"/>
      <w:bookmarkStart w:id="91" w:name="_Toc56711400"/>
      <w:r>
        <w:rPr>
          <w:rFonts w:hint="eastAsia"/>
        </w:rPr>
        <w:t>系统测试</w:t>
      </w:r>
      <w:r>
        <w:rPr>
          <w:rStyle w:val="64"/>
          <w:rFonts w:asciiTheme="minorHAnsi" w:hAnsiTheme="minorHAnsi" w:eastAsiaTheme="minorEastAsia"/>
          <w:b w:val="0"/>
          <w:bCs w:val="0"/>
          <w:kern w:val="2"/>
        </w:rPr>
      </w:r>
      <w:bookmarkEnd w:id="87"/>
      <w:bookmarkEnd w:id="88"/>
      <w:bookmarkEnd w:id="89"/>
      <w:bookmarkEnd w:id="90"/>
      <w:bookmarkEnd w:id="91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4.1 环境与工程闸门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当前系统级验证主要包括以下工程闸门：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from-zero rebuild：验证项目在完整环境下可从零重建。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fresh build：验证端侧与后端在清洁环境下可重新构建。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env-check：验证依赖环境、配置项和关键服务是否齐备。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smoke：验证核心链路在最小演示路径下可以启动和运行。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local-backend-smoke：验证本地后端主链是否稳定可用。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6. 关键专项验收快照：对 OpenClaw、Mirofish、Theater、Simulation、Learning Report 等能力保留专项验证材料。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【图位：图Q2  工程闸门与系统级验证图】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4.2 性能测试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当前性能测试采用阈值型验证方式，重点保证比赛演示场景下的稳定响应，而不是追求脱离场景的理论峰值。</w:t>
      </w:r>
    </w:p>
    <w:p>
      <w:pPr>
        <w:pStyle w:val="5"/>
      </w:pPr>
      <w:bookmarkStart w:id="97" w:name="_Toc56710857"/>
      <w:bookmarkStart w:id="98" w:name="_Toc56711155"/>
      <w:bookmarkStart w:id="99" w:name="_Toc56710964"/>
      <w:bookmarkStart w:id="100" w:name="_Toc56711402"/>
      <w:bookmarkStart w:id="101" w:name="_Toc56721245"/>
      <w:r>
        <w:rPr>
          <w:rFonts w:hint="eastAsia"/>
        </w:rPr>
        <w:t>测试用例与结果分析</w:t>
      </w:r>
      <w:bookmarkEnd w:id="97"/>
      <w:bookmarkEnd w:id="98"/>
      <w:bookmarkEnd w:id="99"/>
      <w:bookmarkEnd w:id="100"/>
      <w:bookmarkEnd w:id="101"/>
    </w:p>
    <w:p>
      <w:pPr>
        <w:pStyle w:val="3"/>
        <w:ind w:firstLine="480"/>
      </w:pPr>
      <w:r>
        <w:rPr>
          <w:rFonts w:hint="eastAsia"/>
        </w:rPr>
        <w:t>预期性能指标测试用例：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PT-04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性能描述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并发吞吐量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验证单机并发场景下具备可接受吞吐能力。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性能测试环境准备完成。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基于现有性能测试与 benchmark 阈值。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 RequestRouter、SufficiencyChecker 和 Go Gateway benchmark。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输入/动作</w:t>
            </w:r>
          </w:p>
        </w:tc>
        <w:tc>
          <w:tcPr>
            <w:tcW w:w="1704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期望的性能</w:t>
              <w:br/>
              <w:t>（平均值）</w:t>
            </w:r>
          </w:p>
        </w:tc>
        <w:tc>
          <w:tcPr>
            <w:tcW w:w="1705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实际的性能</w:t>
              <w:br/>
              <w:t>（平均值）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连续分类请求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10ms，P95 &lt; 25ms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见 intent performance 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充分性检查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50ms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本地回归可验证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路由/吞吐 benchmark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P95 &lt; 100ms；分类 &gt;100 req/s；路由 &gt;50 req/s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满足现有阈值断言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详细数值待统一复测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4.3 混沌测试与弹性验证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混沌与弹性验证重点观察以下场景：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后端依赖波动时主链是否仍能给出可理解的降级说明。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外部执行不可信或失败时是否能正确回退并阻止错误回流。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图谱或检索链路异常时是否能退回到基础解释与保守建议模式。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端侧能力缺失时是否能平滑退化为无音频、无触觉、无通知模式。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页面快速切换、前后台切换或弱网环境下，状态是否能保持基本一致。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4.4 测试数据汇总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当前数据基础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260 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Go 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30 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110 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benchmark / 性能文件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29 个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从数据规模可以看出，测试工作并非围绕单一模块进行，而是已经覆盖主链、图谱、协作、执行、报告与端侧体验等多个层面。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4.5 当前未完全完成的系统级验证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目前仍需继续补强的系统级能力如下：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真机音频、触觉、通知和系统分享的一体化签收。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个别复杂协作和复杂模拟场景的人工验收材料。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更高质量的最终展示截图、演示录屏和评审版固定脚本。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多设备、不同权限状态下的端侧一致性验证。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【图位：图Q3  已验证能力与剩余边界矩阵图】</w:t>
      </w:r>
    </w:p>
    <w:p>
      <w:pPr>
        <w:pStyle w:val="3"/>
        <w:ind w:firstLine="482"/>
        <w:rPr>
          <w:b/>
          <w:bCs/>
        </w:rPr>
      </w:pPr>
    </w:p>
    <w:p>
      <w:pPr>
        <w:pStyle w:val="3"/>
        <w:ind w:firstLine="480"/>
        <w:rPr>
          <w:b/>
          <w:bCs/>
        </w:rPr>
      </w:pPr>
      <w:r>
        <w:rPr>
          <w:rFonts w:hint="eastAsia"/>
        </w:rPr>
        <w:t>测试结果分析：</w:t>
      </w:r>
    </w:p>
    <w:p>
      <w:pPr>
        <w:ind w:firstLine="480"/>
      </w:pPr>
    </w:p>
    <w:p>
      <w:pPr>
        <w:pStyle w:val="5"/>
      </w:pPr>
      <w:bookmarkStart w:id="102" w:name="_Toc56710965"/>
      <w:bookmarkStart w:id="103" w:name="_Toc56710858"/>
      <w:bookmarkStart w:id="104" w:name="_Toc56711403"/>
      <w:bookmarkStart w:id="105" w:name="_Toc56711156"/>
      <w:bookmarkStart w:id="106" w:name="_Toc56721246"/>
      <w:r>
        <w:rPr>
          <w:rFonts w:hint="eastAsia"/>
        </w:rPr>
        <w:t>测试结果综合分析及建议</w:t>
      </w:r>
      <w:bookmarkEnd w:id="102"/>
      <w:bookmarkEnd w:id="103"/>
      <w:bookmarkEnd w:id="104"/>
      <w:bookmarkEnd w:id="105"/>
      <w:bookmarkEnd w:id="106"/>
    </w:p>
    <w:p>
      <w:pPr>
        <w:pStyle w:val="5"/>
      </w:pPr>
      <w:bookmarkStart w:id="107" w:name="_Toc56721247"/>
      <w:bookmarkStart w:id="108" w:name="_Toc56711404"/>
      <w:bookmarkStart w:id="109" w:name="_Toc56711157"/>
      <w:bookmarkStart w:id="110" w:name="_Toc56710859"/>
      <w:bookmarkStart w:id="111" w:name="_Toc56710966"/>
      <w:r>
        <w:rPr>
          <w:rFonts w:hint="eastAsia"/>
        </w:rPr>
        <w:t>测试经验总结</w:t>
      </w:r>
      <w:bookmarkEnd w:id="5"/>
      <w:bookmarkEnd w:id="6"/>
      <w:bookmarkEnd w:id="7"/>
      <w:bookmarkEnd w:id="8"/>
      <w:bookmarkEnd w:id="9"/>
      <w:bookmarkEnd w:id="10"/>
      <w:bookmarkEnd w:id="11"/>
      <w:bookmarkEnd w:id="107"/>
      <w:bookmarkEnd w:id="108"/>
      <w:bookmarkEnd w:id="109"/>
      <w:bookmarkEnd w:id="110"/>
      <w:bookmarkEnd w:id="111"/>
      <w:bookmarkStart w:id="112" w:name="_Toc255826542"/>
      <w:bookmarkEnd w:id="112"/>
    </w:p>
    <w:p>
      <w:pPr>
        <w:pStyle w:val="3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1ADE7DA6"/>
    <w:rsid w:val="47DC0B74"/>
    <w:rsid w:val="554D3DE6"/>
    <w:rsid w:val="77E746F6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89D3F-AA3E-4CB9-946F-3E6926E68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7</Pages>
  <Words>396</Words>
  <Characters>2259</Characters>
  <Lines>18</Lines>
  <Paragraphs>5</Paragraphs>
  <TotalTime>3</TotalTime>
  <ScaleCrop>false</ScaleCrop>
  <LinksUpToDate>false</LinksUpToDate>
  <CharactersWithSpaces>2650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2025-11-27T14:22:00Z</dcterms:modified>
  <dc:title>星火-项目测试文档</dc:title>
  <cp:revision>12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30D7143A308543B582B7B1B3A41B7915_12</vt:lpwstr>
  </property>
</Properties>
</file>