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FFFFFF" w:val="clear"/>
            <w:vAlign w:val="top"/>
          </w:tcPr>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7500" w:hRule="exact"/>
              </w:trPr>
              <w:tc>
                <w:tcPr>
                  <w:tcBorders>
                    <w:top w:val="none" w:color="FFFFFF" w:sz="0"/>
                    <w:left w:val="none" w:color="FFFFFF" w:sz="0"/>
                    <w:bottom w:val="none" w:color="FFFFFF" w:sz="0"/>
                    <w:right w:val="none" w:color="FFFFFF" w:sz="0"/>
                  </w:tcBorders>
                  <w:shd w:fill="1A2330" w:val="clear"/>
                  <w:tcMar>
                    <w:left w:type="dxa" w:w="1200"/>
                    <w:right w:type="dxa" w:w="800"/>
                  </w:tcMar>
                  <w:vAlign w:val="top"/>
                </w:tcPr>
                <w:p>
                  <w:pPr>
                    <w:spacing w:before="2997"/>
                  </w:pPr>
                </w:p>
                <w:p>
                  <w:pPr>
                    <w:spacing w:after="500"/>
                  </w:pPr>
                  <w:r>
                    <w:rPr>
                      <w:rFonts w:ascii="Calibri"/>
                      <w:color w:val="D4875A"/>
                      <w:spacing w:val="60"/>
                      <w:sz w:val="18"/>
                      <w:szCs w:val="18"/>
                    </w:rPr>
                    <w:t xml:space="preserve">S P A R K L E</w:t>
                  </w:r>
                </w:p>
                <w:p>
                  <w:pPr>
                    <w:spacing w:after="100" w:line="920" w:lineRule="atLeast"/>
                  </w:pPr>
                  <w:r>
                    <w:rPr>
                      <w:rFonts w:ascii="Arial" w:eastAsia="SimHei"/>
                      <w:b/>
                      <w:bCs/>
                      <w:color w:val="FFFFFF"/>
                      <w:sz w:val="80"/>
                      <w:szCs w:val="80"/>
                    </w:rPr>
                    <w:t xml:space="preserve">星火——面向大学生的</w:t>
                  </w:r>
                </w:p>
                <w:p>
                  <w:pPr>
                    <w:spacing w:after="200" w:line="920" w:lineRule="atLeast"/>
                  </w:pPr>
                  <w:r>
                    <w:rPr>
                      <w:rFonts w:ascii="Arial" w:eastAsia="SimHei"/>
                      <w:b/>
                      <w:bCs/>
                      <w:color w:val="FFFFFF"/>
                      <w:sz w:val="80"/>
                      <w:szCs w:val="80"/>
                    </w:rPr>
                    <w:t xml:space="preserve">人工智能学习成长系统</w:t>
                  </w:r>
                </w:p>
                <w:p>
                  <w:pPr>
                    <w:spacing w:after="100"/>
                  </w:pPr>
                  <w:r>
                    <w:rPr>
                      <w:rFonts w:ascii="Arial" w:eastAsia="Microsoft YaHei"/>
                      <w:color w:val="B0B8C0"/>
                      <w:sz w:val="24"/>
                      <w:szCs w:val="24"/>
                    </w:rPr>
                    <w:t xml:space="preserve">项 目 计 划 书</w:t>
                  </w:r>
                </w:p>
              </w:tc>
            </w:tr>
          </w:tbl>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60" w:hRule="exact"/>
              </w:trPr>
              <w:tc>
                <w:tcPr>
                  <w:tcBorders>
                    <w:top w:val="none" w:color="FFFFFF" w:sz="0"/>
                    <w:left w:val="none" w:color="FFFFFF" w:sz="0"/>
                    <w:bottom w:val="none" w:color="FFFFFF" w:sz="0"/>
                    <w:right w:val="none" w:color="FFFFFF" w:sz="0"/>
                  </w:tcBorders>
                  <w:shd w:fill="D4875A" w:val="clear"/>
                </w:tcPr>
                <w:p/>
              </w:tc>
            </w:tr>
          </w:tbl>
          <w:p>
            <w:pPr>
              <w:spacing w:before="800"/>
            </w:pPr>
          </w:p>
          <w:p>
            <w:pPr>
              <w:spacing w:after="100"/>
              <w:ind w:left="1200"/>
            </w:pPr>
            <w:r>
              <w:rPr>
                <w:rFonts w:ascii="Arial" w:eastAsia="Microsoft YaHei"/>
                <w:color w:val="707880"/>
                <w:sz w:val="28"/>
                <w:szCs w:val="28"/>
              </w:rPr>
              <w:t xml:space="preserve">申报学校：北京邮电大学</w:t>
            </w:r>
          </w:p>
          <w:p>
            <w:pPr>
              <w:spacing w:after="100"/>
              <w:ind w:left="1200"/>
            </w:pPr>
            <w:r>
              <w:rPr>
                <w:rFonts w:ascii="Arial" w:eastAsia="Microsoft YaHei"/>
                <w:color w:val="707880"/>
                <w:sz w:val="28"/>
                <w:szCs w:val="28"/>
              </w:rPr>
              <w:t xml:space="preserve">申报团队：星火团队</w:t>
            </w:r>
          </w:p>
          <w:p>
            <w:pPr>
              <w:spacing w:after="100"/>
              <w:ind w:left="1200"/>
            </w:pPr>
            <w:r>
              <w:rPr>
                <w:rFonts w:ascii="Arial" w:eastAsia="Microsoft YaHei"/>
                <w:color w:val="707880"/>
                <w:sz w:val="28"/>
                <w:szCs w:val="28"/>
              </w:rPr>
              <w:t xml:space="preserve">项目负责人：邓博仁</w:t>
            </w:r>
          </w:p>
          <w:p>
            <w:pPr>
              <w:spacing w:after="100"/>
              <w:ind w:left="1200"/>
            </w:pPr>
            <w:r>
              <w:rPr>
                <w:rFonts w:ascii="Arial" w:eastAsia="Microsoft YaHei"/>
                <w:color w:val="707880"/>
                <w:sz w:val="28"/>
                <w:szCs w:val="28"/>
              </w:rPr>
              <w:t xml:space="preserve">指导教师：黄亚坤</w:t>
            </w:r>
          </w:p>
          <w:p>
            <w:pPr>
              <w:spacing w:after="100"/>
              <w:ind w:left="1200"/>
            </w:pPr>
            <w:r>
              <w:rPr>
                <w:rFonts w:ascii="Arial" w:eastAsia="Microsoft YaHei"/>
                <w:color w:val="707880"/>
                <w:sz w:val="28"/>
                <w:szCs w:val="28"/>
              </w:rPr>
              <w:t xml:space="preserve">编制日期：2026 年 9 月</w:t>
            </w:r>
          </w:p>
          <w:p>
            <w:pPr>
              <w:spacing w:before="2000"/>
            </w:pPr>
          </w:p>
          <w:p>
            <w:pPr>
              <w:ind w:left="1200"/>
            </w:pPr>
            <w:r>
              <w:rPr>
                <w:rFonts w:ascii="Arial" w:eastAsia="Microsoft YaHei"/>
                <w:color w:val="909090"/>
                <w:sz w:val="22"/>
                <w:szCs w:val="22"/>
              </w:rPr>
              <w:t xml:space="preserve">北京邮电大学 星火团队</w:t>
            </w:r>
            <w:r>
              <w:t xml:space="preserve">          </w:t>
            </w:r>
            <w:r>
              <w:rPr>
                <w:rFonts w:ascii="Arial" w:eastAsia="Microsoft YaHei"/>
                <w:color w:val="909090"/>
                <w:sz w:val="22"/>
                <w:szCs w:val="22"/>
              </w:rPr>
              <w:t xml:space="preserve">SPARKLE 2026</w:t>
            </w:r>
          </w:p>
        </w:tc>
      </w:tr>
    </w:tbl>
    <w:p>
      <w:pPr>
        <w:sectPr>
          <w:pgSz w:w="11906" w:h="16838" w:orient="portrait"/>
          <w:pgMar w:top="0" w:right="0" w:bottom="0" w:left="0" w:header="708" w:footer="708" w:gutter="0"/>
          <w:docGrid w:linePitch="360"/>
        </w:sectPr>
      </w:pPr>
    </w:p>
    <w:p>
      <w:pPr>
        <w:spacing w:after="360" w:before="480"/>
        <w:jc w:val="center"/>
      </w:pPr>
      <w:r>
        <w:rPr>
          <w:rFonts w:ascii="Times New Roman" w:eastAsia="SimHei"/>
          <w:b/>
          <w:bCs/>
          <w:sz w:val="32"/>
          <w:szCs w:val="32"/>
        </w:rPr>
        <w:t xml:space="preserve">目  录</w:t>
      </w:r>
    </w:p>
    <w:sdt>
      <w:sdtPr>
        <w:alias w:val="Table of Contents"/>
      </w:sdtPr>
      <w:sdtContent>
        <w:p>
          <w:r>
            <w:fldChar w:fldCharType="begin" w:dirty="true"/>
          </w:r>
          <w:r>
            <w:instrText xml:space="preserve">TOC \h \o "1-2"</w:instrText>
          </w:r>
          <w:r>
            <w:fldChar w:fldCharType="separate"/>
          </w:r>
        </w:p>
        <w:p>
          <w:pPr>
            <w:pStyle w:val="9"/>
            <w:tabs>
              <w:tab w:val="right" w:leader="dot" w:pos="9026"/>
            </w:tabs>
            <w:spacing w:before="120" w:after="60"/>
          </w:pPr>
          <w:hyperlink w:anchor="_Toc100000" w:history="1">
            <w:r>
              <w:rPr>
                <w:rStyle w:val="Hyperlink"/>
              </w:rPr>
              <w:t>一、执行摘要</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二、项目背景与痛点分析</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2.1 产业与政策背景</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2.2 核心痛点：人工智能很强，但普通人离目标没有更近</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2.3 目标用户与切入场景</w:t>
            </w:r>
            <w:r>
              <w:tab/>
            </w:r>
            <w:r>
              <w:fldChar w:fldCharType="begin"/>
            </w:r>
            <w:r>
              <w:instrText xml:space="preserve"> PAGEREF _Toc100004 \h </w:instrText>
            </w:r>
            <w:r>
              <w:fldChar w:fldCharType="separate"/>
            </w:r>
            <w:r>
              <w:t>3</w:t>
            </w:r>
            <w:r>
              <w:fldChar w:fldCharType="end"/>
            </w:r>
          </w:hyperlink>
        </w:p>
        <w:p>
          <w:pPr>
            <w:pStyle w:val="9"/>
            <w:tabs>
              <w:tab w:val="right" w:leader="dot" w:pos="9026"/>
            </w:tabs>
            <w:spacing w:before="120" w:after="60"/>
          </w:pPr>
          <w:hyperlink w:anchor="_Toc100005" w:history="1">
            <w:r>
              <w:rPr>
                <w:rStyle w:val="Hyperlink"/>
              </w:rPr>
              <w:t>三、产品介绍与解决方案</w:t>
            </w:r>
            <w:r>
              <w:tab/>
            </w:r>
            <w:r>
              <w:fldChar w:fldCharType="begin"/>
            </w:r>
            <w:r>
              <w:instrText xml:space="preserve"> PAGEREF _Toc100005 \h </w:instrText>
            </w:r>
            <w:r>
              <w:fldChar w:fldCharType="separate"/>
            </w:r>
            <w:r>
              <w:t>3</w:t>
            </w:r>
            <w:r>
              <w:fldChar w:fldCharType="end"/>
            </w:r>
          </w:hyperlink>
        </w:p>
        <w:p>
          <w:pPr>
            <w:pStyle w:val="11"/>
            <w:ind w:left="360"/>
            <w:tabs>
              <w:tab w:val="right" w:leader="dot" w:pos="9026"/>
            </w:tabs>
            <w:spacing w:before="120" w:after="60"/>
          </w:pPr>
          <w:hyperlink w:anchor="_Toc100006" w:history="1">
            <w:r>
              <w:rPr>
                <w:rStyle w:val="Hyperlink"/>
              </w:rPr>
              <w:t>3.1 产品定位</w:t>
            </w:r>
            <w:r>
              <w:tab/>
            </w:r>
            <w:r>
              <w:fldChar w:fldCharType="begin"/>
            </w:r>
            <w:r>
              <w:instrText xml:space="preserve"> PAGEREF _Toc100006 \h </w:instrText>
            </w:r>
            <w:r>
              <w:fldChar w:fldCharType="separate"/>
            </w:r>
            <w:r>
              <w:t>3</w:t>
            </w:r>
            <w:r>
              <w:fldChar w:fldCharType="end"/>
            </w:r>
          </w:hyperlink>
        </w:p>
        <w:p>
          <w:pPr>
            <w:pStyle w:val="11"/>
            <w:ind w:left="360"/>
            <w:tabs>
              <w:tab w:val="right" w:leader="dot" w:pos="9026"/>
            </w:tabs>
            <w:spacing w:before="120" w:after="60"/>
          </w:pPr>
          <w:hyperlink w:anchor="_Toc100007" w:history="1">
            <w:r>
              <w:rPr>
                <w:rStyle w:val="Hyperlink"/>
              </w:rPr>
              <w:t>3.2 解决方案总览</w:t>
            </w:r>
            <w:r>
              <w:tab/>
            </w:r>
            <w:r>
              <w:fldChar w:fldCharType="begin"/>
            </w:r>
            <w:r>
              <w:instrText xml:space="preserve"> PAGEREF _Toc100007 \h </w:instrText>
            </w:r>
            <w:r>
              <w:fldChar w:fldCharType="separate"/>
            </w:r>
            <w:r>
              <w:t>4</w:t>
            </w:r>
            <w:r>
              <w:fldChar w:fldCharType="end"/>
            </w:r>
          </w:hyperlink>
        </w:p>
        <w:p>
          <w:pPr>
            <w:pStyle w:val="11"/>
            <w:ind w:left="360"/>
            <w:tabs>
              <w:tab w:val="right" w:leader="dot" w:pos="9026"/>
            </w:tabs>
            <w:spacing w:before="120" w:after="60"/>
          </w:pPr>
          <w:hyperlink w:anchor="_Toc100008" w:history="1">
            <w:r>
              <w:rPr>
                <w:rStyle w:val="Hyperlink"/>
              </w:rPr>
              <w:t>3.3 四大核心创新点</w:t>
            </w:r>
            <w:r>
              <w:tab/>
            </w:r>
            <w:r>
              <w:fldChar w:fldCharType="begin"/>
            </w:r>
            <w:r>
              <w:instrText xml:space="preserve"> PAGEREF _Toc100008 \h </w:instrText>
            </w:r>
            <w:r>
              <w:fldChar w:fldCharType="separate"/>
            </w:r>
            <w:r>
              <w:t>4</w:t>
            </w:r>
            <w:r>
              <w:fldChar w:fldCharType="end"/>
            </w:r>
          </w:hyperlink>
        </w:p>
        <w:p>
          <w:pPr>
            <w:pStyle w:val="11"/>
            <w:ind w:left="360"/>
            <w:tabs>
              <w:tab w:val="right" w:leader="dot" w:pos="9026"/>
            </w:tabs>
            <w:spacing w:before="120" w:after="60"/>
          </w:pPr>
          <w:hyperlink w:anchor="_Toc100009" w:history="1">
            <w:r>
              <w:rPr>
                <w:rStyle w:val="Hyperlink"/>
              </w:rPr>
              <w:t>3.4 产品功能全景</w:t>
            </w:r>
            <w:r>
              <w:tab/>
            </w:r>
            <w:r>
              <w:fldChar w:fldCharType="begin"/>
            </w:r>
            <w:r>
              <w:instrText xml:space="preserve"> PAGEREF _Toc100009 \h </w:instrText>
            </w:r>
            <w:r>
              <w:fldChar w:fldCharType="separate"/>
            </w:r>
            <w:r>
              <w:t>5</w:t>
            </w:r>
            <w:r>
              <w:fldChar w:fldCharType="end"/>
            </w:r>
          </w:hyperlink>
        </w:p>
        <w:p>
          <w:pPr>
            <w:pStyle w:val="9"/>
            <w:tabs>
              <w:tab w:val="right" w:leader="dot" w:pos="9026"/>
            </w:tabs>
            <w:spacing w:before="120" w:after="60"/>
          </w:pPr>
          <w:hyperlink w:anchor="_Toc100010" w:history="1">
            <w:r>
              <w:rPr>
                <w:rStyle w:val="Hyperlink"/>
              </w:rPr>
              <w:t>四、技术方案与系统架构</w:t>
            </w:r>
            <w:r>
              <w:tab/>
            </w:r>
            <w:r>
              <w:fldChar w:fldCharType="begin"/>
            </w:r>
            <w:r>
              <w:instrText xml:space="preserve"> PAGEREF _Toc100010 \h </w:instrText>
            </w:r>
            <w:r>
              <w:fldChar w:fldCharType="separate"/>
            </w:r>
            <w:r>
              <w:t>5</w:t>
            </w:r>
            <w:r>
              <w:fldChar w:fldCharType="end"/>
            </w:r>
          </w:hyperlink>
        </w:p>
        <w:p>
          <w:pPr>
            <w:pStyle w:val="11"/>
            <w:ind w:left="360"/>
            <w:tabs>
              <w:tab w:val="right" w:leader="dot" w:pos="9026"/>
            </w:tabs>
            <w:spacing w:before="120" w:after="60"/>
          </w:pPr>
          <w:hyperlink w:anchor="_Toc100011" w:history="1">
            <w:r>
              <w:rPr>
                <w:rStyle w:val="Hyperlink"/>
              </w:rPr>
              <w:t>4.1 三层混合架构</w:t>
            </w:r>
            <w:r>
              <w:tab/>
            </w:r>
            <w:r>
              <w:fldChar w:fldCharType="begin"/>
            </w:r>
            <w:r>
              <w:instrText xml:space="preserve"> PAGEREF _Toc100011 \h </w:instrText>
            </w:r>
            <w:r>
              <w:fldChar w:fldCharType="separate"/>
            </w:r>
            <w:r>
              <w:t>5</w:t>
            </w:r>
            <w:r>
              <w:fldChar w:fldCharType="end"/>
            </w:r>
          </w:hyperlink>
        </w:p>
        <w:p>
          <w:pPr>
            <w:pStyle w:val="11"/>
            <w:ind w:left="360"/>
            <w:tabs>
              <w:tab w:val="right" w:leader="dot" w:pos="9026"/>
            </w:tabs>
            <w:spacing w:before="120" w:after="60"/>
          </w:pPr>
          <w:hyperlink w:anchor="_Toc100012" w:history="1">
            <w:r>
              <w:rPr>
                <w:rStyle w:val="Hyperlink"/>
              </w:rPr>
              <w:t>4.2 自适应认知控制层与双核协作</w:t>
            </w:r>
            <w:r>
              <w:tab/>
            </w:r>
            <w:r>
              <w:fldChar w:fldCharType="begin"/>
            </w:r>
            <w:r>
              <w:instrText xml:space="preserve"> PAGEREF _Toc100012 \h </w:instrText>
            </w:r>
            <w:r>
              <w:fldChar w:fldCharType="separate"/>
            </w:r>
            <w:r>
              <w:t>5</w:t>
            </w:r>
            <w:r>
              <w:fldChar w:fldCharType="end"/>
            </w:r>
          </w:hyperlink>
        </w:p>
        <w:p>
          <w:pPr>
            <w:pStyle w:val="11"/>
            <w:ind w:left="360"/>
            <w:tabs>
              <w:tab w:val="right" w:leader="dot" w:pos="9026"/>
            </w:tabs>
            <w:spacing w:before="120" w:after="60"/>
          </w:pPr>
          <w:hyperlink w:anchor="_Toc100013" w:history="1">
            <w:r>
              <w:rPr>
                <w:rStyle w:val="Hyperlink"/>
              </w:rPr>
              <w:t>4.3 贝叶斯证据融合（研究亮点）</w:t>
            </w:r>
            <w:r>
              <w:tab/>
            </w:r>
            <w:r>
              <w:fldChar w:fldCharType="begin"/>
            </w:r>
            <w:r>
              <w:instrText xml:space="preserve"> PAGEREF _Toc100013 \h </w:instrText>
            </w:r>
            <w:r>
              <w:fldChar w:fldCharType="separate"/>
            </w:r>
            <w:r>
              <w:t>5</w:t>
            </w:r>
            <w:r>
              <w:fldChar w:fldCharType="end"/>
            </w:r>
          </w:hyperlink>
        </w:p>
        <w:p>
          <w:pPr>
            <w:pStyle w:val="11"/>
            <w:ind w:left="360"/>
            <w:tabs>
              <w:tab w:val="right" w:leader="dot" w:pos="9026"/>
            </w:tabs>
            <w:spacing w:before="120" w:after="60"/>
          </w:pPr>
          <w:hyperlink w:anchor="_Toc100014" w:history="1">
            <w:r>
              <w:rPr>
                <w:rStyle w:val="Hyperlink"/>
              </w:rPr>
              <w:t>4.4 工程验证成果</w:t>
            </w:r>
            <w:r>
              <w:tab/>
            </w:r>
            <w:r>
              <w:fldChar w:fldCharType="begin"/>
            </w:r>
            <w:r>
              <w:instrText xml:space="preserve"> PAGEREF _Toc100014 \h </w:instrText>
            </w:r>
            <w:r>
              <w:fldChar w:fldCharType="separate"/>
            </w:r>
            <w:r>
              <w:t>6</w:t>
            </w:r>
            <w:r>
              <w:fldChar w:fldCharType="end"/>
            </w:r>
          </w:hyperlink>
        </w:p>
        <w:p>
          <w:pPr>
            <w:pStyle w:val="11"/>
            <w:ind w:left="360"/>
            <w:tabs>
              <w:tab w:val="right" w:leader="dot" w:pos="9026"/>
            </w:tabs>
            <w:spacing w:before="120" w:after="60"/>
          </w:pPr>
          <w:hyperlink w:anchor="_Toc100015" w:history="1">
            <w:r>
              <w:rPr>
                <w:rStyle w:val="Hyperlink"/>
              </w:rPr>
              <w:t>4.5 安全与合规设计</w:t>
            </w:r>
            <w:r>
              <w:tab/>
            </w:r>
            <w:r>
              <w:fldChar w:fldCharType="begin"/>
            </w:r>
            <w:r>
              <w:instrText xml:space="preserve"> PAGEREF _Toc100015 \h </w:instrText>
            </w:r>
            <w:r>
              <w:fldChar w:fldCharType="separate"/>
            </w:r>
            <w:r>
              <w:t>6</w:t>
            </w:r>
            <w:r>
              <w:fldChar w:fldCharType="end"/>
            </w:r>
          </w:hyperlink>
        </w:p>
        <w:p>
          <w:pPr>
            <w:pStyle w:val="9"/>
            <w:tabs>
              <w:tab w:val="right" w:leader="dot" w:pos="9026"/>
            </w:tabs>
            <w:spacing w:before="120" w:after="60"/>
          </w:pPr>
          <w:hyperlink w:anchor="_Toc100016" w:history="1">
            <w:r>
              <w:rPr>
                <w:rStyle w:val="Hyperlink"/>
              </w:rPr>
              <w:t>五、市场分析</w:t>
            </w:r>
            <w:r>
              <w:tab/>
            </w:r>
            <w:r>
              <w:fldChar w:fldCharType="begin"/>
            </w:r>
            <w:r>
              <w:instrText xml:space="preserve"> PAGEREF _Toc100016 \h </w:instrText>
            </w:r>
            <w:r>
              <w:fldChar w:fldCharType="separate"/>
            </w:r>
            <w:r>
              <w:t>6</w:t>
            </w:r>
            <w:r>
              <w:fldChar w:fldCharType="end"/>
            </w:r>
          </w:hyperlink>
        </w:p>
        <w:p>
          <w:pPr>
            <w:pStyle w:val="11"/>
            <w:ind w:left="360"/>
            <w:tabs>
              <w:tab w:val="right" w:leader="dot" w:pos="9026"/>
            </w:tabs>
            <w:spacing w:before="120" w:after="60"/>
          </w:pPr>
          <w:hyperlink w:anchor="_Toc100017" w:history="1">
            <w:r>
              <w:rPr>
                <w:rStyle w:val="Hyperlink"/>
              </w:rPr>
              <w:t>5.1 市场规模与政策环境</w:t>
            </w:r>
            <w:r>
              <w:tab/>
            </w:r>
            <w:r>
              <w:fldChar w:fldCharType="begin"/>
            </w:r>
            <w:r>
              <w:instrText xml:space="preserve"> PAGEREF _Toc100017 \h </w:instrText>
            </w:r>
            <w:r>
              <w:fldChar w:fldCharType="separate"/>
            </w:r>
            <w:r>
              <w:t>6</w:t>
            </w:r>
            <w:r>
              <w:fldChar w:fldCharType="end"/>
            </w:r>
          </w:hyperlink>
        </w:p>
        <w:p>
          <w:pPr>
            <w:pStyle w:val="11"/>
            <w:ind w:left="360"/>
            <w:tabs>
              <w:tab w:val="right" w:leader="dot" w:pos="9026"/>
            </w:tabs>
            <w:spacing w:before="120" w:after="60"/>
          </w:pPr>
          <w:hyperlink w:anchor="_Toc100018" w:history="1">
            <w:r>
              <w:rPr>
                <w:rStyle w:val="Hyperlink"/>
              </w:rPr>
              <w:t>5.2 竞品分析</w:t>
            </w:r>
            <w:r>
              <w:tab/>
            </w:r>
            <w:r>
              <w:fldChar w:fldCharType="begin"/>
            </w:r>
            <w:r>
              <w:instrText xml:space="preserve"> PAGEREF _Toc100018 \h </w:instrText>
            </w:r>
            <w:r>
              <w:fldChar w:fldCharType="separate"/>
            </w:r>
            <w:r>
              <w:t>7</w:t>
            </w:r>
            <w:r>
              <w:fldChar w:fldCharType="end"/>
            </w:r>
          </w:hyperlink>
        </w:p>
        <w:p>
          <w:pPr>
            <w:pStyle w:val="11"/>
            <w:ind w:left="360"/>
            <w:tabs>
              <w:tab w:val="right" w:leader="dot" w:pos="9026"/>
            </w:tabs>
            <w:spacing w:before="120" w:after="60"/>
          </w:pPr>
          <w:hyperlink w:anchor="_Toc100019" w:history="1">
            <w:r>
              <w:rPr>
                <w:rStyle w:val="Hyperlink"/>
              </w:rPr>
              <w:t>5.3 竞争壁垒</w:t>
            </w:r>
            <w:r>
              <w:tab/>
            </w:r>
            <w:r>
              <w:fldChar w:fldCharType="begin"/>
            </w:r>
            <w:r>
              <w:instrText xml:space="preserve"> PAGEREF _Toc100019 \h </w:instrText>
            </w:r>
            <w:r>
              <w:fldChar w:fldCharType="separate"/>
            </w:r>
            <w:r>
              <w:t>7</w:t>
            </w:r>
            <w:r>
              <w:fldChar w:fldCharType="end"/>
            </w:r>
          </w:hyperlink>
        </w:p>
        <w:p>
          <w:pPr>
            <w:pStyle w:val="9"/>
            <w:tabs>
              <w:tab w:val="right" w:leader="dot" w:pos="9026"/>
            </w:tabs>
            <w:spacing w:before="120" w:after="60"/>
          </w:pPr>
          <w:hyperlink w:anchor="_Toc100020" w:history="1">
            <w:r>
              <w:rPr>
                <w:rStyle w:val="Hyperlink"/>
              </w:rPr>
              <w:t>六、商业模式</w:t>
            </w:r>
            <w:r>
              <w:tab/>
            </w:r>
            <w:r>
              <w:fldChar w:fldCharType="begin"/>
            </w:r>
            <w:r>
              <w:instrText xml:space="preserve"> PAGEREF _Toc100020 \h </w:instrText>
            </w:r>
            <w:r>
              <w:fldChar w:fldCharType="separate"/>
            </w:r>
            <w:r>
              <w:t>8</w:t>
            </w:r>
            <w:r>
              <w:fldChar w:fldCharType="end"/>
            </w:r>
          </w:hyperlink>
        </w:p>
        <w:p>
          <w:pPr>
            <w:pStyle w:val="11"/>
            <w:ind w:left="360"/>
            <w:tabs>
              <w:tab w:val="right" w:leader="dot" w:pos="9026"/>
            </w:tabs>
            <w:spacing w:before="120" w:after="60"/>
          </w:pPr>
          <w:hyperlink w:anchor="_Toc100021" w:history="1">
            <w:r>
              <w:rPr>
                <w:rStyle w:val="Hyperlink"/>
              </w:rPr>
              <w:t>6.1 三位一体营收结构</w:t>
            </w:r>
            <w:r>
              <w:tab/>
            </w:r>
            <w:r>
              <w:fldChar w:fldCharType="begin"/>
            </w:r>
            <w:r>
              <w:instrText xml:space="preserve"> PAGEREF _Toc100021 \h </w:instrText>
            </w:r>
            <w:r>
              <w:fldChar w:fldCharType="separate"/>
            </w:r>
            <w:r>
              <w:t>8</w:t>
            </w:r>
            <w:r>
              <w:fldChar w:fldCharType="end"/>
            </w:r>
          </w:hyperlink>
        </w:p>
        <w:p>
          <w:pPr>
            <w:pStyle w:val="11"/>
            <w:ind w:left="360"/>
            <w:tabs>
              <w:tab w:val="right" w:leader="dot" w:pos="9026"/>
            </w:tabs>
            <w:spacing w:before="120" w:after="60"/>
          </w:pPr>
          <w:hyperlink w:anchor="_Toc100022" w:history="1">
            <w:r>
              <w:rPr>
                <w:rStyle w:val="Hyperlink"/>
              </w:rPr>
              <w:t>6.2 用户转化逻辑</w:t>
            </w:r>
            <w:r>
              <w:tab/>
            </w:r>
            <w:r>
              <w:fldChar w:fldCharType="begin"/>
            </w:r>
            <w:r>
              <w:instrText xml:space="preserve"> PAGEREF _Toc100022 \h </w:instrText>
            </w:r>
            <w:r>
              <w:fldChar w:fldCharType="separate"/>
            </w:r>
            <w:r>
              <w:t>8</w:t>
            </w:r>
            <w:r>
              <w:fldChar w:fldCharType="end"/>
            </w:r>
          </w:hyperlink>
        </w:p>
        <w:p>
          <w:pPr>
            <w:pStyle w:val="11"/>
            <w:ind w:left="360"/>
            <w:tabs>
              <w:tab w:val="right" w:leader="dot" w:pos="9026"/>
            </w:tabs>
            <w:spacing w:before="120" w:after="60"/>
          </w:pPr>
          <w:hyperlink w:anchor="_Toc100023" w:history="1">
            <w:r>
              <w:rPr>
                <w:rStyle w:val="Hyperlink"/>
              </w:rPr>
              <w:t>6.3 成本控制策略</w:t>
            </w:r>
            <w:r>
              <w:tab/>
            </w:r>
            <w:r>
              <w:fldChar w:fldCharType="begin"/>
            </w:r>
            <w:r>
              <w:instrText xml:space="preserve"> PAGEREF _Toc100023 \h </w:instrText>
            </w:r>
            <w:r>
              <w:fldChar w:fldCharType="separate"/>
            </w:r>
            <w:r>
              <w:t>9</w:t>
            </w:r>
            <w:r>
              <w:fldChar w:fldCharType="end"/>
            </w:r>
          </w:hyperlink>
        </w:p>
        <w:p>
          <w:pPr>
            <w:pStyle w:val="9"/>
            <w:tabs>
              <w:tab w:val="right" w:leader="dot" w:pos="9026"/>
            </w:tabs>
            <w:spacing w:before="120" w:after="60"/>
          </w:pPr>
          <w:hyperlink w:anchor="_Toc100024" w:history="1">
            <w:r>
              <w:rPr>
                <w:rStyle w:val="Hyperlink"/>
              </w:rPr>
              <w:t>七、发展规划与里程碑</w:t>
            </w:r>
            <w:r>
              <w:tab/>
            </w:r>
            <w:r>
              <w:fldChar w:fldCharType="begin"/>
            </w:r>
            <w:r>
              <w:instrText xml:space="preserve"> PAGEREF _Toc100024 \h </w:instrText>
            </w:r>
            <w:r>
              <w:fldChar w:fldCharType="separate"/>
            </w:r>
            <w:r>
              <w:t>9</w:t>
            </w:r>
            <w:r>
              <w:fldChar w:fldCharType="end"/>
            </w:r>
          </w:hyperlink>
        </w:p>
        <w:p>
          <w:pPr>
            <w:pStyle w:val="11"/>
            <w:ind w:left="360"/>
            <w:tabs>
              <w:tab w:val="right" w:leader="dot" w:pos="9026"/>
            </w:tabs>
            <w:spacing w:before="120" w:after="60"/>
          </w:pPr>
          <w:hyperlink w:anchor="_Toc100025" w:history="1">
            <w:r>
              <w:rPr>
                <w:rStyle w:val="Hyperlink"/>
              </w:rPr>
              <w:t>7.1 已完成工作</w:t>
            </w:r>
            <w:r>
              <w:tab/>
            </w:r>
            <w:r>
              <w:fldChar w:fldCharType="begin"/>
            </w:r>
            <w:r>
              <w:instrText xml:space="preserve"> PAGEREF _Toc100025 \h </w:instrText>
            </w:r>
            <w:r>
              <w:fldChar w:fldCharType="separate"/>
            </w:r>
            <w:r>
              <w:t>9</w:t>
            </w:r>
            <w:r>
              <w:fldChar w:fldCharType="end"/>
            </w:r>
          </w:hyperlink>
        </w:p>
        <w:p>
          <w:pPr>
            <w:pStyle w:val="11"/>
            <w:ind w:left="360"/>
            <w:tabs>
              <w:tab w:val="right" w:leader="dot" w:pos="9026"/>
            </w:tabs>
            <w:spacing w:before="120" w:after="60"/>
          </w:pPr>
          <w:hyperlink w:anchor="_Toc100026" w:history="1">
            <w:r>
              <w:rPr>
                <w:rStyle w:val="Hyperlink"/>
              </w:rPr>
              <w:t>7.2 四阶段发展路线</w:t>
            </w:r>
            <w:r>
              <w:tab/>
            </w:r>
            <w:r>
              <w:fldChar w:fldCharType="begin"/>
            </w:r>
            <w:r>
              <w:instrText xml:space="preserve"> PAGEREF _Toc100026 \h </w:instrText>
            </w:r>
            <w:r>
              <w:fldChar w:fldCharType="separate"/>
            </w:r>
            <w:r>
              <w:t>9</w:t>
            </w:r>
            <w:r>
              <w:fldChar w:fldCharType="end"/>
            </w:r>
          </w:hyperlink>
        </w:p>
        <w:p>
          <w:pPr>
            <w:pStyle w:val="11"/>
            <w:ind w:left="360"/>
            <w:tabs>
              <w:tab w:val="right" w:leader="dot" w:pos="9026"/>
            </w:tabs>
            <w:spacing w:before="120" w:after="60"/>
          </w:pPr>
          <w:hyperlink w:anchor="_Toc100027" w:history="1">
            <w:r>
              <w:rPr>
                <w:rStyle w:val="Hyperlink"/>
              </w:rPr>
              <w:t>7.3 近期工作计划</w:t>
            </w:r>
            <w:r>
              <w:tab/>
            </w:r>
            <w:r>
              <w:fldChar w:fldCharType="begin"/>
            </w:r>
            <w:r>
              <w:instrText xml:space="preserve"> PAGEREF _Toc100027 \h </w:instrText>
            </w:r>
            <w:r>
              <w:fldChar w:fldCharType="separate"/>
            </w:r>
            <w:r>
              <w:t>9</w:t>
            </w:r>
            <w:r>
              <w:fldChar w:fldCharType="end"/>
            </w:r>
          </w:hyperlink>
        </w:p>
        <w:p>
          <w:pPr>
            <w:pStyle w:val="9"/>
            <w:tabs>
              <w:tab w:val="right" w:leader="dot" w:pos="9026"/>
            </w:tabs>
            <w:spacing w:before="120" w:after="60"/>
          </w:pPr>
          <w:hyperlink w:anchor="_Toc100028" w:history="1">
            <w:r>
              <w:rPr>
                <w:rStyle w:val="Hyperlink"/>
              </w:rPr>
              <w:t>八、团队介绍</w:t>
            </w:r>
            <w:r>
              <w:tab/>
            </w:r>
            <w:r>
              <w:fldChar w:fldCharType="begin"/>
            </w:r>
            <w:r>
              <w:instrText xml:space="preserve"> PAGEREF _Toc100028 \h </w:instrText>
            </w:r>
            <w:r>
              <w:fldChar w:fldCharType="separate"/>
            </w:r>
            <w:r>
              <w:t>10</w:t>
            </w:r>
            <w:r>
              <w:fldChar w:fldCharType="end"/>
            </w:r>
          </w:hyperlink>
        </w:p>
        <w:p>
          <w:pPr>
            <w:pStyle w:val="9"/>
            <w:tabs>
              <w:tab w:val="right" w:leader="dot" w:pos="9026"/>
            </w:tabs>
            <w:spacing w:before="120" w:after="60"/>
          </w:pPr>
          <w:hyperlink w:anchor="_Toc100029" w:history="1">
            <w:r>
              <w:rPr>
                <w:rStyle w:val="Hyperlink"/>
              </w:rPr>
              <w:t>九、财务规划与资金使用</w:t>
            </w:r>
            <w:r>
              <w:tab/>
            </w:r>
            <w:r>
              <w:fldChar w:fldCharType="begin"/>
            </w:r>
            <w:r>
              <w:instrText xml:space="preserve"> PAGEREF _Toc100029 \h </w:instrText>
            </w:r>
            <w:r>
              <w:fldChar w:fldCharType="separate"/>
            </w:r>
            <w:r>
              <w:t>11</w:t>
            </w:r>
            <w:r>
              <w:fldChar w:fldCharType="end"/>
            </w:r>
          </w:hyperlink>
        </w:p>
        <w:p>
          <w:pPr>
            <w:pStyle w:val="11"/>
            <w:ind w:left="360"/>
            <w:tabs>
              <w:tab w:val="right" w:leader="dot" w:pos="9026"/>
            </w:tabs>
            <w:spacing w:before="120" w:after="60"/>
          </w:pPr>
          <w:hyperlink w:anchor="_Toc100030" w:history="1">
            <w:r>
              <w:rPr>
                <w:rStyle w:val="Hyperlink"/>
              </w:rPr>
              <w:t>9.1 成本构成</w:t>
            </w:r>
            <w:r>
              <w:tab/>
            </w:r>
            <w:r>
              <w:fldChar w:fldCharType="begin"/>
            </w:r>
            <w:r>
              <w:instrText xml:space="preserve"> PAGEREF _Toc100030 \h </w:instrText>
            </w:r>
            <w:r>
              <w:fldChar w:fldCharType="separate"/>
            </w:r>
            <w:r>
              <w:t>11</w:t>
            </w:r>
            <w:r>
              <w:fldChar w:fldCharType="end"/>
            </w:r>
          </w:hyperlink>
        </w:p>
        <w:p>
          <w:pPr>
            <w:pStyle w:val="11"/>
            <w:ind w:left="360"/>
            <w:tabs>
              <w:tab w:val="right" w:leader="dot" w:pos="9026"/>
            </w:tabs>
            <w:spacing w:before="120" w:after="60"/>
          </w:pPr>
          <w:hyperlink w:anchor="_Toc100031" w:history="1">
            <w:r>
              <w:rPr>
                <w:rStyle w:val="Hyperlink"/>
              </w:rPr>
              <w:t>9.2 资金使用计划</w:t>
            </w:r>
            <w:r>
              <w:tab/>
            </w:r>
            <w:r>
              <w:fldChar w:fldCharType="begin"/>
            </w:r>
            <w:r>
              <w:instrText xml:space="preserve"> PAGEREF _Toc100031 \h </w:instrText>
            </w:r>
            <w:r>
              <w:fldChar w:fldCharType="separate"/>
            </w:r>
            <w:r>
              <w:t>11</w:t>
            </w:r>
            <w:r>
              <w:fldChar w:fldCharType="end"/>
            </w:r>
          </w:hyperlink>
        </w:p>
        <w:p>
          <w:pPr>
            <w:pStyle w:val="11"/>
            <w:ind w:left="360"/>
            <w:tabs>
              <w:tab w:val="right" w:leader="dot" w:pos="9026"/>
            </w:tabs>
            <w:spacing w:before="120" w:after="60"/>
          </w:pPr>
          <w:hyperlink w:anchor="_Toc100032" w:history="1">
            <w:r>
              <w:rPr>
                <w:rStyle w:val="Hyperlink"/>
              </w:rPr>
              <w:t>9.3 收入测算口径</w:t>
            </w:r>
            <w:r>
              <w:tab/>
            </w:r>
            <w:r>
              <w:fldChar w:fldCharType="begin"/>
            </w:r>
            <w:r>
              <w:instrText xml:space="preserve"> PAGEREF _Toc100032 \h </w:instrText>
            </w:r>
            <w:r>
              <w:fldChar w:fldCharType="separate"/>
            </w:r>
            <w:r>
              <w:t>11</w:t>
            </w:r>
            <w:r>
              <w:fldChar w:fldCharType="end"/>
            </w:r>
          </w:hyperlink>
        </w:p>
        <w:p>
          <w:pPr>
            <w:pStyle w:val="9"/>
            <w:tabs>
              <w:tab w:val="right" w:leader="dot" w:pos="9026"/>
            </w:tabs>
            <w:spacing w:before="120" w:after="60"/>
          </w:pPr>
          <w:hyperlink w:anchor="_Toc100033" w:history="1">
            <w:r>
              <w:rPr>
                <w:rStyle w:val="Hyperlink"/>
              </w:rPr>
              <w:t>十、风险分析与应对</w:t>
            </w:r>
            <w:r>
              <w:tab/>
            </w:r>
            <w:r>
              <w:fldChar w:fldCharType="begin"/>
            </w:r>
            <w:r>
              <w:instrText xml:space="preserve"> PAGEREF _Toc100033 \h </w:instrText>
            </w:r>
            <w:r>
              <w:fldChar w:fldCharType="separate"/>
            </w:r>
            <w:r>
              <w:t>12</w:t>
            </w:r>
            <w:r>
              <w:fldChar w:fldCharType="end"/>
            </w:r>
          </w:hyperlink>
        </w:p>
        <w:p>
          <w:pPr>
            <w:pStyle w:val="9"/>
            <w:tabs>
              <w:tab w:val="right" w:leader="dot" w:pos="9026"/>
            </w:tabs>
            <w:spacing w:before="120" w:after="60"/>
          </w:pPr>
          <w:hyperlink w:anchor="_Toc100034" w:history="1">
            <w:r>
              <w:rPr>
                <w:rStyle w:val="Hyperlink"/>
              </w:rPr>
              <w:t>十一、社会价值与教育意义</w:t>
            </w:r>
            <w:r>
              <w:tab/>
            </w:r>
            <w:r>
              <w:fldChar w:fldCharType="begin"/>
            </w:r>
            <w:r>
              <w:instrText xml:space="preserve"> PAGEREF _Toc100034 \h </w:instrText>
            </w:r>
            <w:r>
              <w:fldChar w:fldCharType="separate"/>
            </w:r>
            <w:r>
              <w:t>12</w:t>
            </w:r>
            <w:r>
              <w:fldChar w:fldCharType="end"/>
            </w:r>
          </w:hyperlink>
        </w:p>
        <w:p>
          <w:pPr>
            <w:pStyle w:val="9"/>
            <w:tabs>
              <w:tab w:val="right" w:leader="dot" w:pos="9026"/>
            </w:tabs>
            <w:spacing w:before="120" w:after="60"/>
          </w:pPr>
          <w:hyperlink w:anchor="_Toc100035" w:history="1">
            <w:r>
              <w:rPr>
                <w:rStyle w:val="Hyperlink"/>
              </w:rPr>
              <w:t>附录：支撑材料清单</w:t>
            </w:r>
            <w:r>
              <w:tab/>
            </w:r>
            <w:r>
              <w:fldChar w:fldCharType="begin"/>
            </w:r>
            <w:r>
              <w:instrText xml:space="preserve"> PAGEREF _Toc100035 \h </w:instrText>
            </w:r>
            <w:r>
              <w:fldChar w:fldCharType="separate"/>
            </w:r>
            <w:r>
              <w:t>12</w:t>
            </w:r>
            <w:r>
              <w:fldChar w:fldCharType="end"/>
            </w:r>
          </w:hyperlink>
        </w:p>
        <w:p>
          <w:r>
            <w:fldChar w:fldCharType="end"/>
          </w:r>
        </w:p>
      </w:sdtContent>
    </w:sdt>
    <w:p>
      <w:pPr>
        <w:spacing w:before="200"/>
      </w:pPr>
      <w:r>
        <w:rPr>
          <w:rFonts w:ascii="Times New Roman" w:eastAsia="SimSun"/>
          <w:i/>
          <w:iCs/>
          <w:color w:val="888888"/>
          <w:sz w:val="18"/>
          <w:szCs w:val="18"/>
        </w:rPr>
        <w:t xml:space="preserve">注：本目录由域代码生成。文档编辑后如需确保页码准确，请在目录上点击右键并选择“更新域”。</w:t>
      </w:r>
    </w:p>
    <w:p>
      <w:pPr>
        <w:sectPr>
          <w:footerReference w:type="default" r:id="rId7"/>
          <w:type w:val="nextPage"/>
          <w:pgSz w:w="11906" w:h="16838" w:orient="portrait"/>
          <w:pgMar w:top="1440" w:right="1417" w:bottom="1440" w:left="1701" w:header="708" w:footer="708" w:gutter="0"/>
          <w:pgNumType w:start="1" w:fmt="upperRoman"/>
          <w:docGrid w:linePitch="360"/>
        </w:sectPr>
      </w:pPr>
    </w:p>
    <w:p>
      <w:pPr>
        <w:pStyle w:val="Heading1"/>
        <w:spacing w:after="160" w:before="360" w:line="312"/>
        <w:jc w:val="center"/>
      </w:pPr>
      <w:bookmarkStart w:id="100000" w:name="_Toc100000"/>
      <w:r>
        <w:rPr>
          <w:rFonts w:ascii="Times New Roman" w:eastAsia="SimHei"/>
          <w:b/>
          <w:bCs/>
          <w:color w:val="1A2330"/>
          <w:sz w:val="32"/>
          <w:szCs w:val="32"/>
        </w:rPr>
        <w:t xml:space="preserve">一、执行摘要</w:t>
      </w:r>
      <w:bookmarkEnd w:id="100000"/>
    </w:p>
    <w:p>
      <w:pPr>
        <w:spacing w:after="80" w:line="312"/>
        <w:ind w:firstLine="480"/>
        <w:jc w:val="both"/>
      </w:pPr>
      <w:r>
        <w:rPr>
          <w:rFonts w:ascii="Times New Roman" w:eastAsia="SimSun"/>
          <w:color w:val="000000"/>
          <w:sz w:val="24"/>
          <w:szCs w:val="24"/>
        </w:rPr>
        <w:t xml:space="preserve">星火（Sparkle）是一款面向大学生的人工智能学习成长系统，由北京邮电大学星火团队自主研发。项目针对当前通用人工智能工具“会答题、却不会带人把事做成”的普遍缺口，把学习者的目标、材料、行为、错误与反馈组织为持续演化的理解状态，在此基础上提供目标诊断、计划生成、任务拆解、执行陪伴与失败重规划的全链路支持。</w:t>
      </w:r>
    </w:p>
    <w:p>
      <w:pPr>
        <w:spacing w:after="80" w:line="312"/>
        <w:ind w:firstLine="480"/>
        <w:jc w:val="both"/>
      </w:pPr>
      <w:r>
        <w:rPr>
          <w:rFonts w:ascii="Times New Roman" w:eastAsia="SimSun"/>
          <w:color w:val="000000"/>
          <w:sz w:val="24"/>
          <w:szCs w:val="24"/>
        </w:rPr>
        <w:t xml:space="preserve">系统已完成工程化开发与多轮本地验收：24 种极端目标场景全部通过，本地考试冲刺基准 12 个场景全部通过，自适应内核验收项完成率 97.3%，关键路径真机联调跑通，移动端无响应状态占比降至 0%。项目获北京邮电大学“鸿雁杯”学生创新大赛校内二等奖。项目采用个人订阅、机构合作与生态协同三位一体的商业模式，从校园考试救急这一高频刚需场景切入，逐步扩展至多高校复制与教育机构合作。</w:t>
      </w:r>
    </w:p>
    <w:p>
      <w:pPr>
        <w:spacing w:after="80" w:line="312"/>
        <w:ind w:firstLine="480"/>
        <w:jc w:val="both"/>
      </w:pPr>
      <w:r>
        <w:rPr>
          <w:rFonts w:ascii="Times New Roman" w:eastAsia="SimSun"/>
          <w:color w:val="000000"/>
          <w:sz w:val="24"/>
          <w:szCs w:val="24"/>
        </w:rPr>
        <w:t xml:space="preserve">本计划书系统阐述项目的背景痛点、产品方案、技术架构、市场分析、商业模式、发展规划、团队构成、财务规划与风险应对，供评审专家与合作伙伴参考。</w:t>
      </w:r>
    </w:p>
    <w:p>
      <w:pPr>
        <w:pStyle w:val="Heading1"/>
        <w:spacing w:after="160" w:before="360" w:line="312"/>
        <w:jc w:val="center"/>
      </w:pPr>
      <w:bookmarkStart w:id="100001" w:name="_Toc100001"/>
      <w:r>
        <w:rPr>
          <w:rFonts w:ascii="Times New Roman" w:eastAsia="SimHei"/>
          <w:b/>
          <w:bCs/>
          <w:color w:val="1A2330"/>
          <w:sz w:val="32"/>
          <w:szCs w:val="32"/>
        </w:rPr>
        <w:t xml:space="preserve">二、项目背景与痛点分析</w:t>
      </w:r>
      <w:bookmarkEnd w:id="100001"/>
    </w:p>
    <w:p>
      <w:pPr>
        <w:pStyle w:val="Heading2"/>
        <w:spacing w:after="120" w:before="240" w:line="312"/>
      </w:pPr>
      <w:bookmarkStart w:id="100002" w:name="_Toc100002"/>
      <w:r>
        <w:rPr>
          <w:rFonts w:ascii="Times New Roman" w:eastAsia="SimHei"/>
          <w:b/>
          <w:bCs/>
          <w:color w:val="1A2330"/>
          <w:sz w:val="28"/>
          <w:szCs w:val="28"/>
        </w:rPr>
        <w:t xml:space="preserve">2.1 产业与政策背景</w:t>
      </w:r>
      <w:bookmarkEnd w:id="100002"/>
    </w:p>
    <w:p>
      <w:pPr>
        <w:spacing w:after="80" w:line="312"/>
        <w:ind w:firstLine="480"/>
        <w:jc w:val="both"/>
      </w:pPr>
      <w:r>
        <w:rPr>
          <w:rFonts w:ascii="Times New Roman" w:eastAsia="SimSun"/>
          <w:color w:val="000000"/>
          <w:sz w:val="24"/>
          <w:szCs w:val="24"/>
        </w:rPr>
        <w:t xml:space="preserve">生成式人工智能教育应用正处于高速增长期。根据东方财富研报库《2026 年中国 GenAI+ 教育行业发展报告》，2025 年中国生成式人工智能产品与服务总规模约 3442 亿元，教育是最具增长潜力的垂直领域之一。政策层面，教育部《“人工智能+教育”行动计划》明确提出支持构建教育垂类大模型，为人工智能教育产品的落地提供了国家级政策依托。</w:t>
      </w:r>
    </w:p>
    <w:p>
      <w:pPr>
        <w:spacing w:after="80" w:line="312"/>
        <w:ind w:firstLine="480"/>
        <w:jc w:val="both"/>
      </w:pPr>
      <w:r>
        <w:rPr>
          <w:rFonts w:ascii="Times New Roman" w:eastAsia="SimSun"/>
          <w:color w:val="000000"/>
          <w:sz w:val="24"/>
          <w:szCs w:val="24"/>
        </w:rPr>
        <w:t xml:space="preserve">在高等教育场景，全国在校大学生规模达数千万人，期末备考、考研、竞赛、考级等高压学习节点高频出现，学习规划与执行支持的需求刚性且未被充分满足。</w:t>
      </w:r>
    </w:p>
    <w:p>
      <w:pPr>
        <w:pStyle w:val="Heading2"/>
        <w:spacing w:after="120" w:before="240" w:line="312"/>
      </w:pPr>
      <w:bookmarkStart w:id="100003" w:name="_Toc100003"/>
      <w:r>
        <w:rPr>
          <w:rFonts w:ascii="Times New Roman" w:eastAsia="SimHei"/>
          <w:b/>
          <w:bCs/>
          <w:color w:val="1A2330"/>
          <w:sz w:val="28"/>
          <w:szCs w:val="28"/>
        </w:rPr>
        <w:t xml:space="preserve">2.2 核心痛点：人工智能很强，但普通人离目标没有更近</w:t>
      </w:r>
      <w:bookmarkEnd w:id="100003"/>
    </w:p>
    <w:p>
      <w:pPr>
        <w:spacing w:after="80" w:line="312"/>
        <w:ind w:firstLine="480"/>
        <w:jc w:val="both"/>
      </w:pPr>
      <w:r>
        <w:rPr>
          <w:rFonts w:ascii="Times New Roman" w:eastAsia="SimSun"/>
          <w:color w:val="000000"/>
          <w:sz w:val="24"/>
          <w:szCs w:val="24"/>
        </w:rPr>
        <w:t xml:space="preserve">通用大模型的能力已经很强，但普通学习者在使用它达成真实目标时，普遍卡在四个环节，形成四类断裂：</w:t>
      </w:r>
    </w:p>
    <w:p>
      <w:pPr>
        <w:spacing w:after="80" w:line="312"/>
        <w:ind w:firstLine="480"/>
        <w:jc w:val="both"/>
      </w:pPr>
      <w:r>
        <w:rPr>
          <w:rFonts w:ascii="Times New Roman" w:eastAsia="SimHei"/>
          <w:b/>
          <w:bCs/>
          <w:color w:val="000000"/>
          <w:sz w:val="24"/>
          <w:szCs w:val="24"/>
        </w:rPr>
        <w:t xml:space="preserve">一是需求断裂。</w:t>
      </w:r>
      <w:r>
        <w:rPr>
          <w:rFonts w:ascii="Times New Roman" w:eastAsia="SimSun"/>
          <w:b w:val="false"/>
          <w:bCs w:val="false"/>
          <w:color w:val="000000"/>
          <w:sz w:val="24"/>
          <w:szCs w:val="24"/>
        </w:rPr>
        <w:t xml:space="preserve">用户想通过考试，却说不清自己与目标之间的差距在哪里，不知道该给人工智能什么信息。</w:t>
      </w:r>
    </w:p>
    <w:p>
      <w:pPr>
        <w:spacing w:after="80" w:line="312"/>
        <w:ind w:firstLine="480"/>
        <w:jc w:val="both"/>
      </w:pPr>
      <w:r>
        <w:rPr>
          <w:rFonts w:ascii="Times New Roman" w:eastAsia="SimHei"/>
          <w:b/>
          <w:bCs/>
          <w:color w:val="000000"/>
          <w:sz w:val="24"/>
          <w:szCs w:val="24"/>
        </w:rPr>
        <w:t xml:space="preserve">二是路径断裂。</w:t>
      </w:r>
      <w:r>
        <w:rPr>
          <w:rFonts w:ascii="Times New Roman" w:eastAsia="SimSun"/>
          <w:b w:val="false"/>
          <w:bCs w:val="false"/>
          <w:color w:val="000000"/>
          <w:sz w:val="24"/>
          <w:szCs w:val="24"/>
        </w:rPr>
        <w:t xml:space="preserve">资料很多、时间很短，不知道先补哪一块、放弃哪一块，时间分配混乱导致提分受限。</w:t>
      </w:r>
    </w:p>
    <w:p>
      <w:pPr>
        <w:spacing w:after="80" w:line="312"/>
        <w:ind w:firstLine="480"/>
        <w:jc w:val="both"/>
      </w:pPr>
      <w:r>
        <w:rPr>
          <w:rFonts w:ascii="Times New Roman" w:eastAsia="SimHei"/>
          <w:b/>
          <w:bCs/>
          <w:color w:val="000000"/>
          <w:sz w:val="24"/>
          <w:szCs w:val="24"/>
        </w:rPr>
        <w:t xml:space="preserve">三是执行断裂。</w:t>
      </w:r>
      <w:r>
        <w:rPr>
          <w:rFonts w:ascii="Times New Roman" w:eastAsia="SimSun"/>
          <w:b w:val="false"/>
          <w:bCs w:val="false"/>
          <w:color w:val="000000"/>
          <w:sz w:val="24"/>
          <w:szCs w:val="24"/>
        </w:rPr>
        <w:t xml:space="preserve">计划看起来完整，落到今天只剩焦虑；拖延与反复放弃缺乏干预手段。</w:t>
      </w:r>
    </w:p>
    <w:p>
      <w:pPr>
        <w:spacing w:after="80" w:line="312"/>
        <w:ind w:firstLine="480"/>
        <w:jc w:val="both"/>
      </w:pPr>
      <w:r>
        <w:rPr>
          <w:rFonts w:ascii="Times New Roman" w:eastAsia="SimHei"/>
          <w:b/>
          <w:bCs/>
          <w:color w:val="000000"/>
          <w:sz w:val="24"/>
          <w:szCs w:val="24"/>
        </w:rPr>
        <w:t xml:space="preserve">四是反馈断裂。</w:t>
      </w:r>
      <w:r>
        <w:rPr>
          <w:rFonts w:ascii="Times New Roman" w:eastAsia="SimSun"/>
          <w:b w:val="false"/>
          <w:bCs w:val="false"/>
          <w:color w:val="000000"/>
          <w:sz w:val="24"/>
          <w:szCs w:val="24"/>
        </w:rPr>
        <w:t xml:space="preserve">失败之后没有人帮助判断原因，下一步怎么做仍然靠猜，同样的错误反复出现。</w:t>
      </w:r>
    </w:p>
    <w:p>
      <w:pPr>
        <w:spacing w:after="80" w:line="312"/>
        <w:ind w:firstLine="480"/>
        <w:jc w:val="both"/>
      </w:pPr>
      <w:r>
        <w:rPr>
          <w:rFonts w:ascii="Times New Roman" w:eastAsia="SimSun"/>
          <w:color w:val="000000"/>
          <w:sz w:val="24"/>
          <w:szCs w:val="24"/>
        </w:rPr>
        <w:t xml:space="preserve">问题不是模型不会答，而是用户不知道如何把目标变成路径、并一路做完。通用对话产品把判断留给用户，学习工具停留在打卡记录，人工辅导成本高昂。星火选择补上这一环：由系统承担提示词组织、任务拆解、取舍、追踪和纠偏的认知负担。</w:t>
      </w:r>
    </w:p>
    <w:p>
      <w:pPr>
        <w:pStyle w:val="Heading2"/>
        <w:spacing w:after="120" w:before="240" w:line="312"/>
      </w:pPr>
      <w:bookmarkStart w:id="100004" w:name="_Toc100004"/>
      <w:r>
        <w:rPr>
          <w:rFonts w:ascii="Times New Roman" w:eastAsia="SimHei"/>
          <w:b/>
          <w:bCs/>
          <w:color w:val="1A2330"/>
          <w:sz w:val="28"/>
          <w:szCs w:val="28"/>
        </w:rPr>
        <w:t xml:space="preserve">2.3 目标用户与切入场景</w:t>
      </w:r>
      <w:bookmarkEnd w:id="100004"/>
    </w:p>
    <w:p>
      <w:pPr>
        <w:spacing w:after="80" w:line="312"/>
        <w:ind w:firstLine="480"/>
        <w:jc w:val="both"/>
      </w:pPr>
      <w:r>
        <w:rPr>
          <w:rFonts w:ascii="Times New Roman" w:eastAsia="SimSun"/>
          <w:color w:val="000000"/>
          <w:sz w:val="24"/>
          <w:szCs w:val="24"/>
        </w:rPr>
        <w:t xml:space="preserve">核心用户为在校大学生（本科生与研究生），在期末备考、考研冲刺、竞赛备赛等高压节点存在强烈的学习规划与执行陪伴需求；次级用户包括考研考公人群、职业证书学习者与泛自学者。</w:t>
      </w:r>
    </w:p>
    <w:p>
      <w:pPr>
        <w:spacing w:after="80" w:line="312"/>
        <w:ind w:firstLine="480"/>
        <w:jc w:val="both"/>
      </w:pPr>
      <w:r>
        <w:rPr>
          <w:rFonts w:ascii="Times New Roman" w:eastAsia="SimHei"/>
          <w:b/>
          <w:bCs/>
          <w:color w:val="000000"/>
          <w:sz w:val="24"/>
          <w:szCs w:val="24"/>
        </w:rPr>
        <w:t xml:space="preserve">项目的北极星场景是“7 天后计算机网络考试、基本没学”：</w:t>
      </w:r>
      <w:r>
        <w:rPr>
          <w:rFonts w:ascii="Times New Roman" w:eastAsia="SimSun"/>
          <w:b w:val="false"/>
          <w:bCs w:val="false"/>
          <w:color w:val="000000"/>
          <w:sz w:val="24"/>
          <w:szCs w:val="24"/>
        </w:rPr>
        <w:t xml:space="preserve">系统不输出一份面面俱到的复习计划，而是先做 12 分钟诊断，按考试权重与当前基础取舍内容，主动放弃低收益章节，生成最小通过路径，再以逐日任务卡推进，失败后自动归因并重规划。这一场景集中体现了产品与通用工具的本质差异。</w:t>
      </w:r>
    </w:p>
    <w:p>
      <w:pPr>
        <w:pStyle w:val="Heading1"/>
        <w:spacing w:after="160" w:before="360" w:line="312"/>
        <w:jc w:val="center"/>
      </w:pPr>
      <w:bookmarkStart w:id="100005" w:name="_Toc100005"/>
      <w:r>
        <w:rPr>
          <w:rFonts w:ascii="Times New Roman" w:eastAsia="SimHei"/>
          <w:b/>
          <w:bCs/>
          <w:color w:val="1A2330"/>
          <w:sz w:val="32"/>
          <w:szCs w:val="32"/>
        </w:rPr>
        <w:t xml:space="preserve">三、产品介绍与解决方案</w:t>
      </w:r>
      <w:bookmarkEnd w:id="100005"/>
    </w:p>
    <w:p>
      <w:pPr>
        <w:pStyle w:val="Heading2"/>
        <w:spacing w:after="120" w:before="240" w:line="312"/>
      </w:pPr>
      <w:bookmarkStart w:id="100006" w:name="_Toc100006"/>
      <w:r>
        <w:rPr>
          <w:rFonts w:ascii="Times New Roman" w:eastAsia="SimHei"/>
          <w:b/>
          <w:bCs/>
          <w:color w:val="1A2330"/>
          <w:sz w:val="28"/>
          <w:szCs w:val="28"/>
        </w:rPr>
        <w:t xml:space="preserve">3.1 产品定位</w:t>
      </w:r>
      <w:bookmarkEnd w:id="100006"/>
    </w:p>
    <w:p>
      <w:pPr>
        <w:spacing w:after="80" w:line="312"/>
        <w:ind w:firstLine="480"/>
        <w:jc w:val="both"/>
      </w:pPr>
      <w:r>
        <w:rPr>
          <w:rFonts w:ascii="Times New Roman" w:eastAsia="SimSun"/>
          <w:color w:val="000000"/>
          <w:sz w:val="24"/>
          <w:szCs w:val="24"/>
        </w:rPr>
        <w:t xml:space="preserve">星火的定位是人工智能学习成长系统：短期形态是人工智能学习教练，长期形态是个人成长操作系统。产品向用户呈现四个模式：理解（先弄清你是谁、你要什么、还缺什么）、规划（给出最合适的计划、节奏和下一步）、适应（当现实变化时，路径跟着变）、成长（系统越用越懂你，且你能看见并纠正它）。它不是只会聊天的机器人，也不是普通的打卡软件。</w:t>
      </w:r>
    </w:p>
    <w:p>
      <w:pPr>
        <w:pStyle w:val="Heading2"/>
        <w:spacing w:after="120" w:before="240" w:line="312"/>
      </w:pPr>
      <w:bookmarkStart w:id="100007" w:name="_Toc100007"/>
      <w:r>
        <w:rPr>
          <w:rFonts w:ascii="Times New Roman" w:eastAsia="SimHei"/>
          <w:b/>
          <w:bCs/>
          <w:color w:val="1A2330"/>
          <w:sz w:val="28"/>
          <w:szCs w:val="28"/>
        </w:rPr>
        <w:t xml:space="preserve">3.2 解决方案总览</w:t>
      </w:r>
      <w:bookmarkEnd w:id="100007"/>
    </w:p>
    <w:p>
      <w:pPr>
        <w:spacing w:after="80" w:line="312"/>
        <w:ind w:firstLine="480"/>
        <w:jc w:val="both"/>
      </w:pPr>
      <w:r>
        <w:rPr>
          <w:rFonts w:ascii="Times New Roman" w:eastAsia="SimSun"/>
          <w:color w:val="000000"/>
          <w:sz w:val="24"/>
          <w:szCs w:val="24"/>
        </w:rPr>
        <w:t xml:space="preserve">星火围绕一条连续的工作循环构建：感知—澄清—规划—执行—反思—强化—适应。系统持续感知用户的目标、材料、行为与情绪状态；在规划前先评估信息是否充分，必要时主动追问；生成的计划以可执行的任务卡形式落地；执行结果与失败原因回流系统，更新对用户的理解，并自动调整后续所有相关决策。用户的每一次纠正都会成为系统的学习素材，长期沉淀为个人方法资产。</w:t>
      </w:r>
    </w:p>
    <w:p>
      <w:pPr>
        <w:pStyle w:val="Heading2"/>
        <w:spacing w:after="120" w:before="240" w:line="312"/>
      </w:pPr>
      <w:bookmarkStart w:id="100008" w:name="_Toc100008"/>
      <w:r>
        <w:rPr>
          <w:rFonts w:ascii="Times New Roman" w:eastAsia="SimHei"/>
          <w:b/>
          <w:bCs/>
          <w:color w:val="1A2330"/>
          <w:sz w:val="28"/>
          <w:szCs w:val="28"/>
        </w:rPr>
        <w:t xml:space="preserve">3.3 四大核心创新点</w:t>
      </w:r>
      <w:bookmarkEnd w:id="100008"/>
    </w:p>
    <w:p>
      <w:pPr>
        <w:spacing w:after="80" w:line="312"/>
        <w:ind w:firstLine="480"/>
        <w:jc w:val="both"/>
      </w:pPr>
      <w:r>
        <w:rPr>
          <w:rFonts w:ascii="Times New Roman" w:eastAsia="SimHei"/>
          <w:b/>
          <w:bCs/>
          <w:color w:val="000000"/>
          <w:sz w:val="24"/>
          <w:szCs w:val="24"/>
        </w:rPr>
        <w:t xml:space="preserve">创新点一：决策入口创新。</w:t>
      </w:r>
      <w:r>
        <w:rPr>
          <w:rFonts w:ascii="Times New Roman" w:eastAsia="SimSun"/>
          <w:b w:val="false"/>
          <w:bCs w:val="false"/>
          <w:color w:val="000000"/>
          <w:sz w:val="24"/>
          <w:szCs w:val="24"/>
        </w:rPr>
        <w:t xml:space="preserve">自适应认知控制层（Aurora）让人工智能在每次回答前先做目标决策：同一句“7 天后考计网，基本没学”，通用大模型通常给出覆盖全部章节的完整计划，看似全面却没有取舍；星火先进入抢救模式，先诊断、再取舍、输出最小通过路径。这不是聊天技巧，而是把模型能力装进目标状态、用户画像与反馈闭环里。</w:t>
      </w:r>
    </w:p>
    <w:p>
      <w:pPr>
        <w:spacing w:after="80" w:line="312"/>
        <w:ind w:firstLine="480"/>
        <w:jc w:val="both"/>
      </w:pPr>
      <w:r>
        <w:rPr>
          <w:rFonts w:ascii="Times New Roman" w:eastAsia="SimHei"/>
          <w:b/>
          <w:bCs/>
          <w:color w:val="000000"/>
          <w:sz w:val="24"/>
          <w:szCs w:val="24"/>
        </w:rPr>
        <w:t xml:space="preserve">创新点二：任务卡与失败归因重规划。</w:t>
      </w:r>
      <w:r>
        <w:rPr>
          <w:rFonts w:ascii="Times New Roman" w:eastAsia="SimSun"/>
          <w:b w:val="false"/>
          <w:bCs w:val="false"/>
          <w:color w:val="000000"/>
          <w:sz w:val="24"/>
          <w:szCs w:val="24"/>
        </w:rPr>
        <w:t xml:space="preserve">每张任务卡都包含为什么做、预计时长、驱动材料、卡住怎么办与完成标准。失败不是计划的终点：任务超时后，系统引导归因（例如“不是没时间，是不会做报文段推理”），据此改判策略并重规划，后续所有相关任务卡自动调整。</w:t>
      </w:r>
    </w:p>
    <w:p>
      <w:pPr>
        <w:spacing w:after="80" w:line="312"/>
        <w:ind w:firstLine="480"/>
        <w:jc w:val="both"/>
      </w:pPr>
      <w:r>
        <w:rPr>
          <w:rFonts w:ascii="Times New Roman" w:eastAsia="SimHei"/>
          <w:b/>
          <w:bCs/>
          <w:color w:val="000000"/>
          <w:sz w:val="24"/>
          <w:szCs w:val="24"/>
        </w:rPr>
        <w:t xml:space="preserve">创新点三：个人方法资产沉淀。</w:t>
      </w:r>
      <w:r>
        <w:rPr>
          <w:rFonts w:ascii="Times New Roman" w:eastAsia="SimSun"/>
          <w:b w:val="false"/>
          <w:bCs w:val="false"/>
          <w:color w:val="000000"/>
          <w:sz w:val="24"/>
          <w:szCs w:val="24"/>
        </w:rPr>
        <w:t xml:space="preserve">系统长期积累关于“这个人怎么更容易做成事”的可迁移资产：薄弱点清单、有效资料偏好、任务粒度偏好（例如 45 分钟以上容易拖延）、可迁移策略（例如先练真题再补理论），并自动推荐到下一个目标。用得越久，越难被替代。</w:t>
      </w:r>
    </w:p>
    <w:p>
      <w:pPr>
        <w:spacing w:after="80" w:line="312"/>
        <w:ind w:firstLine="480"/>
        <w:jc w:val="both"/>
      </w:pPr>
      <w:r>
        <w:rPr>
          <w:rFonts w:ascii="Times New Roman" w:eastAsia="SimHei"/>
          <w:b/>
          <w:bCs/>
          <w:color w:val="000000"/>
          <w:sz w:val="24"/>
          <w:szCs w:val="24"/>
        </w:rPr>
        <w:t xml:space="preserve">创新点四：可信与用户纠偏机制。</w:t>
      </w:r>
      <w:r>
        <w:rPr>
          <w:rFonts w:ascii="Times New Roman" w:eastAsia="SimSun"/>
          <w:b w:val="false"/>
          <w:bCs w:val="false"/>
          <w:color w:val="000000"/>
          <w:sz w:val="24"/>
          <w:szCs w:val="24"/>
        </w:rPr>
        <w:t xml:space="preserve">关键决策可追溯（为什么建议先救传输控制协议）、上下文使用有回执、用户可随时纠正系统的判断、权限与审计内建。可信不是保证不出错，而是出错时能看见、能纠正、能把系统带回正确轨道。</w:t>
      </w:r>
    </w:p>
    <w:p>
      <w:pPr>
        <w:pStyle w:val="Heading2"/>
        <w:spacing w:after="120" w:before="240" w:line="312"/>
      </w:pPr>
      <w:bookmarkStart w:id="100009" w:name="_Toc100009"/>
      <w:r>
        <w:rPr>
          <w:rFonts w:ascii="Times New Roman" w:eastAsia="SimHei"/>
          <w:b/>
          <w:bCs/>
          <w:color w:val="1A2330"/>
          <w:sz w:val="28"/>
          <w:szCs w:val="28"/>
        </w:rPr>
        <w:t xml:space="preserve">3.4 产品功能全景</w:t>
      </w:r>
      <w:bookmarkEnd w:id="100009"/>
    </w:p>
    <w:p>
      <w:pPr>
        <w:spacing w:after="80" w:line="312"/>
        <w:ind w:firstLine="480"/>
        <w:jc w:val="both"/>
      </w:pPr>
      <w:r>
        <w:rPr>
          <w:rFonts w:ascii="Times New Roman" w:eastAsia="SimSun"/>
          <w:color w:val="000000"/>
          <w:sz w:val="24"/>
          <w:szCs w:val="24"/>
        </w:rPr>
        <w:t xml:space="preserve">在核心循环之外，产品提供知识星图（以图结构记录每个知识点的掌握度、证据、错因与迁移关系，而非笔记堆砌）、社群责任机制（责任伙伴互相见证目标、冲刺小组围绕截止日期协同、打卡沉淀执行证据）、学习洞察与成就激励、多端体验与离线支持等功能，共同构成从个人任务到班级、课程与机构协作的完整产品形态。</w:t>
      </w:r>
    </w:p>
    <w:p>
      <w:pPr>
        <w:pStyle w:val="Heading1"/>
        <w:spacing w:after="160" w:before="360" w:line="312"/>
        <w:jc w:val="center"/>
      </w:pPr>
      <w:bookmarkStart w:id="100010" w:name="_Toc100010"/>
      <w:r>
        <w:rPr>
          <w:rFonts w:ascii="Times New Roman" w:eastAsia="SimHei"/>
          <w:b/>
          <w:bCs/>
          <w:color w:val="1A2330"/>
          <w:sz w:val="32"/>
          <w:szCs w:val="32"/>
        </w:rPr>
        <w:t xml:space="preserve">四、技术方案与系统架构</w:t>
      </w:r>
      <w:bookmarkEnd w:id="100010"/>
    </w:p>
    <w:p>
      <w:pPr>
        <w:pStyle w:val="Heading2"/>
        <w:spacing w:after="120" w:before="240" w:line="312"/>
      </w:pPr>
      <w:bookmarkStart w:id="100011" w:name="_Toc100011"/>
      <w:r>
        <w:rPr>
          <w:rFonts w:ascii="Times New Roman" w:eastAsia="SimHei"/>
          <w:b/>
          <w:bCs/>
          <w:color w:val="1A2330"/>
          <w:sz w:val="28"/>
          <w:szCs w:val="28"/>
        </w:rPr>
        <w:t xml:space="preserve">4.1 三层混合架构</w:t>
      </w:r>
      <w:bookmarkEnd w:id="100011"/>
    </w:p>
    <w:p>
      <w:pPr>
        <w:spacing w:after="80" w:line="312"/>
        <w:ind w:firstLine="480"/>
        <w:jc w:val="both"/>
      </w:pPr>
      <w:r>
        <w:rPr>
          <w:rFonts w:ascii="Times New Roman" w:eastAsia="SimSun"/>
          <w:color w:val="000000"/>
          <w:sz w:val="24"/>
          <w:szCs w:val="24"/>
        </w:rPr>
        <w:t xml:space="preserve">系统采用移动应用加智能引擎的三层混合架构：Flutter 移动端承载产品体验与离线优先能力；Go 网关负责接入、鉴权、限流与实时消息链路；Python 智能引擎负责编排、检索增强、工具调用与双核路由。底层数据设施采用关系数据库（含向量检索与图计算扩展）、内存缓存与消息总线、对象存储及异步任务队列。分层边界清晰：网关不做智能推理，引擎不做用户鉴权，保障系统可演进与可审计。</w:t>
      </w:r>
    </w:p>
    <w:p>
      <w:pPr>
        <w:pStyle w:val="Heading2"/>
        <w:spacing w:after="120" w:before="240" w:line="312"/>
      </w:pPr>
      <w:bookmarkStart w:id="100012" w:name="_Toc100012"/>
      <w:r>
        <w:rPr>
          <w:rFonts w:ascii="Times New Roman" w:eastAsia="SimHei"/>
          <w:b/>
          <w:bCs/>
          <w:color w:val="1A2330"/>
          <w:sz w:val="28"/>
          <w:szCs w:val="28"/>
        </w:rPr>
        <w:t xml:space="preserve">4.2 自适应认知控制层与双核协作</w:t>
      </w:r>
      <w:bookmarkEnd w:id="100012"/>
    </w:p>
    <w:p>
      <w:pPr>
        <w:spacing w:after="80" w:line="312"/>
        <w:ind w:firstLine="480"/>
        <w:jc w:val="both"/>
      </w:pPr>
      <w:r>
        <w:rPr>
          <w:rFonts w:ascii="Times New Roman" w:eastAsia="SimSun"/>
          <w:color w:val="000000"/>
          <w:sz w:val="24"/>
          <w:szCs w:val="24"/>
        </w:rPr>
        <w:t xml:space="preserve">Aurora 控制层在每次模型调用前先组装上下文与决策目标：目标与截止时间、用户画像与情绪状态、当前资料、历史反馈，再决定诊断内容、取舍策略、任务粒度与模型路由。系统内部由执行核（目标澄清、充分性评估、计划、任务、反馈调整）与认知核（画像、记忆、情绪动机理解、持续陪伴）两个协同内核经确定性路由器协作，既保证推进力，也保证陪伴感。</w:t>
      </w:r>
    </w:p>
    <w:p>
      <w:pPr>
        <w:pStyle w:val="Heading2"/>
        <w:spacing w:after="120" w:before="240" w:line="312"/>
      </w:pPr>
      <w:bookmarkStart w:id="100013" w:name="_Toc100013"/>
      <w:r>
        <w:rPr>
          <w:rFonts w:ascii="Times New Roman" w:eastAsia="SimHei"/>
          <w:b/>
          <w:bCs/>
          <w:color w:val="1A2330"/>
          <w:sz w:val="28"/>
          <w:szCs w:val="28"/>
        </w:rPr>
        <w:t xml:space="preserve">4.3 贝叶斯证据融合（研究亮点）</w:t>
      </w:r>
      <w:bookmarkEnd w:id="100013"/>
    </w:p>
    <w:p>
      <w:pPr>
        <w:spacing w:after="80" w:line="312"/>
        <w:ind w:firstLine="480"/>
        <w:jc w:val="both"/>
      </w:pPr>
      <w:r>
        <w:rPr>
          <w:rFonts w:ascii="Times New Roman" w:eastAsia="SimSun"/>
          <w:color w:val="000000"/>
          <w:sz w:val="24"/>
          <w:szCs w:val="24"/>
        </w:rPr>
        <w:t xml:space="preserve">系统将多源噪声信号（对话内容、任务完成情况、沉默时长、用户纠错）统一为证据对象，经类卡尔曼滤波更新维护对认知负荷、执行力、目标清晰度等潜变量的信念状态（均值、方差、置信度），驱动双核模式选择。全部路由决策留有影子轨迹与校准样本，策略升级必须通过离线策略评估门控方可上线，形成可审计、可回滚的决策体系。团队已完成配套研究论文草稿《基于贝叶斯证据融合的人工智能学习助手状态估计与自适应决策模型》。</w:t>
      </w:r>
    </w:p>
    <w:p>
      <w:pPr>
        <w:pStyle w:val="Heading2"/>
        <w:spacing w:after="120" w:before="240" w:line="312"/>
      </w:pPr>
      <w:bookmarkStart w:id="100014" w:name="_Toc100014"/>
      <w:r>
        <w:rPr>
          <w:rFonts w:ascii="Times New Roman" w:eastAsia="SimHei"/>
          <w:b/>
          <w:bCs/>
          <w:color w:val="1A2330"/>
          <w:sz w:val="28"/>
          <w:szCs w:val="28"/>
        </w:rPr>
        <w:t xml:space="preserve">4.4 工程验证成果</w:t>
      </w:r>
      <w:bookmarkEnd w:id="100014"/>
    </w:p>
    <w:p>
      <w:pPr>
        <w:spacing w:after="80" w:line="312"/>
        <w:ind w:firstLine="480"/>
        <w:jc w:val="both"/>
      </w:pPr>
      <w:r>
        <w:rPr>
          <w:rFonts w:ascii="Times New Roman" w:eastAsia="SimSun"/>
          <w:color w:val="000000"/>
          <w:sz w:val="24"/>
          <w:szCs w:val="24"/>
        </w:rPr>
        <w:t xml:space="preserve">项目已按工业化标准完成多轮验证，核心指标如下表所示。</w:t>
      </w:r>
    </w:p>
    <w:p>
      <w:pPr>
        <w:keepNext/>
        <w:spacing w:after="80" w:before="160" w:line="312"/>
        <w:jc w:val="center"/>
      </w:pPr>
      <w:r>
        <w:rPr>
          <w:rFonts w:ascii="Times New Roman" w:eastAsia="SimHei"/>
          <w:b/>
          <w:bCs/>
          <w:color w:val="1A2330"/>
          <w:sz w:val="21"/>
          <w:szCs w:val="21"/>
        </w:rPr>
        <w:t xml:space="preserve">表 1 工程验证核心指标</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Pr>
      <w:tblGrid>
        <w:gridCol w:w="100"/>
        <w:gridCol w:w="100"/>
        <w:gridCol w:w="100"/>
      </w:tblGrid>
      <w:tr>
        <w:trPr>
          <w:cantSplit/>
          <w:tblHeader/>
        </w:trPr>
        <w:tc>
          <w:tcPr>
            <w:tcW w:type="pct" w:w="28%"/>
            <w:shd w:fill="D4875A" w:val="clear"/>
            <w:tcMar>
              <w:top w:type="dxa" w:w="80"/>
              <w:left w:type="dxa" w:w="120"/>
              <w:bottom w:type="dxa" w:w="80"/>
              <w:right w:type="dxa" w:w="120"/>
            </w:tcMar>
          </w:tcPr>
          <w:p>
            <w:pPr>
              <w:spacing w:line="276"/>
            </w:pPr>
            <w:r>
              <w:rPr>
                <w:rFonts w:ascii="Times New Roman" w:eastAsia="SimHei"/>
                <w:b/>
                <w:bCs/>
                <w:color w:val="FFFFFF"/>
                <w:sz w:val="21"/>
                <w:szCs w:val="21"/>
              </w:rPr>
              <w:t xml:space="preserve">验证项</w:t>
            </w:r>
          </w:p>
        </w:tc>
        <w:tc>
          <w:tcPr>
            <w:tcW w:type="pct" w:w="26%"/>
            <w:shd w:fill="D4875A" w:val="clear"/>
            <w:tcMar>
              <w:top w:type="dxa" w:w="80"/>
              <w:left w:type="dxa" w:w="120"/>
              <w:bottom w:type="dxa" w:w="80"/>
              <w:right w:type="dxa" w:w="120"/>
            </w:tcMar>
          </w:tcPr>
          <w:p>
            <w:pPr>
              <w:spacing w:line="276"/>
            </w:pPr>
            <w:r>
              <w:rPr>
                <w:rFonts w:ascii="Times New Roman" w:eastAsia="SimHei"/>
                <w:b/>
                <w:bCs/>
                <w:color w:val="FFFFFF"/>
                <w:sz w:val="21"/>
                <w:szCs w:val="21"/>
              </w:rPr>
              <w:t xml:space="preserve">结果</w:t>
            </w:r>
          </w:p>
        </w:tc>
        <w:tc>
          <w:tcPr>
            <w:tcW w:type="pct" w:w="46%"/>
            <w:shd w:fill="D4875A" w:val="clear"/>
            <w:tcMar>
              <w:top w:type="dxa" w:w="80"/>
              <w:left w:type="dxa" w:w="120"/>
              <w:bottom w:type="dxa" w:w="80"/>
              <w:right w:type="dxa" w:w="120"/>
            </w:tcMar>
          </w:tcPr>
          <w:p>
            <w:pPr>
              <w:spacing w:line="276"/>
            </w:pPr>
            <w:r>
              <w:rPr>
                <w:rFonts w:ascii="Times New Roman" w:eastAsia="SimHei"/>
                <w:b/>
                <w:bCs/>
                <w:color w:val="FFFFFF"/>
                <w:sz w:val="21"/>
                <w:szCs w:val="21"/>
              </w:rPr>
              <w:t xml:space="preserve">说明</w:t>
            </w:r>
          </w:p>
        </w:tc>
      </w:tr>
      <w:tr>
        <w:trPr>
          <w:cantSplit/>
        </w:trPr>
        <w:tc>
          <w:tcPr>
            <w:tcW w:type="pct" w:w="28%"/>
            <w:shd w:fill="FFFFFF" w:val="clear"/>
            <w:tcMar>
              <w:top w:type="dxa" w:w="80"/>
              <w:left w:type="dxa" w:w="120"/>
              <w:bottom w:type="dxa" w:w="80"/>
              <w:right w:type="dxa" w:w="120"/>
            </w:tcMar>
          </w:tcPr>
          <w:p>
            <w:pPr>
              <w:spacing w:line="276"/>
            </w:pPr>
            <w:r>
              <w:rPr>
                <w:rFonts w:ascii="Times New Roman" w:eastAsia="SimSun"/>
                <w:color w:val="000000"/>
                <w:sz w:val="21"/>
                <w:szCs w:val="21"/>
              </w:rPr>
              <w:t xml:space="preserve">极端目标场景测试</w:t>
            </w:r>
          </w:p>
        </w:tc>
        <w:tc>
          <w:tcPr>
            <w:tcW w:type="pct" w:w="26%"/>
            <w:shd w:fill="FFFFFF" w:val="clear"/>
            <w:tcMar>
              <w:top w:type="dxa" w:w="80"/>
              <w:left w:type="dxa" w:w="120"/>
              <w:bottom w:type="dxa" w:w="80"/>
              <w:right w:type="dxa" w:w="120"/>
            </w:tcMar>
          </w:tcPr>
          <w:p>
            <w:pPr>
              <w:spacing w:line="276"/>
            </w:pPr>
            <w:r>
              <w:rPr>
                <w:rFonts w:ascii="Times New Roman" w:eastAsia="SimSun"/>
                <w:color w:val="000000"/>
                <w:sz w:val="21"/>
                <w:szCs w:val="21"/>
              </w:rPr>
              <w:t xml:space="preserve">24 种全部通过</w:t>
            </w:r>
          </w:p>
        </w:tc>
        <w:tc>
          <w:tcPr>
            <w:tcW w:type="pct" w:w="46%"/>
            <w:shd w:fill="FFFFFF" w:val="clear"/>
            <w:tcMar>
              <w:top w:type="dxa" w:w="80"/>
              <w:left w:type="dxa" w:w="120"/>
              <w:bottom w:type="dxa" w:w="80"/>
              <w:right w:type="dxa" w:w="120"/>
            </w:tcMar>
          </w:tcPr>
          <w:p>
            <w:pPr>
              <w:spacing w:line="276"/>
            </w:pPr>
            <w:r>
              <w:rPr>
                <w:rFonts w:ascii="Times New Roman" w:eastAsia="SimSun"/>
                <w:color w:val="000000"/>
                <w:sz w:val="21"/>
                <w:szCs w:val="21"/>
              </w:rPr>
              <w:t xml:space="preserve">含零基础、7 天截止、多目标冲突等难场景</w:t>
            </w:r>
          </w:p>
        </w:tc>
      </w:tr>
      <w:tr>
        <w:trPr>
          <w:cantSplit/>
        </w:trPr>
        <w:tc>
          <w:tcPr>
            <w:tcW w:type="pct" w:w="28%"/>
            <w:shd w:fill="F8F0EB" w:val="clear"/>
            <w:tcMar>
              <w:top w:type="dxa" w:w="80"/>
              <w:left w:type="dxa" w:w="120"/>
              <w:bottom w:type="dxa" w:w="80"/>
              <w:right w:type="dxa" w:w="120"/>
            </w:tcMar>
          </w:tcPr>
          <w:p>
            <w:pPr>
              <w:spacing w:line="276"/>
            </w:pPr>
            <w:r>
              <w:rPr>
                <w:rFonts w:ascii="Times New Roman" w:eastAsia="SimSun"/>
                <w:color w:val="000000"/>
                <w:sz w:val="21"/>
                <w:szCs w:val="21"/>
              </w:rPr>
              <w:t xml:space="preserve">本地考试冲刺基准</w:t>
            </w:r>
          </w:p>
        </w:tc>
        <w:tc>
          <w:tcPr>
            <w:tcW w:type="pct" w:w="26%"/>
            <w:shd w:fill="F8F0EB" w:val="clear"/>
            <w:tcMar>
              <w:top w:type="dxa" w:w="80"/>
              <w:left w:type="dxa" w:w="120"/>
              <w:bottom w:type="dxa" w:w="80"/>
              <w:right w:type="dxa" w:w="120"/>
            </w:tcMar>
          </w:tcPr>
          <w:p>
            <w:pPr>
              <w:spacing w:line="276"/>
            </w:pPr>
            <w:r>
              <w:rPr>
                <w:rFonts w:ascii="Times New Roman" w:eastAsia="SimSun"/>
                <w:color w:val="000000"/>
                <w:sz w:val="21"/>
                <w:szCs w:val="21"/>
              </w:rPr>
              <w:t xml:space="preserve">12/12 通过</w:t>
            </w:r>
          </w:p>
        </w:tc>
        <w:tc>
          <w:tcPr>
            <w:tcW w:type="pct" w:w="46%"/>
            <w:shd w:fill="F8F0EB" w:val="clear"/>
            <w:tcMar>
              <w:top w:type="dxa" w:w="80"/>
              <w:left w:type="dxa" w:w="120"/>
              <w:bottom w:type="dxa" w:w="80"/>
              <w:right w:type="dxa" w:w="120"/>
            </w:tcMar>
          </w:tcPr>
          <w:p>
            <w:pPr>
              <w:spacing w:line="276"/>
            </w:pPr>
            <w:r>
              <w:rPr>
                <w:rFonts w:ascii="Times New Roman" w:eastAsia="SimSun"/>
                <w:color w:val="000000"/>
                <w:sz w:val="21"/>
                <w:szCs w:val="21"/>
              </w:rPr>
              <w:t xml:space="preserve">覆盖抢救式备考全流程</w:t>
            </w:r>
          </w:p>
        </w:tc>
      </w:tr>
      <w:tr>
        <w:trPr>
          <w:cantSplit/>
        </w:trPr>
        <w:tc>
          <w:tcPr>
            <w:tcW w:type="pct" w:w="28%"/>
            <w:shd w:fill="FFFFFF" w:val="clear"/>
            <w:tcMar>
              <w:top w:type="dxa" w:w="80"/>
              <w:left w:type="dxa" w:w="120"/>
              <w:bottom w:type="dxa" w:w="80"/>
              <w:right w:type="dxa" w:w="120"/>
            </w:tcMar>
          </w:tcPr>
          <w:p>
            <w:pPr>
              <w:spacing w:line="276"/>
            </w:pPr>
            <w:r>
              <w:rPr>
                <w:rFonts w:ascii="Times New Roman" w:eastAsia="SimSun"/>
                <w:color w:val="000000"/>
                <w:sz w:val="21"/>
                <w:szCs w:val="21"/>
              </w:rPr>
              <w:t xml:space="preserve">自适应内核验收项</w:t>
            </w:r>
          </w:p>
        </w:tc>
        <w:tc>
          <w:tcPr>
            <w:tcW w:type="pct" w:w="26%"/>
            <w:shd w:fill="FFFFFF" w:val="clear"/>
            <w:tcMar>
              <w:top w:type="dxa" w:w="80"/>
              <w:left w:type="dxa" w:w="120"/>
              <w:bottom w:type="dxa" w:w="80"/>
              <w:right w:type="dxa" w:w="120"/>
            </w:tcMar>
          </w:tcPr>
          <w:p>
            <w:pPr>
              <w:spacing w:line="276"/>
            </w:pPr>
            <w:r>
              <w:rPr>
                <w:rFonts w:ascii="Times New Roman" w:eastAsia="SimSun"/>
                <w:color w:val="000000"/>
                <w:sz w:val="21"/>
                <w:szCs w:val="21"/>
              </w:rPr>
              <w:t xml:space="preserve">72/74 完成（97.3%）</w:t>
            </w:r>
          </w:p>
        </w:tc>
        <w:tc>
          <w:tcPr>
            <w:tcW w:type="pct" w:w="46%"/>
            <w:shd w:fill="FFFFFF" w:val="clear"/>
            <w:tcMar>
              <w:top w:type="dxa" w:w="80"/>
              <w:left w:type="dxa" w:w="120"/>
              <w:bottom w:type="dxa" w:w="80"/>
              <w:right w:type="dxa" w:w="120"/>
            </w:tcMar>
          </w:tcPr>
          <w:p>
            <w:pPr>
              <w:spacing w:line="276"/>
            </w:pPr>
            <w:r>
              <w:rPr>
                <w:rFonts w:ascii="Times New Roman" w:eastAsia="SimSun"/>
                <w:color w:val="000000"/>
                <w:sz w:val="21"/>
                <w:szCs w:val="21"/>
              </w:rPr>
              <w:t xml:space="preserve">阶段收束验证与出口门报告</w:t>
            </w:r>
          </w:p>
        </w:tc>
      </w:tr>
      <w:tr>
        <w:trPr>
          <w:cantSplit/>
        </w:trPr>
        <w:tc>
          <w:tcPr>
            <w:tcW w:type="pct" w:w="28%"/>
            <w:shd w:fill="F8F0EB" w:val="clear"/>
            <w:tcMar>
              <w:top w:type="dxa" w:w="80"/>
              <w:left w:type="dxa" w:w="120"/>
              <w:bottom w:type="dxa" w:w="80"/>
              <w:right w:type="dxa" w:w="120"/>
            </w:tcMar>
          </w:tcPr>
          <w:p>
            <w:pPr>
              <w:spacing w:line="276"/>
            </w:pPr>
            <w:r>
              <w:rPr>
                <w:rFonts w:ascii="Times New Roman" w:eastAsia="SimSun"/>
                <w:color w:val="000000"/>
                <w:sz w:val="21"/>
                <w:szCs w:val="21"/>
              </w:rPr>
              <w:t xml:space="preserve">关键路径真机联调</w:t>
            </w:r>
          </w:p>
        </w:tc>
        <w:tc>
          <w:tcPr>
            <w:tcW w:type="pct" w:w="26%"/>
            <w:shd w:fill="F8F0EB" w:val="clear"/>
            <w:tcMar>
              <w:top w:type="dxa" w:w="80"/>
              <w:left w:type="dxa" w:w="120"/>
              <w:bottom w:type="dxa" w:w="80"/>
              <w:right w:type="dxa" w:w="120"/>
            </w:tcMar>
          </w:tcPr>
          <w:p>
            <w:pPr>
              <w:spacing w:line="276"/>
            </w:pPr>
            <w:r>
              <w:rPr>
                <w:rFonts w:ascii="Times New Roman" w:eastAsia="SimSun"/>
                <w:color w:val="000000"/>
                <w:sz w:val="21"/>
                <w:szCs w:val="21"/>
              </w:rPr>
              <w:t xml:space="preserve">90% 以上跑通</w:t>
            </w:r>
          </w:p>
        </w:tc>
        <w:tc>
          <w:tcPr>
            <w:tcW w:type="pct" w:w="46%"/>
            <w:shd w:fill="F8F0EB" w:val="clear"/>
            <w:tcMar>
              <w:top w:type="dxa" w:w="80"/>
              <w:left w:type="dxa" w:w="120"/>
              <w:bottom w:type="dxa" w:w="80"/>
              <w:right w:type="dxa" w:w="120"/>
            </w:tcMar>
          </w:tcPr>
          <w:p>
            <w:pPr>
              <w:spacing w:line="276"/>
            </w:pPr>
            <w:r>
              <w:rPr>
                <w:rFonts w:ascii="Times New Roman" w:eastAsia="SimSun"/>
                <w:color w:val="000000"/>
                <w:sz w:val="21"/>
                <w:szCs w:val="21"/>
              </w:rPr>
              <w:t xml:space="preserve">移动端无响应状态占比降至 0%</w:t>
            </w:r>
          </w:p>
        </w:tc>
      </w:tr>
      <w:tr>
        <w:trPr>
          <w:cantSplit/>
        </w:trPr>
        <w:tc>
          <w:tcPr>
            <w:tcW w:type="pct" w:w="28%"/>
            <w:shd w:fill="FFFFFF" w:val="clear"/>
            <w:tcMar>
              <w:top w:type="dxa" w:w="80"/>
              <w:left w:type="dxa" w:w="120"/>
              <w:bottom w:type="dxa" w:w="80"/>
              <w:right w:type="dxa" w:w="120"/>
            </w:tcMar>
          </w:tcPr>
          <w:p>
            <w:pPr>
              <w:spacing w:line="276"/>
            </w:pPr>
            <w:r>
              <w:rPr>
                <w:rFonts w:ascii="Times New Roman" w:eastAsia="SimSun"/>
                <w:color w:val="000000"/>
                <w:sz w:val="21"/>
                <w:szCs w:val="21"/>
              </w:rPr>
              <w:t xml:space="preserve">后端自动化测试</w:t>
            </w:r>
          </w:p>
        </w:tc>
        <w:tc>
          <w:tcPr>
            <w:tcW w:type="pct" w:w="26%"/>
            <w:shd w:fill="FFFFFF" w:val="clear"/>
            <w:tcMar>
              <w:top w:type="dxa" w:w="80"/>
              <w:left w:type="dxa" w:w="120"/>
              <w:bottom w:type="dxa" w:w="80"/>
              <w:right w:type="dxa" w:w="120"/>
            </w:tcMar>
          </w:tcPr>
          <w:p>
            <w:pPr>
              <w:spacing w:line="276"/>
            </w:pPr>
            <w:r>
              <w:rPr>
                <w:rFonts w:ascii="Times New Roman" w:eastAsia="SimSun"/>
                <w:color w:val="000000"/>
                <w:sz w:val="21"/>
                <w:szCs w:val="21"/>
              </w:rPr>
              <w:t xml:space="preserve">约 900 个测试文件</w:t>
            </w:r>
          </w:p>
        </w:tc>
        <w:tc>
          <w:tcPr>
            <w:tcW w:type="pct" w:w="46%"/>
            <w:shd w:fill="FFFFFF" w:val="clear"/>
            <w:tcMar>
              <w:top w:type="dxa" w:w="80"/>
              <w:left w:type="dxa" w:w="120"/>
              <w:bottom w:type="dxa" w:w="80"/>
              <w:right w:type="dxa" w:w="120"/>
            </w:tcMar>
          </w:tcPr>
          <w:p>
            <w:pPr>
              <w:spacing w:line="276"/>
            </w:pPr>
            <w:r>
              <w:rPr>
                <w:rFonts w:ascii="Times New Roman" w:eastAsia="SimSun"/>
                <w:color w:val="000000"/>
                <w:sz w:val="21"/>
                <w:szCs w:val="21"/>
              </w:rPr>
              <w:t xml:space="preserve">覆盖编排、服务、契约、混沌与负载</w:t>
            </w:r>
          </w:p>
        </w:tc>
      </w:tr>
      <w:tr>
        <w:trPr>
          <w:cantSplit/>
        </w:trPr>
        <w:tc>
          <w:tcPr>
            <w:tcW w:type="pct" w:w="28%"/>
            <w:shd w:fill="F8F0EB" w:val="clear"/>
            <w:tcMar>
              <w:top w:type="dxa" w:w="80"/>
              <w:left w:type="dxa" w:w="120"/>
              <w:bottom w:type="dxa" w:w="80"/>
              <w:right w:type="dxa" w:w="120"/>
            </w:tcMar>
          </w:tcPr>
          <w:p>
            <w:pPr>
              <w:spacing w:line="276"/>
            </w:pPr>
            <w:r>
              <w:rPr>
                <w:rFonts w:ascii="Times New Roman" w:eastAsia="SimSun"/>
                <w:color w:val="000000"/>
                <w:sz w:val="21"/>
                <w:szCs w:val="21"/>
              </w:rPr>
              <w:t xml:space="preserve">治理规则守卫</w:t>
            </w:r>
          </w:p>
        </w:tc>
        <w:tc>
          <w:tcPr>
            <w:tcW w:type="pct" w:w="26%"/>
            <w:shd w:fill="F8F0EB" w:val="clear"/>
            <w:tcMar>
              <w:top w:type="dxa" w:w="80"/>
              <w:left w:type="dxa" w:w="120"/>
              <w:bottom w:type="dxa" w:w="80"/>
              <w:right w:type="dxa" w:w="120"/>
            </w:tcMar>
          </w:tcPr>
          <w:p>
            <w:pPr>
              <w:spacing w:line="276"/>
            </w:pPr>
            <w:r>
              <w:rPr>
                <w:rFonts w:ascii="Times New Roman" w:eastAsia="SimSun"/>
                <w:color w:val="000000"/>
                <w:sz w:val="21"/>
                <w:szCs w:val="21"/>
              </w:rPr>
              <w:t xml:space="preserve">60 余条全部通过</w:t>
            </w:r>
          </w:p>
        </w:tc>
        <w:tc>
          <w:tcPr>
            <w:tcW w:type="pct" w:w="46%"/>
            <w:shd w:fill="F8F0EB" w:val="clear"/>
            <w:tcMar>
              <w:top w:type="dxa" w:w="80"/>
              <w:left w:type="dxa" w:w="120"/>
              <w:bottom w:type="dxa" w:w="80"/>
              <w:right w:type="dxa" w:w="120"/>
            </w:tcMar>
          </w:tcPr>
          <w:p>
            <w:pPr>
              <w:spacing w:line="276"/>
            </w:pPr>
            <w:r>
              <w:rPr>
                <w:rFonts w:ascii="Times New Roman" w:eastAsia="SimSun"/>
                <w:color w:val="000000"/>
                <w:sz w:val="21"/>
                <w:szCs w:val="21"/>
              </w:rPr>
              <w:t xml:space="preserve">持续集成中全量执行</w:t>
            </w:r>
          </w:p>
        </w:tc>
      </w:tr>
    </w:tbl>
    <w:p>
      <w:pPr>
        <w:pStyle w:val="Heading2"/>
        <w:spacing w:after="120" w:before="240" w:line="312"/>
      </w:pPr>
      <w:bookmarkStart w:id="100015" w:name="_Toc100015"/>
      <w:r>
        <w:rPr>
          <w:rFonts w:ascii="Times New Roman" w:eastAsia="SimHei"/>
          <w:b/>
          <w:bCs/>
          <w:color w:val="1A2330"/>
          <w:sz w:val="28"/>
          <w:szCs w:val="28"/>
        </w:rPr>
        <w:t xml:space="preserve">4.5 安全与合规设计</w:t>
      </w:r>
      <w:bookmarkEnd w:id="100015"/>
    </w:p>
    <w:p>
      <w:pPr>
        <w:spacing w:after="80" w:line="312"/>
        <w:ind w:firstLine="480"/>
        <w:jc w:val="both"/>
      </w:pPr>
      <w:r>
        <w:rPr>
          <w:rFonts w:ascii="Times New Roman" w:eastAsia="SimSun"/>
          <w:color w:val="000000"/>
          <w:sz w:val="24"/>
          <w:szCs w:val="24"/>
        </w:rPr>
        <w:t xml:space="preserve">个人信息处理遵循最小化与可追溯原则，产品提供隐私政策、服务条款与用户数据导出删除流程；工程侧内建输入消毒、速率限制、密钥治理、角色权限与审计日志；所有新能力均以关闭、影子、上线三态灰度发布，未经影子验证不得全量开启。</w:t>
      </w:r>
    </w:p>
    <w:p>
      <w:pPr>
        <w:pStyle w:val="Heading1"/>
        <w:spacing w:after="160" w:before="360" w:line="312"/>
        <w:jc w:val="center"/>
      </w:pPr>
      <w:bookmarkStart w:id="100016" w:name="_Toc100016"/>
      <w:r>
        <w:rPr>
          <w:rFonts w:ascii="Times New Roman" w:eastAsia="SimHei"/>
          <w:b/>
          <w:bCs/>
          <w:color w:val="1A2330"/>
          <w:sz w:val="32"/>
          <w:szCs w:val="32"/>
        </w:rPr>
        <w:t xml:space="preserve">五、市场分析</w:t>
      </w:r>
      <w:bookmarkEnd w:id="100016"/>
    </w:p>
    <w:p>
      <w:pPr>
        <w:pStyle w:val="Heading2"/>
        <w:spacing w:after="120" w:before="240" w:line="312"/>
      </w:pPr>
      <w:bookmarkStart w:id="100017" w:name="_Toc100017"/>
      <w:r>
        <w:rPr>
          <w:rFonts w:ascii="Times New Roman" w:eastAsia="SimHei"/>
          <w:b/>
          <w:bCs/>
          <w:color w:val="1A2330"/>
          <w:sz w:val="28"/>
          <w:szCs w:val="28"/>
        </w:rPr>
        <w:t xml:space="preserve">5.1 市场规模与政策环境</w:t>
      </w:r>
      <w:bookmarkEnd w:id="100017"/>
    </w:p>
    <w:p>
      <w:pPr>
        <w:spacing w:after="80" w:line="312"/>
        <w:ind w:firstLine="480"/>
        <w:jc w:val="both"/>
      </w:pPr>
      <w:r>
        <w:rPr>
          <w:rFonts w:ascii="Times New Roman" w:eastAsia="SimSun"/>
          <w:color w:val="000000"/>
          <w:sz w:val="24"/>
          <w:szCs w:val="24"/>
        </w:rPr>
        <w:t xml:space="preserve">2025 年中国生成式人工智能产品与服务总规模约 3442 亿元（数据来源：东方财富研报库《2026 年中国 GenAI+ 教育行业发展报告》），教育垂类应用进入快速增长期。《“人工智能+教育”行动计划》为教育垂类大模型与人工智能学习产品提供了明确的政策支持。校园场景具备用户密度高、需求高频、传播快、可验证的特点，是人工智能学习产品的理想切入点。</w:t>
      </w:r>
    </w:p>
    <w:p>
      <w:pPr>
        <w:pStyle w:val="Heading2"/>
        <w:spacing w:after="120" w:before="240" w:line="312"/>
      </w:pPr>
      <w:bookmarkStart w:id="100018" w:name="_Toc100018"/>
      <w:r>
        <w:rPr>
          <w:rFonts w:ascii="Times New Roman" w:eastAsia="SimHei"/>
          <w:b/>
          <w:bCs/>
          <w:color w:val="1A2330"/>
          <w:sz w:val="28"/>
          <w:szCs w:val="28"/>
        </w:rPr>
        <w:t xml:space="preserve">5.2 竞品分析</w:t>
      </w:r>
      <w:bookmarkEnd w:id="100018"/>
    </w:p>
    <w:p>
      <w:pPr>
        <w:spacing w:after="80" w:line="312"/>
        <w:ind w:firstLine="480"/>
        <w:jc w:val="both"/>
      </w:pPr>
      <w:r>
        <w:rPr>
          <w:rFonts w:ascii="Times New Roman" w:eastAsia="SimSun"/>
          <w:color w:val="000000"/>
          <w:sz w:val="24"/>
          <w:szCs w:val="24"/>
        </w:rPr>
        <w:t xml:space="preserve">现有产品形态可分为通用大模型对话产品与学习工具、校内平台两类。星火与二者的差异不是回答更聪明，而是目标闭环的完整性。</w:t>
      </w:r>
    </w:p>
    <w:p>
      <w:pPr>
        <w:keepNext/>
        <w:spacing w:after="80" w:before="160" w:line="312"/>
        <w:jc w:val="center"/>
      </w:pPr>
      <w:r>
        <w:rPr>
          <w:rFonts w:ascii="Times New Roman" w:eastAsia="SimHei"/>
          <w:b/>
          <w:bCs/>
          <w:color w:val="1A2330"/>
          <w:sz w:val="21"/>
          <w:szCs w:val="21"/>
        </w:rPr>
        <w:t xml:space="preserve">表 2 竞品对比分析</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Pr>
      <w:tblGrid>
        <w:gridCol w:w="100"/>
        <w:gridCol w:w="100"/>
        <w:gridCol w:w="100"/>
        <w:gridCol w:w="100"/>
      </w:tblGrid>
      <w:tr>
        <w:trPr>
          <w:cantSplit/>
          <w:tblHeader/>
        </w:trPr>
        <w:tc>
          <w:tcPr>
            <w:tcW w:type="pct" w:w="16%"/>
            <w:shd w:fill="D4875A" w:val="clear"/>
            <w:tcMar>
              <w:top w:type="dxa" w:w="80"/>
              <w:left w:type="dxa" w:w="120"/>
              <w:bottom w:type="dxa" w:w="80"/>
              <w:right w:type="dxa" w:w="120"/>
            </w:tcMar>
          </w:tcPr>
          <w:p>
            <w:pPr>
              <w:spacing w:line="276"/>
            </w:pPr>
            <w:r>
              <w:rPr>
                <w:rFonts w:ascii="Times New Roman" w:eastAsia="SimHei"/>
                <w:b/>
                <w:bCs/>
                <w:color w:val="FFFFFF"/>
                <w:sz w:val="21"/>
                <w:szCs w:val="21"/>
              </w:rPr>
              <w:t xml:space="preserve">比较维度</w:t>
            </w:r>
          </w:p>
        </w:tc>
        <w:tc>
          <w:tcPr>
            <w:tcW w:type="pct" w:w="28%"/>
            <w:shd w:fill="D4875A" w:val="clear"/>
            <w:tcMar>
              <w:top w:type="dxa" w:w="80"/>
              <w:left w:type="dxa" w:w="120"/>
              <w:bottom w:type="dxa" w:w="80"/>
              <w:right w:type="dxa" w:w="120"/>
            </w:tcMar>
          </w:tcPr>
          <w:p>
            <w:pPr>
              <w:spacing w:line="276"/>
            </w:pPr>
            <w:r>
              <w:rPr>
                <w:rFonts w:ascii="Times New Roman" w:eastAsia="SimHei"/>
                <w:b/>
                <w:bCs/>
                <w:color w:val="FFFFFF"/>
                <w:sz w:val="21"/>
                <w:szCs w:val="21"/>
              </w:rPr>
              <w:t xml:space="preserve">通用大模型</w:t>
            </w:r>
          </w:p>
        </w:tc>
        <w:tc>
          <w:tcPr>
            <w:tcW w:type="pct" w:w="26%"/>
            <w:shd w:fill="D4875A" w:val="clear"/>
            <w:tcMar>
              <w:top w:type="dxa" w:w="80"/>
              <w:left w:type="dxa" w:w="120"/>
              <w:bottom w:type="dxa" w:w="80"/>
              <w:right w:type="dxa" w:w="120"/>
            </w:tcMar>
          </w:tcPr>
          <w:p>
            <w:pPr>
              <w:spacing w:line="276"/>
            </w:pPr>
            <w:r>
              <w:rPr>
                <w:rFonts w:ascii="Times New Roman" w:eastAsia="SimHei"/>
                <w:b/>
                <w:bCs/>
                <w:color w:val="FFFFFF"/>
                <w:sz w:val="21"/>
                <w:szCs w:val="21"/>
              </w:rPr>
              <w:t xml:space="preserve">学习工具与校内平台</w:t>
            </w:r>
          </w:p>
        </w:tc>
        <w:tc>
          <w:tcPr>
            <w:tcW w:type="pct" w:w="30%"/>
            <w:shd w:fill="D4875A" w:val="clear"/>
            <w:tcMar>
              <w:top w:type="dxa" w:w="80"/>
              <w:left w:type="dxa" w:w="120"/>
              <w:bottom w:type="dxa" w:w="80"/>
              <w:right w:type="dxa" w:w="120"/>
            </w:tcMar>
          </w:tcPr>
          <w:p>
            <w:pPr>
              <w:spacing w:line="276"/>
            </w:pPr>
            <w:r>
              <w:rPr>
                <w:rFonts w:ascii="Times New Roman" w:eastAsia="SimHei"/>
                <w:b/>
                <w:bCs/>
                <w:color w:val="FFFFFF"/>
                <w:sz w:val="21"/>
                <w:szCs w:val="21"/>
              </w:rPr>
              <w:t xml:space="preserve">星火</w:t>
            </w:r>
          </w:p>
        </w:tc>
      </w:tr>
      <w:tr>
        <w:trPr>
          <w:cantSplit/>
        </w:trPr>
        <w:tc>
          <w:tcPr>
            <w:tcW w:type="pct" w:w="16%"/>
            <w:shd w:fill="FFFFFF" w:val="clear"/>
            <w:tcMar>
              <w:top w:type="dxa" w:w="80"/>
              <w:left w:type="dxa" w:w="120"/>
              <w:bottom w:type="dxa" w:w="80"/>
              <w:right w:type="dxa" w:w="120"/>
            </w:tcMar>
          </w:tcPr>
          <w:p>
            <w:pPr>
              <w:spacing w:line="276"/>
            </w:pPr>
            <w:r>
              <w:rPr>
                <w:rFonts w:ascii="Times New Roman" w:eastAsia="SimSun"/>
                <w:color w:val="000000"/>
                <w:sz w:val="21"/>
                <w:szCs w:val="21"/>
              </w:rPr>
              <w:t xml:space="preserve">目标决策</w:t>
            </w:r>
          </w:p>
        </w:tc>
        <w:tc>
          <w:tcPr>
            <w:tcW w:type="pct" w:w="28%"/>
            <w:shd w:fill="FFFFFF" w:val="clear"/>
            <w:tcMar>
              <w:top w:type="dxa" w:w="80"/>
              <w:left w:type="dxa" w:w="120"/>
              <w:bottom w:type="dxa" w:w="80"/>
              <w:right w:type="dxa" w:w="120"/>
            </w:tcMar>
          </w:tcPr>
          <w:p>
            <w:pPr>
              <w:spacing w:line="276"/>
            </w:pPr>
            <w:r>
              <w:rPr>
                <w:rFonts w:ascii="Times New Roman" w:eastAsia="SimSun"/>
                <w:color w:val="000000"/>
                <w:sz w:val="21"/>
                <w:szCs w:val="21"/>
              </w:rPr>
              <w:t xml:space="preserve">能回答，常给完整计划、无取舍</w:t>
            </w:r>
          </w:p>
        </w:tc>
        <w:tc>
          <w:tcPr>
            <w:tcW w:type="pct" w:w="26%"/>
            <w:shd w:fill="FFFFFF" w:val="clear"/>
            <w:tcMar>
              <w:top w:type="dxa" w:w="80"/>
              <w:left w:type="dxa" w:w="120"/>
              <w:bottom w:type="dxa" w:w="80"/>
              <w:right w:type="dxa" w:w="120"/>
            </w:tcMar>
          </w:tcPr>
          <w:p>
            <w:pPr>
              <w:spacing w:line="276"/>
            </w:pPr>
            <w:r>
              <w:rPr>
                <w:rFonts w:ascii="Times New Roman" w:eastAsia="SimSun"/>
                <w:color w:val="000000"/>
                <w:sz w:val="21"/>
                <w:szCs w:val="21"/>
              </w:rPr>
              <w:t xml:space="preserve">有计划表，少动态取舍</w:t>
            </w:r>
          </w:p>
        </w:tc>
        <w:tc>
          <w:tcPr>
            <w:tcW w:type="pct" w:w="30%"/>
            <w:shd w:fill="FFFFFF" w:val="clear"/>
            <w:tcMar>
              <w:top w:type="dxa" w:w="80"/>
              <w:left w:type="dxa" w:w="120"/>
              <w:bottom w:type="dxa" w:w="80"/>
              <w:right w:type="dxa" w:w="120"/>
            </w:tcMar>
          </w:tcPr>
          <w:p>
            <w:pPr>
              <w:spacing w:line="276"/>
            </w:pPr>
            <w:r>
              <w:rPr>
                <w:rFonts w:ascii="Times New Roman" w:eastAsia="SimSun"/>
                <w:color w:val="000000"/>
                <w:sz w:val="21"/>
                <w:szCs w:val="21"/>
              </w:rPr>
              <w:t xml:space="preserve">先诊断，再计算最小通过路径</w:t>
            </w:r>
          </w:p>
        </w:tc>
      </w:tr>
      <w:tr>
        <w:trPr>
          <w:cantSplit/>
        </w:trPr>
        <w:tc>
          <w:tcPr>
            <w:tcW w:type="pct" w:w="16%"/>
            <w:shd w:fill="F8F0EB" w:val="clear"/>
            <w:tcMar>
              <w:top w:type="dxa" w:w="80"/>
              <w:left w:type="dxa" w:w="120"/>
              <w:bottom w:type="dxa" w:w="80"/>
              <w:right w:type="dxa" w:w="120"/>
            </w:tcMar>
          </w:tcPr>
          <w:p>
            <w:pPr>
              <w:spacing w:line="276"/>
            </w:pPr>
            <w:r>
              <w:rPr>
                <w:rFonts w:ascii="Times New Roman" w:eastAsia="SimSun"/>
                <w:color w:val="000000"/>
                <w:sz w:val="21"/>
                <w:szCs w:val="21"/>
              </w:rPr>
              <w:t xml:space="preserve">执行反馈</w:t>
            </w:r>
          </w:p>
        </w:tc>
        <w:tc>
          <w:tcPr>
            <w:tcW w:type="pct" w:w="28%"/>
            <w:shd w:fill="F8F0EB" w:val="clear"/>
            <w:tcMar>
              <w:top w:type="dxa" w:w="80"/>
              <w:left w:type="dxa" w:w="120"/>
              <w:bottom w:type="dxa" w:w="80"/>
              <w:right w:type="dxa" w:w="120"/>
            </w:tcMar>
          </w:tcPr>
          <w:p>
            <w:pPr>
              <w:spacing w:line="276"/>
            </w:pPr>
            <w:r>
              <w:rPr>
                <w:rFonts w:ascii="Times New Roman" w:eastAsia="SimSun"/>
                <w:color w:val="000000"/>
                <w:sz w:val="21"/>
                <w:szCs w:val="21"/>
              </w:rPr>
              <w:t xml:space="preserve">对话结束即断开</w:t>
            </w:r>
          </w:p>
        </w:tc>
        <w:tc>
          <w:tcPr>
            <w:tcW w:type="pct" w:w="26%"/>
            <w:shd w:fill="F8F0EB" w:val="clear"/>
            <w:tcMar>
              <w:top w:type="dxa" w:w="80"/>
              <w:left w:type="dxa" w:w="120"/>
              <w:bottom w:type="dxa" w:w="80"/>
              <w:right w:type="dxa" w:w="120"/>
            </w:tcMar>
          </w:tcPr>
          <w:p>
            <w:pPr>
              <w:spacing w:line="276"/>
            </w:pPr>
            <w:r>
              <w:rPr>
                <w:rFonts w:ascii="Times New Roman" w:eastAsia="SimSun"/>
                <w:color w:val="000000"/>
                <w:sz w:val="21"/>
                <w:szCs w:val="21"/>
              </w:rPr>
              <w:t xml:space="preserve">打卡为主，少错因归因</w:t>
            </w:r>
          </w:p>
        </w:tc>
        <w:tc>
          <w:tcPr>
            <w:tcW w:type="pct" w:w="30%"/>
            <w:shd w:fill="F8F0EB" w:val="clear"/>
            <w:tcMar>
              <w:top w:type="dxa" w:w="80"/>
              <w:left w:type="dxa" w:w="120"/>
              <w:bottom w:type="dxa" w:w="80"/>
              <w:right w:type="dxa" w:w="120"/>
            </w:tcMar>
          </w:tcPr>
          <w:p>
            <w:pPr>
              <w:spacing w:line="276"/>
            </w:pPr>
            <w:r>
              <w:rPr>
                <w:rFonts w:ascii="Times New Roman" w:eastAsia="SimSun"/>
                <w:color w:val="000000"/>
                <w:sz w:val="21"/>
                <w:szCs w:val="21"/>
              </w:rPr>
              <w:t xml:space="preserve">任务结果反向更新计划</w:t>
            </w:r>
          </w:p>
        </w:tc>
      </w:tr>
      <w:tr>
        <w:trPr>
          <w:cantSplit/>
        </w:trPr>
        <w:tc>
          <w:tcPr>
            <w:tcW w:type="pct" w:w="16%"/>
            <w:shd w:fill="FFFFFF" w:val="clear"/>
            <w:tcMar>
              <w:top w:type="dxa" w:w="80"/>
              <w:left w:type="dxa" w:w="120"/>
              <w:bottom w:type="dxa" w:w="80"/>
              <w:right w:type="dxa" w:w="120"/>
            </w:tcMar>
          </w:tcPr>
          <w:p>
            <w:pPr>
              <w:spacing w:line="276"/>
            </w:pPr>
            <w:r>
              <w:rPr>
                <w:rFonts w:ascii="Times New Roman" w:eastAsia="SimSun"/>
                <w:color w:val="000000"/>
                <w:sz w:val="21"/>
                <w:szCs w:val="21"/>
              </w:rPr>
              <w:t xml:space="preserve">长期资产</w:t>
            </w:r>
          </w:p>
        </w:tc>
        <w:tc>
          <w:tcPr>
            <w:tcW w:type="pct" w:w="28%"/>
            <w:shd w:fill="FFFFFF" w:val="clear"/>
            <w:tcMar>
              <w:top w:type="dxa" w:w="80"/>
              <w:left w:type="dxa" w:w="120"/>
              <w:bottom w:type="dxa" w:w="80"/>
              <w:right w:type="dxa" w:w="120"/>
            </w:tcMar>
          </w:tcPr>
          <w:p>
            <w:pPr>
              <w:spacing w:line="276"/>
            </w:pPr>
            <w:r>
              <w:rPr>
                <w:rFonts w:ascii="Times New Roman" w:eastAsia="SimSun"/>
                <w:color w:val="000000"/>
                <w:sz w:val="21"/>
                <w:szCs w:val="21"/>
              </w:rPr>
              <w:t xml:space="preserve">聊天记录难以迁移</w:t>
            </w:r>
          </w:p>
        </w:tc>
        <w:tc>
          <w:tcPr>
            <w:tcW w:type="pct" w:w="26%"/>
            <w:shd w:fill="FFFFFF" w:val="clear"/>
            <w:tcMar>
              <w:top w:type="dxa" w:w="80"/>
              <w:left w:type="dxa" w:w="120"/>
              <w:bottom w:type="dxa" w:w="80"/>
              <w:right w:type="dxa" w:w="120"/>
            </w:tcMar>
          </w:tcPr>
          <w:p>
            <w:pPr>
              <w:spacing w:line="276"/>
            </w:pPr>
            <w:r>
              <w:rPr>
                <w:rFonts w:ascii="Times New Roman" w:eastAsia="SimSun"/>
                <w:color w:val="000000"/>
                <w:sz w:val="21"/>
                <w:szCs w:val="21"/>
              </w:rPr>
              <w:t xml:space="preserve">知识点沉淀，少方法沉淀</w:t>
            </w:r>
          </w:p>
        </w:tc>
        <w:tc>
          <w:tcPr>
            <w:tcW w:type="pct" w:w="30%"/>
            <w:shd w:fill="FFFFFF" w:val="clear"/>
            <w:tcMar>
              <w:top w:type="dxa" w:w="80"/>
              <w:left w:type="dxa" w:w="120"/>
              <w:bottom w:type="dxa" w:w="80"/>
              <w:right w:type="dxa" w:w="120"/>
            </w:tcMar>
          </w:tcPr>
          <w:p>
            <w:pPr>
              <w:spacing w:line="276"/>
            </w:pPr>
            <w:r>
              <w:rPr>
                <w:rFonts w:ascii="Times New Roman" w:eastAsia="SimSun"/>
                <w:color w:val="000000"/>
                <w:sz w:val="21"/>
                <w:szCs w:val="21"/>
              </w:rPr>
              <w:t xml:space="preserve">沉淀个人方法资产</w:t>
            </w:r>
          </w:p>
        </w:tc>
      </w:tr>
      <w:tr>
        <w:trPr>
          <w:cantSplit/>
        </w:trPr>
        <w:tc>
          <w:tcPr>
            <w:tcW w:type="pct" w:w="16%"/>
            <w:shd w:fill="F8F0EB" w:val="clear"/>
            <w:tcMar>
              <w:top w:type="dxa" w:w="80"/>
              <w:left w:type="dxa" w:w="120"/>
              <w:bottom w:type="dxa" w:w="80"/>
              <w:right w:type="dxa" w:w="120"/>
            </w:tcMar>
          </w:tcPr>
          <w:p>
            <w:pPr>
              <w:spacing w:line="276"/>
            </w:pPr>
            <w:r>
              <w:rPr>
                <w:rFonts w:ascii="Times New Roman" w:eastAsia="SimSun"/>
                <w:color w:val="000000"/>
                <w:sz w:val="21"/>
                <w:szCs w:val="21"/>
              </w:rPr>
              <w:t xml:space="preserve">可信校正</w:t>
            </w:r>
          </w:p>
        </w:tc>
        <w:tc>
          <w:tcPr>
            <w:tcW w:type="pct" w:w="28%"/>
            <w:shd w:fill="F8F0EB" w:val="clear"/>
            <w:tcMar>
              <w:top w:type="dxa" w:w="80"/>
              <w:left w:type="dxa" w:w="120"/>
              <w:bottom w:type="dxa" w:w="80"/>
              <w:right w:type="dxa" w:w="120"/>
            </w:tcMar>
          </w:tcPr>
          <w:p>
            <w:pPr>
              <w:spacing w:line="276"/>
            </w:pPr>
            <w:r>
              <w:rPr>
                <w:rFonts w:ascii="Times New Roman" w:eastAsia="SimSun"/>
                <w:color w:val="000000"/>
                <w:sz w:val="21"/>
                <w:szCs w:val="21"/>
              </w:rPr>
              <w:t xml:space="preserve">建议黑盒，难以追踪</w:t>
            </w:r>
          </w:p>
        </w:tc>
        <w:tc>
          <w:tcPr>
            <w:tcW w:type="pct" w:w="26%"/>
            <w:shd w:fill="F8F0EB" w:val="clear"/>
            <w:tcMar>
              <w:top w:type="dxa" w:w="80"/>
              <w:left w:type="dxa" w:w="120"/>
              <w:bottom w:type="dxa" w:w="80"/>
              <w:right w:type="dxa" w:w="120"/>
            </w:tcMar>
          </w:tcPr>
          <w:p>
            <w:pPr>
              <w:spacing w:line="276"/>
            </w:pPr>
            <w:r>
              <w:rPr>
                <w:rFonts w:ascii="Times New Roman" w:eastAsia="SimSun"/>
                <w:color w:val="000000"/>
                <w:sz w:val="21"/>
                <w:szCs w:val="21"/>
              </w:rPr>
              <w:t xml:space="preserve">流程可见但智能较弱</w:t>
            </w:r>
          </w:p>
        </w:tc>
        <w:tc>
          <w:tcPr>
            <w:tcW w:type="pct" w:w="30%"/>
            <w:shd w:fill="F8F0EB" w:val="clear"/>
            <w:tcMar>
              <w:top w:type="dxa" w:w="80"/>
              <w:left w:type="dxa" w:w="120"/>
              <w:bottom w:type="dxa" w:w="80"/>
              <w:right w:type="dxa" w:w="120"/>
            </w:tcMar>
          </w:tcPr>
          <w:p>
            <w:pPr>
              <w:spacing w:line="276"/>
            </w:pPr>
            <w:r>
              <w:rPr>
                <w:rFonts w:ascii="Times New Roman" w:eastAsia="SimSun"/>
                <w:color w:val="000000"/>
                <w:sz w:val="21"/>
                <w:szCs w:val="21"/>
              </w:rPr>
              <w:t xml:space="preserve">关键决策可追溯、可纠正、可回滚</w:t>
            </w:r>
          </w:p>
        </w:tc>
      </w:tr>
    </w:tbl>
    <w:p>
      <w:pPr>
        <w:spacing w:after="80" w:line="312"/>
        <w:ind w:firstLine="480"/>
        <w:jc w:val="both"/>
      </w:pPr>
      <w:r>
        <w:rPr>
          <w:rFonts w:ascii="Times New Roman" w:eastAsia="SimSun"/>
          <w:color w:val="000000"/>
          <w:sz w:val="24"/>
          <w:szCs w:val="24"/>
        </w:rPr>
        <w:t xml:space="preserve">团队不否认通用模型的强大，也不贬低任何竞品；星火做的是把强模型变成普通用户可稳定获得结果的系统。</w:t>
      </w:r>
    </w:p>
    <w:p>
      <w:pPr>
        <w:pStyle w:val="Heading2"/>
        <w:spacing w:after="120" w:before="240" w:line="312"/>
      </w:pPr>
      <w:bookmarkStart w:id="100019" w:name="_Toc100019"/>
      <w:r>
        <w:rPr>
          <w:rFonts w:ascii="Times New Roman" w:eastAsia="SimHei"/>
          <w:b/>
          <w:bCs/>
          <w:color w:val="1A2330"/>
          <w:sz w:val="28"/>
          <w:szCs w:val="28"/>
        </w:rPr>
        <w:t xml:space="preserve">5.3 竞争壁垒</w:t>
      </w:r>
      <w:bookmarkEnd w:id="100019"/>
    </w:p>
    <w:p>
      <w:pPr>
        <w:spacing w:after="80" w:line="312"/>
        <w:ind w:firstLine="480"/>
        <w:jc w:val="both"/>
      </w:pPr>
      <w:r>
        <w:rPr>
          <w:rFonts w:ascii="Times New Roman" w:eastAsia="SimHei"/>
          <w:b/>
          <w:bCs/>
          <w:color w:val="000000"/>
          <w:sz w:val="24"/>
          <w:szCs w:val="24"/>
        </w:rPr>
        <w:t xml:space="preserve">数据资产壁垒：</w:t>
      </w:r>
      <w:r>
        <w:rPr>
          <w:rFonts w:ascii="Times New Roman" w:eastAsia="SimSun"/>
          <w:b w:val="false"/>
          <w:bCs w:val="false"/>
          <w:color w:val="000000"/>
          <w:sz w:val="24"/>
          <w:szCs w:val="24"/>
        </w:rPr>
        <w:t xml:space="preserve">个人方法资产随使用时间增厚，用户迁移成本随时间上升。</w:t>
      </w:r>
    </w:p>
    <w:p>
      <w:pPr>
        <w:spacing w:after="80" w:line="312"/>
        <w:ind w:firstLine="480"/>
        <w:jc w:val="both"/>
      </w:pPr>
      <w:r>
        <w:rPr>
          <w:rFonts w:ascii="Times New Roman" w:eastAsia="SimHei"/>
          <w:b/>
          <w:bCs/>
          <w:color w:val="000000"/>
          <w:sz w:val="24"/>
          <w:szCs w:val="24"/>
        </w:rPr>
        <w:t xml:space="preserve">工程闭环壁垒：</w:t>
      </w:r>
      <w:r>
        <w:rPr>
          <w:rFonts w:ascii="Times New Roman" w:eastAsia="SimSun"/>
          <w:b w:val="false"/>
          <w:bCs w:val="false"/>
          <w:color w:val="000000"/>
          <w:sz w:val="24"/>
          <w:szCs w:val="24"/>
        </w:rPr>
        <w:t xml:space="preserve">状态聚合、证据融合、动态重规划构成复杂系统工程，短期难以复制。</w:t>
      </w:r>
    </w:p>
    <w:p>
      <w:pPr>
        <w:spacing w:after="80" w:line="312"/>
        <w:ind w:firstLine="480"/>
        <w:jc w:val="both"/>
      </w:pPr>
      <w:r>
        <w:rPr>
          <w:rFonts w:ascii="Times New Roman" w:eastAsia="SimHei"/>
          <w:b/>
          <w:bCs/>
          <w:color w:val="000000"/>
          <w:sz w:val="24"/>
          <w:szCs w:val="24"/>
        </w:rPr>
        <w:t xml:space="preserve">治理壁垒：</w:t>
      </w:r>
      <w:r>
        <w:rPr>
          <w:rFonts w:ascii="Times New Roman" w:eastAsia="SimSun"/>
          <w:b w:val="false"/>
          <w:bCs w:val="false"/>
          <w:color w:val="000000"/>
          <w:sz w:val="24"/>
          <w:szCs w:val="24"/>
        </w:rPr>
        <w:t xml:space="preserve">三态灰度、决策追踪与审计体系让人工智能教育产品具备可信基础，这是进入教育场景的门槛性能力。</w:t>
      </w:r>
    </w:p>
    <w:p>
      <w:pPr>
        <w:pStyle w:val="Heading1"/>
        <w:spacing w:after="160" w:before="360" w:line="312"/>
        <w:jc w:val="center"/>
      </w:pPr>
      <w:bookmarkStart w:id="100020" w:name="_Toc100020"/>
      <w:r>
        <w:rPr>
          <w:rFonts w:ascii="Times New Roman" w:eastAsia="SimHei"/>
          <w:b/>
          <w:bCs/>
          <w:color w:val="1A2330"/>
          <w:sz w:val="32"/>
          <w:szCs w:val="32"/>
        </w:rPr>
        <w:t xml:space="preserve">六、商业模式</w:t>
      </w:r>
      <w:bookmarkEnd w:id="100020"/>
    </w:p>
    <w:p>
      <w:pPr>
        <w:pStyle w:val="Heading2"/>
        <w:spacing w:after="120" w:before="240" w:line="312"/>
      </w:pPr>
      <w:bookmarkStart w:id="100021" w:name="_Toc100021"/>
      <w:r>
        <w:rPr>
          <w:rFonts w:ascii="Times New Roman" w:eastAsia="SimHei"/>
          <w:b/>
          <w:bCs/>
          <w:color w:val="1A2330"/>
          <w:sz w:val="28"/>
          <w:szCs w:val="28"/>
        </w:rPr>
        <w:t xml:space="preserve">6.1 三位一体营收结构</w:t>
      </w:r>
      <w:bookmarkEnd w:id="100021"/>
    </w:p>
    <w:p>
      <w:pPr>
        <w:spacing w:after="80" w:line="312"/>
        <w:ind w:firstLine="480"/>
        <w:jc w:val="both"/>
      </w:pPr>
      <w:r>
        <w:rPr>
          <w:rFonts w:ascii="Times New Roman" w:eastAsia="SimHei"/>
          <w:b/>
          <w:bCs/>
          <w:color w:val="000000"/>
          <w:sz w:val="24"/>
          <w:szCs w:val="24"/>
        </w:rPr>
        <w:t xml:space="preserve">C 端订阅：</w:t>
      </w:r>
      <w:r>
        <w:rPr>
          <w:rFonts w:ascii="Times New Roman" w:eastAsia="SimSun"/>
          <w:b w:val="false"/>
          <w:bCs w:val="false"/>
          <w:color w:val="000000"/>
          <w:sz w:val="24"/>
          <w:szCs w:val="24"/>
        </w:rPr>
        <w:t xml:space="preserve">学生为高频刚需与关键节点付费，包括考试救急、长期计划与复习资产；会员提供高阶智能体调用、深度学习报告等增值服务。</w:t>
      </w:r>
    </w:p>
    <w:p>
      <w:pPr>
        <w:spacing w:after="80" w:line="312"/>
        <w:ind w:firstLine="480"/>
        <w:jc w:val="both"/>
      </w:pPr>
      <w:r>
        <w:rPr>
          <w:rFonts w:ascii="Times New Roman" w:eastAsia="SimHei"/>
          <w:b/>
          <w:bCs/>
          <w:color w:val="000000"/>
          <w:sz w:val="24"/>
          <w:szCs w:val="24"/>
        </w:rPr>
        <w:t xml:space="preserve">B 端合作：</w:t>
      </w:r>
      <w:r>
        <w:rPr>
          <w:rFonts w:ascii="Times New Roman" w:eastAsia="SimSun"/>
          <w:b w:val="false"/>
          <w:bCs w:val="false"/>
          <w:color w:val="000000"/>
          <w:sz w:val="24"/>
          <w:szCs w:val="24"/>
        </w:rPr>
        <w:t xml:space="preserve">与高校课程团队、科研院所及教育机构合作，提供私有化部署、定制化人工智能导师、学习数据分析与导师减负方案。</w:t>
      </w:r>
    </w:p>
    <w:p>
      <w:pPr>
        <w:spacing w:after="80" w:line="312"/>
        <w:ind w:firstLine="480"/>
        <w:jc w:val="both"/>
      </w:pPr>
      <w:r>
        <w:rPr>
          <w:rFonts w:ascii="Times New Roman" w:eastAsia="SimHei"/>
          <w:b/>
          <w:bCs/>
          <w:color w:val="000000"/>
          <w:sz w:val="24"/>
          <w:szCs w:val="24"/>
        </w:rPr>
        <w:t xml:space="preserve">生态协同：</w:t>
      </w:r>
      <w:r>
        <w:rPr>
          <w:rFonts w:ascii="Times New Roman" w:eastAsia="SimSun"/>
          <w:b w:val="false"/>
          <w:bCs w:val="false"/>
          <w:color w:val="000000"/>
          <w:sz w:val="24"/>
          <w:szCs w:val="24"/>
        </w:rPr>
        <w:t xml:space="preserve">构建平台生态，通过能力接口开放与增值服务实现多方共赢。</w:t>
      </w:r>
    </w:p>
    <w:p>
      <w:pPr>
        <w:pStyle w:val="Heading2"/>
        <w:spacing w:after="120" w:before="240" w:line="312"/>
      </w:pPr>
      <w:bookmarkStart w:id="100022" w:name="_Toc100022"/>
      <w:r>
        <w:rPr>
          <w:rFonts w:ascii="Times New Roman" w:eastAsia="SimHei"/>
          <w:b/>
          <w:bCs/>
          <w:color w:val="1A2330"/>
          <w:sz w:val="28"/>
          <w:szCs w:val="28"/>
        </w:rPr>
        <w:t xml:space="preserve">6.2 用户转化逻辑</w:t>
      </w:r>
      <w:bookmarkEnd w:id="100022"/>
    </w:p>
    <w:p>
      <w:pPr>
        <w:spacing w:after="80" w:line="312"/>
        <w:ind w:firstLine="480"/>
        <w:jc w:val="both"/>
      </w:pPr>
      <w:r>
        <w:rPr>
          <w:rFonts w:ascii="Times New Roman" w:eastAsia="SimSun"/>
          <w:color w:val="000000"/>
          <w:sz w:val="24"/>
          <w:szCs w:val="24"/>
        </w:rPr>
        <w:t xml:space="preserve">转化路径分三层：流量层以零门槛交互解决多数人“不会高质量使用人工智能”的痛点；留存层以知识星图与成长闭环建立深度用户理解，形成粘性与壁垒；转化层聚焦高频刚需与关键节点，完成付费转化。</w:t>
      </w:r>
    </w:p>
    <w:p>
      <w:pPr>
        <w:pStyle w:val="Heading2"/>
        <w:spacing w:after="120" w:before="240" w:line="312"/>
      </w:pPr>
      <w:bookmarkStart w:id="100023" w:name="_Toc100023"/>
      <w:r>
        <w:rPr>
          <w:rFonts w:ascii="Times New Roman" w:eastAsia="SimHei"/>
          <w:b/>
          <w:bCs/>
          <w:color w:val="1A2330"/>
          <w:sz w:val="28"/>
          <w:szCs w:val="28"/>
        </w:rPr>
        <w:t xml:space="preserve">6.3 成本控制策略</w:t>
      </w:r>
      <w:bookmarkEnd w:id="100023"/>
    </w:p>
    <w:p>
      <w:pPr>
        <w:spacing w:after="80" w:line="312"/>
        <w:ind w:firstLine="480"/>
        <w:jc w:val="both"/>
      </w:pPr>
      <w:r>
        <w:rPr>
          <w:rFonts w:ascii="Times New Roman" w:eastAsia="SimSun"/>
          <w:color w:val="000000"/>
          <w:sz w:val="24"/>
          <w:szCs w:val="24"/>
        </w:rPr>
        <w:t xml:space="preserve">项目坚持盈利优先、拒绝烧钱扩张：通过多模型路由在确保效果的同时优化算力支出，通过语义缓存降低重复调用成本，通过核心技术模块化降低边际研发成本。</w:t>
      </w:r>
    </w:p>
    <w:p>
      <w:pPr>
        <w:pStyle w:val="Heading1"/>
        <w:spacing w:after="160" w:before="360" w:line="312"/>
        <w:jc w:val="center"/>
      </w:pPr>
      <w:bookmarkStart w:id="100024" w:name="_Toc100024"/>
      <w:r>
        <w:rPr>
          <w:rFonts w:ascii="Times New Roman" w:eastAsia="SimHei"/>
          <w:b/>
          <w:bCs/>
          <w:color w:val="1A2330"/>
          <w:sz w:val="32"/>
          <w:szCs w:val="32"/>
        </w:rPr>
        <w:t xml:space="preserve">七、发展规划与里程碑</w:t>
      </w:r>
      <w:bookmarkEnd w:id="100024"/>
    </w:p>
    <w:p>
      <w:pPr>
        <w:pStyle w:val="Heading2"/>
        <w:spacing w:after="120" w:before="240" w:line="312"/>
      </w:pPr>
      <w:bookmarkStart w:id="100025" w:name="_Toc100025"/>
      <w:r>
        <w:rPr>
          <w:rFonts w:ascii="Times New Roman" w:eastAsia="SimHei"/>
          <w:b/>
          <w:bCs/>
          <w:color w:val="1A2330"/>
          <w:sz w:val="28"/>
          <w:szCs w:val="28"/>
        </w:rPr>
        <w:t xml:space="preserve">7.1 已完成工作</w:t>
      </w:r>
      <w:bookmarkEnd w:id="100025"/>
    </w:p>
    <w:p>
      <w:pPr>
        <w:spacing w:after="80" w:line="312"/>
        <w:ind w:firstLine="480"/>
        <w:jc w:val="both"/>
      </w:pPr>
      <w:r>
        <w:rPr>
          <w:rFonts w:ascii="Times New Roman" w:eastAsia="SimSun"/>
          <w:color w:val="000000"/>
          <w:sz w:val="24"/>
          <w:szCs w:val="24"/>
        </w:rPr>
        <w:t xml:space="preserve">团队已完成三层系统底座与主链路开发、自适应内核的治理闭环（阶段推进至出口门验收）、多轮本地与真机联调验收，以及面向展示的演示模式构建。项目曾参加第十九届全国大学生软件创新大赛并晋级华北区域复赛，获北京邮电大学“鸿雁杯”学生创新大赛校内二等奖。项目当前处于创意计划阶段：工程开发与验收已完成，尚未开展公开商业化运营。</w:t>
      </w:r>
    </w:p>
    <w:p>
      <w:pPr>
        <w:pStyle w:val="Heading2"/>
        <w:spacing w:after="120" w:before="240" w:line="312"/>
      </w:pPr>
      <w:bookmarkStart w:id="100026" w:name="_Toc100026"/>
      <w:r>
        <w:rPr>
          <w:rFonts w:ascii="Times New Roman" w:eastAsia="SimHei"/>
          <w:b/>
          <w:bCs/>
          <w:color w:val="1A2330"/>
          <w:sz w:val="28"/>
          <w:szCs w:val="28"/>
        </w:rPr>
        <w:t xml:space="preserve">7.2 四阶段发展路线</w:t>
      </w:r>
      <w:bookmarkEnd w:id="100026"/>
    </w:p>
    <w:p>
      <w:pPr>
        <w:keepNext/>
        <w:spacing w:after="80" w:before="160" w:line="312"/>
        <w:jc w:val="center"/>
      </w:pPr>
      <w:r>
        <w:rPr>
          <w:rFonts w:ascii="Times New Roman" w:eastAsia="SimHei"/>
          <w:b/>
          <w:bCs/>
          <w:color w:val="1A2330"/>
          <w:sz w:val="21"/>
          <w:szCs w:val="21"/>
        </w:rPr>
        <w:t xml:space="preserve">表 3 发展路线与阶段目标</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Pr>
      <w:tblGrid>
        <w:gridCol w:w="100"/>
        <w:gridCol w:w="100"/>
        <w:gridCol w:w="100"/>
        <w:gridCol w:w="100"/>
      </w:tblGrid>
      <w:tr>
        <w:trPr>
          <w:cantSplit/>
          <w:tblHeader/>
        </w:trPr>
        <w:tc>
          <w:tcPr>
            <w:tcW w:type="pct" w:w="16%"/>
            <w:shd w:fill="D4875A" w:val="clear"/>
            <w:tcMar>
              <w:top w:type="dxa" w:w="80"/>
              <w:left w:type="dxa" w:w="120"/>
              <w:bottom w:type="dxa" w:w="80"/>
              <w:right w:type="dxa" w:w="120"/>
            </w:tcMar>
          </w:tcPr>
          <w:p>
            <w:pPr>
              <w:spacing w:line="276"/>
            </w:pPr>
            <w:r>
              <w:rPr>
                <w:rFonts w:ascii="Times New Roman" w:eastAsia="SimHei"/>
                <w:b/>
                <w:bCs/>
                <w:color w:val="FFFFFF"/>
                <w:sz w:val="21"/>
                <w:szCs w:val="21"/>
              </w:rPr>
              <w:t xml:space="preserve">阶段</w:t>
            </w:r>
          </w:p>
        </w:tc>
        <w:tc>
          <w:tcPr>
            <w:tcW w:type="pct" w:w="16%"/>
            <w:shd w:fill="D4875A" w:val="clear"/>
            <w:tcMar>
              <w:top w:type="dxa" w:w="80"/>
              <w:left w:type="dxa" w:w="120"/>
              <w:bottom w:type="dxa" w:w="80"/>
              <w:right w:type="dxa" w:w="120"/>
            </w:tcMar>
          </w:tcPr>
          <w:p>
            <w:pPr>
              <w:spacing w:line="276"/>
            </w:pPr>
            <w:r>
              <w:rPr>
                <w:rFonts w:ascii="Times New Roman" w:eastAsia="SimHei"/>
                <w:b/>
                <w:bCs/>
                <w:color w:val="FFFFFF"/>
                <w:sz w:val="21"/>
                <w:szCs w:val="21"/>
              </w:rPr>
              <w:t xml:space="preserve">时间窗</w:t>
            </w:r>
          </w:p>
        </w:tc>
        <w:tc>
          <w:tcPr>
            <w:tcW w:type="pct" w:w="32%"/>
            <w:shd w:fill="D4875A" w:val="clear"/>
            <w:tcMar>
              <w:top w:type="dxa" w:w="80"/>
              <w:left w:type="dxa" w:w="120"/>
              <w:bottom w:type="dxa" w:w="80"/>
              <w:right w:type="dxa" w:w="120"/>
            </w:tcMar>
          </w:tcPr>
          <w:p>
            <w:pPr>
              <w:spacing w:line="276"/>
            </w:pPr>
            <w:r>
              <w:rPr>
                <w:rFonts w:ascii="Times New Roman" w:eastAsia="SimHei"/>
                <w:b/>
                <w:bCs/>
                <w:color w:val="FFFFFF"/>
                <w:sz w:val="21"/>
                <w:szCs w:val="21"/>
              </w:rPr>
              <w:t xml:space="preserve">目标</w:t>
            </w:r>
          </w:p>
        </w:tc>
        <w:tc>
          <w:tcPr>
            <w:tcW w:type="pct" w:w="36%"/>
            <w:shd w:fill="D4875A" w:val="clear"/>
            <w:tcMar>
              <w:top w:type="dxa" w:w="80"/>
              <w:left w:type="dxa" w:w="120"/>
              <w:bottom w:type="dxa" w:w="80"/>
              <w:right w:type="dxa" w:w="120"/>
            </w:tcMar>
          </w:tcPr>
          <w:p>
            <w:pPr>
              <w:spacing w:line="276"/>
            </w:pPr>
            <w:r>
              <w:rPr>
                <w:rFonts w:ascii="Times New Roman" w:eastAsia="SimHei"/>
                <w:b/>
                <w:bCs/>
                <w:color w:val="FFFFFF"/>
                <w:sz w:val="21"/>
                <w:szCs w:val="21"/>
              </w:rPr>
              <w:t xml:space="preserve">关键任务</w:t>
            </w:r>
          </w:p>
        </w:tc>
      </w:tr>
      <w:tr>
        <w:trPr>
          <w:cantSplit/>
        </w:trPr>
        <w:tc>
          <w:tcPr>
            <w:tcW w:type="pct" w:w="16%"/>
            <w:shd w:fill="FFFFFF" w:val="clear"/>
            <w:tcMar>
              <w:top w:type="dxa" w:w="80"/>
              <w:left w:type="dxa" w:w="120"/>
              <w:bottom w:type="dxa" w:w="80"/>
              <w:right w:type="dxa" w:w="120"/>
            </w:tcMar>
          </w:tcPr>
          <w:p>
            <w:pPr>
              <w:spacing w:line="276"/>
            </w:pPr>
            <w:r>
              <w:rPr>
                <w:rFonts w:ascii="Times New Roman" w:eastAsia="SimSun"/>
                <w:color w:val="000000"/>
                <w:sz w:val="21"/>
                <w:szCs w:val="21"/>
              </w:rPr>
              <w:t xml:space="preserve">北邮试点</w:t>
            </w:r>
          </w:p>
        </w:tc>
        <w:tc>
          <w:tcPr>
            <w:tcW w:type="pct" w:w="16%"/>
            <w:shd w:fill="FFFFFF" w:val="clear"/>
            <w:tcMar>
              <w:top w:type="dxa" w:w="80"/>
              <w:left w:type="dxa" w:w="120"/>
              <w:bottom w:type="dxa" w:w="80"/>
              <w:right w:type="dxa" w:w="120"/>
            </w:tcMar>
          </w:tcPr>
          <w:p>
            <w:pPr>
              <w:spacing w:line="276"/>
            </w:pPr>
            <w:r>
              <w:rPr>
                <w:rFonts w:ascii="Times New Roman" w:eastAsia="SimSun"/>
                <w:color w:val="000000"/>
                <w:sz w:val="21"/>
                <w:szCs w:val="21"/>
              </w:rPr>
              <w:t xml:space="preserve">0-12 个月</w:t>
            </w:r>
          </w:p>
        </w:tc>
        <w:tc>
          <w:tcPr>
            <w:tcW w:type="pct" w:w="32%"/>
            <w:shd w:fill="FFFFFF" w:val="clear"/>
            <w:tcMar>
              <w:top w:type="dxa" w:w="80"/>
              <w:left w:type="dxa" w:w="120"/>
              <w:bottom w:type="dxa" w:w="80"/>
              <w:right w:type="dxa" w:w="120"/>
            </w:tcMar>
          </w:tcPr>
          <w:p>
            <w:pPr>
              <w:spacing w:line="276"/>
            </w:pPr>
            <w:r>
              <w:rPr>
                <w:rFonts w:ascii="Times New Roman" w:eastAsia="SimSun"/>
                <w:color w:val="000000"/>
                <w:sz w:val="21"/>
                <w:szCs w:val="21"/>
              </w:rPr>
              <w:t xml:space="preserve">考试救急与课程场景验证</w:t>
            </w:r>
          </w:p>
        </w:tc>
        <w:tc>
          <w:tcPr>
            <w:tcW w:type="pct" w:w="36%"/>
            <w:shd w:fill="FFFFFF" w:val="clear"/>
            <w:tcMar>
              <w:top w:type="dxa" w:w="80"/>
              <w:left w:type="dxa" w:w="120"/>
              <w:bottom w:type="dxa" w:w="80"/>
              <w:right w:type="dxa" w:w="120"/>
            </w:tcMar>
          </w:tcPr>
          <w:p>
            <w:pPr>
              <w:spacing w:line="276"/>
            </w:pPr>
            <w:r>
              <w:rPr>
                <w:rFonts w:ascii="Times New Roman" w:eastAsia="SimSun"/>
                <w:color w:val="000000"/>
                <w:sz w:val="21"/>
                <w:szCs w:val="21"/>
              </w:rPr>
              <w:t xml:space="preserve">小规模真实用户试用，验证产品市场匹配</w:t>
            </w:r>
          </w:p>
        </w:tc>
      </w:tr>
      <w:tr>
        <w:trPr>
          <w:cantSplit/>
        </w:trPr>
        <w:tc>
          <w:tcPr>
            <w:tcW w:type="pct" w:w="16%"/>
            <w:shd w:fill="F8F0EB" w:val="clear"/>
            <w:tcMar>
              <w:top w:type="dxa" w:w="80"/>
              <w:left w:type="dxa" w:w="120"/>
              <w:bottom w:type="dxa" w:w="80"/>
              <w:right w:type="dxa" w:w="120"/>
            </w:tcMar>
          </w:tcPr>
          <w:p>
            <w:pPr>
              <w:spacing w:line="276"/>
            </w:pPr>
            <w:r>
              <w:rPr>
                <w:rFonts w:ascii="Times New Roman" w:eastAsia="SimSun"/>
                <w:color w:val="000000"/>
                <w:sz w:val="21"/>
                <w:szCs w:val="21"/>
              </w:rPr>
              <w:t xml:space="preserve">多高校复制</w:t>
            </w:r>
          </w:p>
        </w:tc>
        <w:tc>
          <w:tcPr>
            <w:tcW w:type="pct" w:w="16%"/>
            <w:shd w:fill="F8F0EB" w:val="clear"/>
            <w:tcMar>
              <w:top w:type="dxa" w:w="80"/>
              <w:left w:type="dxa" w:w="120"/>
              <w:bottom w:type="dxa" w:w="80"/>
              <w:right w:type="dxa" w:w="120"/>
            </w:tcMar>
          </w:tcPr>
          <w:p>
            <w:pPr>
              <w:spacing w:line="276"/>
            </w:pPr>
            <w:r>
              <w:rPr>
                <w:rFonts w:ascii="Times New Roman" w:eastAsia="SimSun"/>
                <w:color w:val="000000"/>
                <w:sz w:val="21"/>
                <w:szCs w:val="21"/>
              </w:rPr>
              <w:t xml:space="preserve">12-24 个月</w:t>
            </w:r>
          </w:p>
        </w:tc>
        <w:tc>
          <w:tcPr>
            <w:tcW w:type="pct" w:w="32%"/>
            <w:shd w:fill="F8F0EB" w:val="clear"/>
            <w:tcMar>
              <w:top w:type="dxa" w:w="80"/>
              <w:left w:type="dxa" w:w="120"/>
              <w:bottom w:type="dxa" w:w="80"/>
              <w:right w:type="dxa" w:w="120"/>
            </w:tcMar>
          </w:tcPr>
          <w:p>
            <w:pPr>
              <w:spacing w:line="276"/>
            </w:pPr>
            <w:r>
              <w:rPr>
                <w:rFonts w:ascii="Times New Roman" w:eastAsia="SimSun"/>
                <w:color w:val="000000"/>
                <w:sz w:val="21"/>
                <w:szCs w:val="21"/>
              </w:rPr>
              <w:t xml:space="preserve">覆盖期末、竞赛、考研等高压目标</w:t>
            </w:r>
          </w:p>
        </w:tc>
        <w:tc>
          <w:tcPr>
            <w:tcW w:type="pct" w:w="36%"/>
            <w:shd w:fill="F8F0EB" w:val="clear"/>
            <w:tcMar>
              <w:top w:type="dxa" w:w="80"/>
              <w:left w:type="dxa" w:w="120"/>
              <w:bottom w:type="dxa" w:w="80"/>
              <w:right w:type="dxa" w:w="120"/>
            </w:tcMar>
          </w:tcPr>
          <w:p>
            <w:pPr>
              <w:spacing w:line="276"/>
            </w:pPr>
            <w:r>
              <w:rPr>
                <w:rFonts w:ascii="Times New Roman" w:eastAsia="SimSun"/>
                <w:color w:val="000000"/>
                <w:sz w:val="21"/>
                <w:szCs w:val="21"/>
              </w:rPr>
              <w:t xml:space="preserve">复制试点经验，打磨多场景适配</w:t>
            </w:r>
          </w:p>
        </w:tc>
      </w:tr>
      <w:tr>
        <w:trPr>
          <w:cantSplit/>
        </w:trPr>
        <w:tc>
          <w:tcPr>
            <w:tcW w:type="pct" w:w="16%"/>
            <w:shd w:fill="FFFFFF" w:val="clear"/>
            <w:tcMar>
              <w:top w:type="dxa" w:w="80"/>
              <w:left w:type="dxa" w:w="120"/>
              <w:bottom w:type="dxa" w:w="80"/>
              <w:right w:type="dxa" w:w="120"/>
            </w:tcMar>
          </w:tcPr>
          <w:p>
            <w:pPr>
              <w:spacing w:line="276"/>
            </w:pPr>
            <w:r>
              <w:rPr>
                <w:rFonts w:ascii="Times New Roman" w:eastAsia="SimSun"/>
                <w:color w:val="000000"/>
                <w:sz w:val="21"/>
                <w:szCs w:val="21"/>
              </w:rPr>
              <w:t xml:space="preserve">机构合作</w:t>
            </w:r>
          </w:p>
        </w:tc>
        <w:tc>
          <w:tcPr>
            <w:tcW w:type="pct" w:w="16%"/>
            <w:shd w:fill="FFFFFF" w:val="clear"/>
            <w:tcMar>
              <w:top w:type="dxa" w:w="80"/>
              <w:left w:type="dxa" w:w="120"/>
              <w:bottom w:type="dxa" w:w="80"/>
              <w:right w:type="dxa" w:w="120"/>
            </w:tcMar>
          </w:tcPr>
          <w:p>
            <w:pPr>
              <w:spacing w:line="276"/>
            </w:pPr>
            <w:r>
              <w:rPr>
                <w:rFonts w:ascii="Times New Roman" w:eastAsia="SimSun"/>
                <w:color w:val="000000"/>
                <w:sz w:val="21"/>
                <w:szCs w:val="21"/>
              </w:rPr>
              <w:t xml:space="preserve">24-36 个月</w:t>
            </w:r>
          </w:p>
        </w:tc>
        <w:tc>
          <w:tcPr>
            <w:tcW w:type="pct" w:w="32%"/>
            <w:shd w:fill="FFFFFF" w:val="clear"/>
            <w:tcMar>
              <w:top w:type="dxa" w:w="80"/>
              <w:left w:type="dxa" w:w="120"/>
              <w:bottom w:type="dxa" w:w="80"/>
              <w:right w:type="dxa" w:w="120"/>
            </w:tcMar>
          </w:tcPr>
          <w:p>
            <w:pPr>
              <w:spacing w:line="276"/>
            </w:pPr>
            <w:r>
              <w:rPr>
                <w:rFonts w:ascii="Times New Roman" w:eastAsia="SimSun"/>
                <w:color w:val="000000"/>
                <w:sz w:val="21"/>
                <w:szCs w:val="21"/>
              </w:rPr>
              <w:t xml:space="preserve">课程体系、班级辅导、导师减负</w:t>
            </w:r>
          </w:p>
        </w:tc>
        <w:tc>
          <w:tcPr>
            <w:tcW w:type="pct" w:w="36%"/>
            <w:shd w:fill="FFFFFF" w:val="clear"/>
            <w:tcMar>
              <w:top w:type="dxa" w:w="80"/>
              <w:left w:type="dxa" w:w="120"/>
              <w:bottom w:type="dxa" w:w="80"/>
              <w:right w:type="dxa" w:w="120"/>
            </w:tcMar>
          </w:tcPr>
          <w:p>
            <w:pPr>
              <w:spacing w:line="276"/>
            </w:pPr>
            <w:r>
              <w:rPr>
                <w:rFonts w:ascii="Times New Roman" w:eastAsia="SimSun"/>
                <w:color w:val="000000"/>
                <w:sz w:val="21"/>
                <w:szCs w:val="21"/>
              </w:rPr>
              <w:t xml:space="preserve">与高校及教育机构建立合作</w:t>
            </w:r>
          </w:p>
        </w:tc>
      </w:tr>
      <w:tr>
        <w:trPr>
          <w:cantSplit/>
        </w:trPr>
        <w:tc>
          <w:tcPr>
            <w:tcW w:type="pct" w:w="16%"/>
            <w:shd w:fill="F8F0EB" w:val="clear"/>
            <w:tcMar>
              <w:top w:type="dxa" w:w="80"/>
              <w:left w:type="dxa" w:w="120"/>
              <w:bottom w:type="dxa" w:w="80"/>
              <w:right w:type="dxa" w:w="120"/>
            </w:tcMar>
          </w:tcPr>
          <w:p>
            <w:pPr>
              <w:spacing w:line="276"/>
            </w:pPr>
            <w:r>
              <w:rPr>
                <w:rFonts w:ascii="Times New Roman" w:eastAsia="SimSun"/>
                <w:color w:val="000000"/>
                <w:sz w:val="21"/>
                <w:szCs w:val="21"/>
              </w:rPr>
              <w:t xml:space="preserve">目标操作系统</w:t>
            </w:r>
          </w:p>
        </w:tc>
        <w:tc>
          <w:tcPr>
            <w:tcW w:type="pct" w:w="16%"/>
            <w:shd w:fill="F8F0EB" w:val="clear"/>
            <w:tcMar>
              <w:top w:type="dxa" w:w="80"/>
              <w:left w:type="dxa" w:w="120"/>
              <w:bottom w:type="dxa" w:w="80"/>
              <w:right w:type="dxa" w:w="120"/>
            </w:tcMar>
          </w:tcPr>
          <w:p>
            <w:pPr>
              <w:spacing w:line="276"/>
            </w:pPr>
            <w:r>
              <w:rPr>
                <w:rFonts w:ascii="Times New Roman" w:eastAsia="SimSun"/>
                <w:color w:val="000000"/>
                <w:sz w:val="21"/>
                <w:szCs w:val="21"/>
              </w:rPr>
              <w:t xml:space="preserve">36 个月以上</w:t>
            </w:r>
          </w:p>
        </w:tc>
        <w:tc>
          <w:tcPr>
            <w:tcW w:type="pct" w:w="32%"/>
            <w:shd w:fill="F8F0EB" w:val="clear"/>
            <w:tcMar>
              <w:top w:type="dxa" w:w="80"/>
              <w:left w:type="dxa" w:w="120"/>
              <w:bottom w:type="dxa" w:w="80"/>
              <w:right w:type="dxa" w:w="120"/>
            </w:tcMar>
          </w:tcPr>
          <w:p>
            <w:pPr>
              <w:spacing w:line="276"/>
            </w:pPr>
            <w:r>
              <w:rPr>
                <w:rFonts w:ascii="Times New Roman" w:eastAsia="SimSun"/>
                <w:color w:val="000000"/>
                <w:sz w:val="21"/>
                <w:szCs w:val="21"/>
              </w:rPr>
              <w:t xml:space="preserve">从学习扩展到个人成长目标</w:t>
            </w:r>
          </w:p>
        </w:tc>
        <w:tc>
          <w:tcPr>
            <w:tcW w:type="pct" w:w="36%"/>
            <w:shd w:fill="F8F0EB" w:val="clear"/>
            <w:tcMar>
              <w:top w:type="dxa" w:w="80"/>
              <w:left w:type="dxa" w:w="120"/>
              <w:bottom w:type="dxa" w:w="80"/>
              <w:right w:type="dxa" w:w="120"/>
            </w:tcMar>
          </w:tcPr>
          <w:p>
            <w:pPr>
              <w:spacing w:line="276"/>
            </w:pPr>
            <w:r>
              <w:rPr>
                <w:rFonts w:ascii="Times New Roman" w:eastAsia="SimSun"/>
                <w:color w:val="000000"/>
                <w:sz w:val="21"/>
                <w:szCs w:val="21"/>
              </w:rPr>
              <w:t xml:space="preserve">开放平台与生态建设</w:t>
            </w:r>
          </w:p>
        </w:tc>
      </w:tr>
    </w:tbl>
    <w:p>
      <w:pPr>
        <w:pStyle w:val="Heading2"/>
        <w:spacing w:after="120" w:before="240" w:line="312"/>
      </w:pPr>
      <w:bookmarkStart w:id="100027" w:name="_Toc100027"/>
      <w:r>
        <w:rPr>
          <w:rFonts w:ascii="Times New Roman" w:eastAsia="SimHei"/>
          <w:b/>
          <w:bCs/>
          <w:color w:val="1A2330"/>
          <w:sz w:val="28"/>
          <w:szCs w:val="28"/>
        </w:rPr>
        <w:t xml:space="preserve">7.3 近期工作计划</w:t>
      </w:r>
      <w:bookmarkEnd w:id="100027"/>
    </w:p>
    <w:p>
      <w:pPr>
        <w:pStyle w:val="ListParagraph"/>
        <w:numPr>
          <w:ilvl w:val="0"/>
          <w:numId w:val="2"/>
        </w:numPr>
        <w:spacing w:after="60" w:line="312"/>
        <w:jc w:val="both"/>
      </w:pPr>
      <w:r>
        <w:rPr>
          <w:rFonts w:ascii="Times New Roman" w:eastAsia="SimSun"/>
          <w:color w:val="000000"/>
          <w:sz w:val="24"/>
          <w:szCs w:val="24"/>
        </w:rPr>
        <w:t xml:space="preserve">完成校内试点的合规与隐私审查，确认数据采集与使用边界；</w:t>
      </w:r>
    </w:p>
    <w:p>
      <w:pPr>
        <w:pStyle w:val="ListParagraph"/>
        <w:numPr>
          <w:ilvl w:val="0"/>
          <w:numId w:val="2"/>
        </w:numPr>
        <w:spacing w:after="60" w:line="312"/>
        <w:jc w:val="both"/>
      </w:pPr>
      <w:r>
        <w:rPr>
          <w:rFonts w:ascii="Times New Roman" w:eastAsia="SimSun"/>
          <w:color w:val="000000"/>
          <w:sz w:val="24"/>
          <w:szCs w:val="24"/>
        </w:rPr>
        <w:t xml:space="preserve">招募首批种子用户，建立反馈闭环，验证考试救急场景的端到端体验；</w:t>
      </w:r>
    </w:p>
    <w:p>
      <w:pPr>
        <w:pStyle w:val="ListParagraph"/>
        <w:numPr>
          <w:ilvl w:val="0"/>
          <w:numId w:val="2"/>
        </w:numPr>
        <w:spacing w:after="60" w:line="312"/>
        <w:jc w:val="both"/>
      </w:pPr>
      <w:r>
        <w:rPr>
          <w:rFonts w:ascii="Times New Roman" w:eastAsia="SimSun"/>
          <w:color w:val="000000"/>
          <w:sz w:val="24"/>
          <w:szCs w:val="24"/>
        </w:rPr>
        <w:t xml:space="preserve">依据试点数据校准留存率、关键节点付费意愿等商业化假设；</w:t>
      </w:r>
    </w:p>
    <w:p>
      <w:pPr>
        <w:pStyle w:val="ListParagraph"/>
        <w:numPr>
          <w:ilvl w:val="0"/>
          <w:numId w:val="2"/>
        </w:numPr>
        <w:spacing w:after="60" w:line="312"/>
        <w:jc w:val="both"/>
      </w:pPr>
      <w:r>
        <w:rPr>
          <w:rFonts w:ascii="Times New Roman" w:eastAsia="SimSun"/>
          <w:color w:val="000000"/>
          <w:sz w:val="24"/>
          <w:szCs w:val="24"/>
        </w:rPr>
        <w:t xml:space="preserve">完善多模型路由与成本监控，为规模化试用做好准备。</w:t>
      </w:r>
    </w:p>
    <w:p>
      <w:pPr>
        <w:pStyle w:val="Heading1"/>
        <w:spacing w:after="160" w:before="360" w:line="312"/>
        <w:jc w:val="center"/>
      </w:pPr>
      <w:bookmarkStart w:id="100028" w:name="_Toc100028"/>
      <w:r>
        <w:rPr>
          <w:rFonts w:ascii="Times New Roman" w:eastAsia="SimHei"/>
          <w:b/>
          <w:bCs/>
          <w:color w:val="1A2330"/>
          <w:sz w:val="32"/>
          <w:szCs w:val="32"/>
        </w:rPr>
        <w:t xml:space="preserve">八、团队介绍</w:t>
      </w:r>
      <w:bookmarkEnd w:id="100028"/>
    </w:p>
    <w:p>
      <w:pPr>
        <w:spacing w:after="80" w:line="312"/>
        <w:ind w:firstLine="480"/>
        <w:jc w:val="both"/>
      </w:pPr>
      <w:r>
        <w:rPr>
          <w:rFonts w:ascii="Times New Roman" w:eastAsia="SimSun"/>
          <w:color w:val="000000"/>
          <w:sz w:val="24"/>
          <w:szCs w:val="24"/>
        </w:rPr>
        <w:t xml:space="preserve">项目由北京邮电大学计算机学院学生团队发起，指导教师为黄亚坤副教授（博士，国家示范性软件学院），负责研究方案指导、技术路线把关、实验设计与论文写作指导。</w:t>
      </w:r>
    </w:p>
    <w:p>
      <w:pPr>
        <w:keepNext/>
        <w:spacing w:after="80" w:before="160" w:line="312"/>
        <w:jc w:val="center"/>
      </w:pPr>
      <w:r>
        <w:rPr>
          <w:rFonts w:ascii="Times New Roman" w:eastAsia="SimHei"/>
          <w:b/>
          <w:bCs/>
          <w:color w:val="1A2330"/>
          <w:sz w:val="21"/>
          <w:szCs w:val="21"/>
        </w:rPr>
        <w:t xml:space="preserve">表 4 团队成员与分工</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Pr>
      <w:tblGrid>
        <w:gridCol w:w="100"/>
        <w:gridCol w:w="100"/>
        <w:gridCol w:w="100"/>
      </w:tblGrid>
      <w:tr>
        <w:trPr>
          <w:cantSplit/>
          <w:tblHeader/>
        </w:trPr>
        <w:tc>
          <w:tcPr>
            <w:tcW w:type="pct" w:w="16%"/>
            <w:shd w:fill="D4875A" w:val="clear"/>
            <w:tcMar>
              <w:top w:type="dxa" w:w="80"/>
              <w:left w:type="dxa" w:w="120"/>
              <w:bottom w:type="dxa" w:w="80"/>
              <w:right w:type="dxa" w:w="120"/>
            </w:tcMar>
          </w:tcPr>
          <w:p>
            <w:pPr>
              <w:spacing w:line="276"/>
            </w:pPr>
            <w:r>
              <w:rPr>
                <w:rFonts w:ascii="Times New Roman" w:eastAsia="SimHei"/>
                <w:b/>
                <w:bCs/>
                <w:color w:val="FFFFFF"/>
                <w:sz w:val="21"/>
                <w:szCs w:val="21"/>
              </w:rPr>
              <w:t xml:space="preserve">姓名</w:t>
            </w:r>
          </w:p>
        </w:tc>
        <w:tc>
          <w:tcPr>
            <w:tcW w:type="pct" w:w="36%"/>
            <w:shd w:fill="D4875A" w:val="clear"/>
            <w:tcMar>
              <w:top w:type="dxa" w:w="80"/>
              <w:left w:type="dxa" w:w="120"/>
              <w:bottom w:type="dxa" w:w="80"/>
              <w:right w:type="dxa" w:w="120"/>
            </w:tcMar>
          </w:tcPr>
          <w:p>
            <w:pPr>
              <w:spacing w:line="276"/>
            </w:pPr>
            <w:r>
              <w:rPr>
                <w:rFonts w:ascii="Times New Roman" w:eastAsia="SimHei"/>
                <w:b/>
                <w:bCs/>
                <w:color w:val="FFFFFF"/>
                <w:sz w:val="21"/>
                <w:szCs w:val="21"/>
              </w:rPr>
              <w:t xml:space="preserve">学院与专业</w:t>
            </w:r>
          </w:p>
        </w:tc>
        <w:tc>
          <w:tcPr>
            <w:tcW w:type="pct" w:w="48%"/>
            <w:shd w:fill="D4875A" w:val="clear"/>
            <w:tcMar>
              <w:top w:type="dxa" w:w="80"/>
              <w:left w:type="dxa" w:w="120"/>
              <w:bottom w:type="dxa" w:w="80"/>
              <w:right w:type="dxa" w:w="120"/>
            </w:tcMar>
          </w:tcPr>
          <w:p>
            <w:pPr>
              <w:spacing w:line="276"/>
            </w:pPr>
            <w:r>
              <w:rPr>
                <w:rFonts w:ascii="Times New Roman" w:eastAsia="SimHei"/>
                <w:b/>
                <w:bCs/>
                <w:color w:val="FFFFFF"/>
                <w:sz w:val="21"/>
                <w:szCs w:val="21"/>
              </w:rPr>
              <w:t xml:space="preserve">分工</w:t>
            </w:r>
          </w:p>
        </w:tc>
      </w:tr>
      <w:tr>
        <w:trPr>
          <w:cantSplit/>
        </w:trPr>
        <w:tc>
          <w:tcPr>
            <w:tcW w:type="pct" w:w="16%"/>
            <w:shd w:fill="FFFFFF" w:val="clear"/>
            <w:tcMar>
              <w:top w:type="dxa" w:w="80"/>
              <w:left w:type="dxa" w:w="120"/>
              <w:bottom w:type="dxa" w:w="80"/>
              <w:right w:type="dxa" w:w="120"/>
            </w:tcMar>
          </w:tcPr>
          <w:p>
            <w:pPr>
              <w:spacing w:line="276"/>
            </w:pPr>
            <w:r>
              <w:rPr>
                <w:rFonts w:ascii="Times New Roman" w:eastAsia="SimSun"/>
                <w:color w:val="000000"/>
                <w:sz w:val="21"/>
                <w:szCs w:val="21"/>
              </w:rPr>
              <w:t xml:space="preserve">邓博仁</w:t>
            </w:r>
          </w:p>
        </w:tc>
        <w:tc>
          <w:tcPr>
            <w:tcW w:type="pct" w:w="36%"/>
            <w:shd w:fill="FFFFFF" w:val="clear"/>
            <w:tcMar>
              <w:top w:type="dxa" w:w="80"/>
              <w:left w:type="dxa" w:w="120"/>
              <w:bottom w:type="dxa" w:w="80"/>
              <w:right w:type="dxa" w:w="120"/>
            </w:tcMar>
          </w:tcPr>
          <w:p>
            <w:pPr>
              <w:spacing w:line="276"/>
            </w:pPr>
            <w:r>
              <w:rPr>
                <w:rFonts w:ascii="Times New Roman" w:eastAsia="SimSun"/>
                <w:color w:val="000000"/>
                <w:sz w:val="21"/>
                <w:szCs w:val="21"/>
              </w:rPr>
              <w:t xml:space="preserve">计算机学院 计算机科学与技术</w:t>
            </w:r>
          </w:p>
        </w:tc>
        <w:tc>
          <w:tcPr>
            <w:tcW w:type="pct" w:w="48%"/>
            <w:shd w:fill="FFFFFF" w:val="clear"/>
            <w:tcMar>
              <w:top w:type="dxa" w:w="80"/>
              <w:left w:type="dxa" w:w="120"/>
              <w:bottom w:type="dxa" w:w="80"/>
              <w:right w:type="dxa" w:w="120"/>
            </w:tcMar>
          </w:tcPr>
          <w:p>
            <w:pPr>
              <w:spacing w:line="276"/>
            </w:pPr>
            <w:r>
              <w:rPr>
                <w:rFonts w:ascii="Times New Roman" w:eastAsia="SimSun"/>
                <w:color w:val="000000"/>
                <w:sz w:val="21"/>
                <w:szCs w:val="21"/>
              </w:rPr>
              <w:t xml:space="preserve">项目负责人：产品愿景、系统架构、核心研发</w:t>
            </w:r>
          </w:p>
        </w:tc>
      </w:tr>
      <w:tr>
        <w:trPr>
          <w:cantSplit/>
        </w:trPr>
        <w:tc>
          <w:tcPr>
            <w:tcW w:type="pct" w:w="16%"/>
            <w:shd w:fill="F8F0EB" w:val="clear"/>
            <w:tcMar>
              <w:top w:type="dxa" w:w="80"/>
              <w:left w:type="dxa" w:w="120"/>
              <w:bottom w:type="dxa" w:w="80"/>
              <w:right w:type="dxa" w:w="120"/>
            </w:tcMar>
          </w:tcPr>
          <w:p>
            <w:pPr>
              <w:spacing w:line="276"/>
            </w:pPr>
            <w:r>
              <w:rPr>
                <w:rFonts w:ascii="Times New Roman" w:eastAsia="SimSun"/>
                <w:color w:val="000000"/>
                <w:sz w:val="21"/>
                <w:szCs w:val="21"/>
              </w:rPr>
              <w:t xml:space="preserve">王英树</w:t>
            </w:r>
          </w:p>
        </w:tc>
        <w:tc>
          <w:tcPr>
            <w:tcW w:type="pct" w:w="36%"/>
            <w:shd w:fill="F8F0EB" w:val="clear"/>
            <w:tcMar>
              <w:top w:type="dxa" w:w="80"/>
              <w:left w:type="dxa" w:w="120"/>
              <w:bottom w:type="dxa" w:w="80"/>
              <w:right w:type="dxa" w:w="120"/>
            </w:tcMar>
          </w:tcPr>
          <w:p>
            <w:pPr>
              <w:spacing w:line="276"/>
            </w:pPr>
            <w:r>
              <w:rPr>
                <w:rFonts w:ascii="Times New Roman" w:eastAsia="SimSun"/>
                <w:color w:val="000000"/>
                <w:sz w:val="21"/>
                <w:szCs w:val="21"/>
              </w:rPr>
              <w:t xml:space="preserve">计算机学院 计算机科学与技术</w:t>
            </w:r>
          </w:p>
        </w:tc>
        <w:tc>
          <w:tcPr>
            <w:tcW w:type="pct" w:w="48%"/>
            <w:shd w:fill="F8F0EB" w:val="clear"/>
            <w:tcMar>
              <w:top w:type="dxa" w:w="80"/>
              <w:left w:type="dxa" w:w="120"/>
              <w:bottom w:type="dxa" w:w="80"/>
              <w:right w:type="dxa" w:w="120"/>
            </w:tcMar>
          </w:tcPr>
          <w:p>
            <w:pPr>
              <w:spacing w:line="276"/>
            </w:pPr>
            <w:r>
              <w:rPr>
                <w:rFonts w:ascii="Times New Roman" w:eastAsia="SimSun"/>
                <w:color w:val="000000"/>
                <w:sz w:val="21"/>
                <w:szCs w:val="21"/>
              </w:rPr>
              <w:t xml:space="preserve">后端开发与验证协作</w:t>
            </w:r>
          </w:p>
        </w:tc>
      </w:tr>
      <w:tr>
        <w:trPr>
          <w:cantSplit/>
        </w:trPr>
        <w:tc>
          <w:tcPr>
            <w:tcW w:type="pct" w:w="16%"/>
            <w:shd w:fill="FFFFFF" w:val="clear"/>
            <w:tcMar>
              <w:top w:type="dxa" w:w="80"/>
              <w:left w:type="dxa" w:w="120"/>
              <w:bottom w:type="dxa" w:w="80"/>
              <w:right w:type="dxa" w:w="120"/>
            </w:tcMar>
          </w:tcPr>
          <w:p>
            <w:pPr>
              <w:spacing w:line="276"/>
            </w:pPr>
            <w:r>
              <w:rPr>
                <w:rFonts w:ascii="Times New Roman" w:eastAsia="SimSun"/>
                <w:color w:val="000000"/>
                <w:sz w:val="21"/>
                <w:szCs w:val="21"/>
              </w:rPr>
              <w:t xml:space="preserve">王宇</w:t>
            </w:r>
          </w:p>
        </w:tc>
        <w:tc>
          <w:tcPr>
            <w:tcW w:type="pct" w:w="36%"/>
            <w:shd w:fill="FFFFFF" w:val="clear"/>
            <w:tcMar>
              <w:top w:type="dxa" w:w="80"/>
              <w:left w:type="dxa" w:w="120"/>
              <w:bottom w:type="dxa" w:w="80"/>
              <w:right w:type="dxa" w:w="120"/>
            </w:tcMar>
          </w:tcPr>
          <w:p>
            <w:pPr>
              <w:spacing w:line="276"/>
            </w:pPr>
            <w:r>
              <w:rPr>
                <w:rFonts w:ascii="Times New Roman" w:eastAsia="SimSun"/>
                <w:color w:val="000000"/>
                <w:sz w:val="21"/>
                <w:szCs w:val="21"/>
              </w:rPr>
              <w:t xml:space="preserve">电子信息</w:t>
            </w:r>
          </w:p>
        </w:tc>
        <w:tc>
          <w:tcPr>
            <w:tcW w:type="pct" w:w="48%"/>
            <w:shd w:fill="FFFFFF" w:val="clear"/>
            <w:tcMar>
              <w:top w:type="dxa" w:w="80"/>
              <w:left w:type="dxa" w:w="120"/>
              <w:bottom w:type="dxa" w:w="80"/>
              <w:right w:type="dxa" w:w="120"/>
            </w:tcMar>
          </w:tcPr>
          <w:p>
            <w:pPr>
              <w:spacing w:line="276"/>
            </w:pPr>
            <w:r>
              <w:rPr>
                <w:rFonts w:ascii="Times New Roman" w:eastAsia="SimSun"/>
                <w:color w:val="000000"/>
                <w:sz w:val="21"/>
                <w:szCs w:val="21"/>
              </w:rPr>
              <w:t xml:space="preserve">工程实现与测试协作</w:t>
            </w:r>
          </w:p>
        </w:tc>
      </w:tr>
      <w:tr>
        <w:trPr>
          <w:cantSplit/>
        </w:trPr>
        <w:tc>
          <w:tcPr>
            <w:tcW w:type="pct" w:w="16%"/>
            <w:shd w:fill="F8F0EB" w:val="clear"/>
            <w:tcMar>
              <w:top w:type="dxa" w:w="80"/>
              <w:left w:type="dxa" w:w="120"/>
              <w:bottom w:type="dxa" w:w="80"/>
              <w:right w:type="dxa" w:w="120"/>
            </w:tcMar>
          </w:tcPr>
          <w:p>
            <w:pPr>
              <w:spacing w:line="276"/>
            </w:pPr>
            <w:r>
              <w:rPr>
                <w:rFonts w:ascii="Times New Roman" w:eastAsia="SimSun"/>
                <w:color w:val="000000"/>
                <w:sz w:val="21"/>
                <w:szCs w:val="21"/>
              </w:rPr>
              <w:t xml:space="preserve">张雨凝</w:t>
            </w:r>
          </w:p>
        </w:tc>
        <w:tc>
          <w:tcPr>
            <w:tcW w:type="pct" w:w="36%"/>
            <w:shd w:fill="F8F0EB" w:val="clear"/>
            <w:tcMar>
              <w:top w:type="dxa" w:w="80"/>
              <w:left w:type="dxa" w:w="120"/>
              <w:bottom w:type="dxa" w:w="80"/>
              <w:right w:type="dxa" w:w="120"/>
            </w:tcMar>
          </w:tcPr>
          <w:p>
            <w:pPr>
              <w:spacing w:line="276"/>
            </w:pPr>
            <w:r>
              <w:rPr>
                <w:rFonts w:ascii="Times New Roman" w:eastAsia="SimSun"/>
                <w:color w:val="000000"/>
                <w:sz w:val="21"/>
                <w:szCs w:val="21"/>
              </w:rPr>
              <w:t xml:space="preserve">计算机学院 计算机科学与技术</w:t>
            </w:r>
          </w:p>
        </w:tc>
        <w:tc>
          <w:tcPr>
            <w:tcW w:type="pct" w:w="48%"/>
            <w:shd w:fill="F8F0EB" w:val="clear"/>
            <w:tcMar>
              <w:top w:type="dxa" w:w="80"/>
              <w:left w:type="dxa" w:w="120"/>
              <w:bottom w:type="dxa" w:w="80"/>
              <w:right w:type="dxa" w:w="120"/>
            </w:tcMar>
          </w:tcPr>
          <w:p>
            <w:pPr>
              <w:spacing w:line="276"/>
            </w:pPr>
            <w:r>
              <w:rPr>
                <w:rFonts w:ascii="Times New Roman" w:eastAsia="SimSun"/>
                <w:color w:val="000000"/>
                <w:sz w:val="21"/>
                <w:szCs w:val="21"/>
              </w:rPr>
              <w:t xml:space="preserve">产品设计与移动端协作</w:t>
            </w:r>
          </w:p>
        </w:tc>
      </w:tr>
    </w:tbl>
    <w:p>
      <w:pPr>
        <w:spacing w:after="80" w:line="312"/>
        <w:ind w:firstLine="480"/>
        <w:jc w:val="both"/>
      </w:pPr>
      <w:r>
        <w:rPr>
          <w:rFonts w:ascii="Times New Roman" w:eastAsia="SimSun"/>
          <w:color w:val="000000"/>
          <w:sz w:val="24"/>
          <w:szCs w:val="24"/>
        </w:rPr>
        <w:t xml:space="preserve">团队覆盖产品、人工智能系统、后端、移动端与验证安全五个方向。这不是单点算法项目，而是产品、智能、工程、安全和验证一起推进的系统工程；团队已建立持续集成、规则守卫与阶段验收机制，具备把系统从原型推进到真实运行的工程能力。负责人联系方式：dengboren060427@163.com。</w:t>
      </w:r>
    </w:p>
    <w:p>
      <w:pPr>
        <w:pStyle w:val="Heading1"/>
        <w:spacing w:after="160" w:before="360" w:line="312"/>
        <w:jc w:val="center"/>
      </w:pPr>
      <w:bookmarkStart w:id="100029" w:name="_Toc100029"/>
      <w:r>
        <w:rPr>
          <w:rFonts w:ascii="Times New Roman" w:eastAsia="SimHei"/>
          <w:b/>
          <w:bCs/>
          <w:color w:val="1A2330"/>
          <w:sz w:val="32"/>
          <w:szCs w:val="32"/>
        </w:rPr>
        <w:t xml:space="preserve">九、财务规划与资金使用</w:t>
      </w:r>
      <w:bookmarkEnd w:id="100029"/>
    </w:p>
    <w:p>
      <w:pPr>
        <w:pStyle w:val="Heading2"/>
        <w:spacing w:after="120" w:before="240" w:line="312"/>
      </w:pPr>
      <w:bookmarkStart w:id="100030" w:name="_Toc100030"/>
      <w:r>
        <w:rPr>
          <w:rFonts w:ascii="Times New Roman" w:eastAsia="SimHei"/>
          <w:b/>
          <w:bCs/>
          <w:color w:val="1A2330"/>
          <w:sz w:val="28"/>
          <w:szCs w:val="28"/>
        </w:rPr>
        <w:t xml:space="preserve">9.1 成本构成</w:t>
      </w:r>
      <w:bookmarkEnd w:id="100030"/>
    </w:p>
    <w:p>
      <w:pPr>
        <w:spacing w:after="80" w:line="312"/>
        <w:ind w:firstLine="480"/>
        <w:jc w:val="both"/>
      </w:pPr>
      <w:r>
        <w:rPr>
          <w:rFonts w:ascii="Times New Roman" w:eastAsia="SimSun"/>
          <w:color w:val="000000"/>
          <w:sz w:val="24"/>
          <w:szCs w:val="24"/>
        </w:rPr>
        <w:t xml:space="preserve">项目主要成本包括：大模型推理的算力调用成本（按量计费，经多模型路由与语义缓存优化）、云资源成本（数据库、缓存、对象存储与带宽）、开发与测试工具成本、试点运营与推广成本。</w:t>
      </w:r>
    </w:p>
    <w:p>
      <w:pPr>
        <w:pStyle w:val="Heading2"/>
        <w:spacing w:after="120" w:before="240" w:line="312"/>
      </w:pPr>
      <w:bookmarkStart w:id="100031" w:name="_Toc100031"/>
      <w:r>
        <w:rPr>
          <w:rFonts w:ascii="Times New Roman" w:eastAsia="SimHei"/>
          <w:b/>
          <w:bCs/>
          <w:color w:val="1A2330"/>
          <w:sz w:val="28"/>
          <w:szCs w:val="28"/>
        </w:rPr>
        <w:t xml:space="preserve">9.2 资金使用计划</w:t>
      </w:r>
      <w:bookmarkEnd w:id="100031"/>
    </w:p>
    <w:p>
      <w:pPr>
        <w:spacing w:after="80" w:line="312"/>
        <w:ind w:firstLine="480"/>
        <w:jc w:val="both"/>
      </w:pPr>
      <w:r>
        <w:rPr>
          <w:rFonts w:ascii="Times New Roman" w:eastAsia="SimSun"/>
          <w:color w:val="000000"/>
          <w:sz w:val="24"/>
          <w:szCs w:val="24"/>
        </w:rPr>
        <w:t xml:space="preserve">在创业训练经费或种子资金的支持下，团队计划按以下口径使用资金（比例为大创典型经费口径的规划值，最终以立项批复为准）：</w:t>
      </w:r>
    </w:p>
    <w:p>
      <w:pPr>
        <w:keepNext/>
        <w:spacing w:after="80" w:before="160" w:line="312"/>
        <w:jc w:val="center"/>
      </w:pPr>
      <w:r>
        <w:rPr>
          <w:rFonts w:ascii="Times New Roman" w:eastAsia="SimHei"/>
          <w:b/>
          <w:bCs/>
          <w:color w:val="1A2330"/>
          <w:sz w:val="21"/>
          <w:szCs w:val="21"/>
        </w:rPr>
        <w:t xml:space="preserve">表 5 资金使用计划（规划口径）</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Pr>
      <w:tblGrid>
        <w:gridCol w:w="100"/>
        <w:gridCol w:w="100"/>
        <w:gridCol w:w="100"/>
      </w:tblGrid>
      <w:tr>
        <w:trPr>
          <w:cantSplit/>
          <w:tblHeader/>
        </w:trPr>
        <w:tc>
          <w:tcPr>
            <w:tcW w:type="pct" w:w="26%"/>
            <w:shd w:fill="D4875A" w:val="clear"/>
            <w:tcMar>
              <w:top w:type="dxa" w:w="80"/>
              <w:left w:type="dxa" w:w="120"/>
              <w:bottom w:type="dxa" w:w="80"/>
              <w:right w:type="dxa" w:w="120"/>
            </w:tcMar>
          </w:tcPr>
          <w:p>
            <w:pPr>
              <w:spacing w:line="276"/>
            </w:pPr>
            <w:r>
              <w:rPr>
                <w:rFonts w:ascii="Times New Roman" w:eastAsia="SimHei"/>
                <w:b/>
                <w:bCs/>
                <w:color w:val="FFFFFF"/>
                <w:sz w:val="21"/>
                <w:szCs w:val="21"/>
              </w:rPr>
              <w:t xml:space="preserve">用途</w:t>
            </w:r>
          </w:p>
        </w:tc>
        <w:tc>
          <w:tcPr>
            <w:tcW w:type="pct" w:w="14%"/>
            <w:shd w:fill="D4875A" w:val="clear"/>
            <w:tcMar>
              <w:top w:type="dxa" w:w="80"/>
              <w:left w:type="dxa" w:w="120"/>
              <w:bottom w:type="dxa" w:w="80"/>
              <w:right w:type="dxa" w:w="120"/>
            </w:tcMar>
          </w:tcPr>
          <w:p>
            <w:pPr>
              <w:spacing w:line="276"/>
            </w:pPr>
            <w:r>
              <w:rPr>
                <w:rFonts w:ascii="Times New Roman" w:eastAsia="SimHei"/>
                <w:b/>
                <w:bCs/>
                <w:color w:val="FFFFFF"/>
                <w:sz w:val="21"/>
                <w:szCs w:val="21"/>
              </w:rPr>
              <w:t xml:space="preserve">比例</w:t>
            </w:r>
          </w:p>
        </w:tc>
        <w:tc>
          <w:tcPr>
            <w:tcW w:type="pct" w:w="60%"/>
            <w:shd w:fill="D4875A" w:val="clear"/>
            <w:tcMar>
              <w:top w:type="dxa" w:w="80"/>
              <w:left w:type="dxa" w:w="120"/>
              <w:bottom w:type="dxa" w:w="80"/>
              <w:right w:type="dxa" w:w="120"/>
            </w:tcMar>
          </w:tcPr>
          <w:p>
            <w:pPr>
              <w:spacing w:line="276"/>
            </w:pPr>
            <w:r>
              <w:rPr>
                <w:rFonts w:ascii="Times New Roman" w:eastAsia="SimHei"/>
                <w:b/>
                <w:bCs/>
                <w:color w:val="FFFFFF"/>
                <w:sz w:val="21"/>
                <w:szCs w:val="21"/>
              </w:rPr>
              <w:t xml:space="preserve">说明</w:t>
            </w:r>
          </w:p>
        </w:tc>
      </w:tr>
      <w:tr>
        <w:trPr>
          <w:cantSplit/>
        </w:trPr>
        <w:tc>
          <w:tcPr>
            <w:tcW w:type="pct" w:w="26%"/>
            <w:shd w:fill="FFFFFF" w:val="clear"/>
            <w:tcMar>
              <w:top w:type="dxa" w:w="80"/>
              <w:left w:type="dxa" w:w="120"/>
              <w:bottom w:type="dxa" w:w="80"/>
              <w:right w:type="dxa" w:w="120"/>
            </w:tcMar>
          </w:tcPr>
          <w:p>
            <w:pPr>
              <w:spacing w:line="276"/>
            </w:pPr>
            <w:r>
              <w:rPr>
                <w:rFonts w:ascii="Times New Roman" w:eastAsia="SimSun"/>
                <w:color w:val="000000"/>
                <w:sz w:val="21"/>
                <w:szCs w:val="21"/>
              </w:rPr>
              <w:t xml:space="preserve">算力与云服务</w:t>
            </w:r>
          </w:p>
        </w:tc>
        <w:tc>
          <w:tcPr>
            <w:tcW w:type="pct" w:w="14%"/>
            <w:shd w:fill="FFFFFF" w:val="clear"/>
            <w:tcMar>
              <w:top w:type="dxa" w:w="80"/>
              <w:left w:type="dxa" w:w="120"/>
              <w:bottom w:type="dxa" w:w="80"/>
              <w:right w:type="dxa" w:w="120"/>
            </w:tcMar>
          </w:tcPr>
          <w:p>
            <w:pPr>
              <w:spacing w:line="276"/>
            </w:pPr>
            <w:r>
              <w:rPr>
                <w:rFonts w:ascii="Times New Roman" w:eastAsia="SimSun"/>
                <w:color w:val="000000"/>
                <w:sz w:val="21"/>
                <w:szCs w:val="21"/>
              </w:rPr>
              <w:t xml:space="preserve">40%</w:t>
            </w:r>
          </w:p>
        </w:tc>
        <w:tc>
          <w:tcPr>
            <w:tcW w:type="pct" w:w="60%"/>
            <w:shd w:fill="FFFFFF" w:val="clear"/>
            <w:tcMar>
              <w:top w:type="dxa" w:w="80"/>
              <w:left w:type="dxa" w:w="120"/>
              <w:bottom w:type="dxa" w:w="80"/>
              <w:right w:type="dxa" w:w="120"/>
            </w:tcMar>
          </w:tcPr>
          <w:p>
            <w:pPr>
              <w:spacing w:line="276"/>
            </w:pPr>
            <w:r>
              <w:rPr>
                <w:rFonts w:ascii="Times New Roman" w:eastAsia="SimSun"/>
                <w:color w:val="000000"/>
                <w:sz w:val="21"/>
                <w:szCs w:val="21"/>
              </w:rPr>
              <w:t xml:space="preserve">大模型调用、向量数据库、云资源与带宽</w:t>
            </w:r>
          </w:p>
        </w:tc>
      </w:tr>
      <w:tr>
        <w:trPr>
          <w:cantSplit/>
        </w:trPr>
        <w:tc>
          <w:tcPr>
            <w:tcW w:type="pct" w:w="26%"/>
            <w:shd w:fill="F8F0EB" w:val="clear"/>
            <w:tcMar>
              <w:top w:type="dxa" w:w="80"/>
              <w:left w:type="dxa" w:w="120"/>
              <w:bottom w:type="dxa" w:w="80"/>
              <w:right w:type="dxa" w:w="120"/>
            </w:tcMar>
          </w:tcPr>
          <w:p>
            <w:pPr>
              <w:spacing w:line="276"/>
            </w:pPr>
            <w:r>
              <w:rPr>
                <w:rFonts w:ascii="Times New Roman" w:eastAsia="SimSun"/>
                <w:color w:val="000000"/>
                <w:sz w:val="21"/>
                <w:szCs w:val="21"/>
              </w:rPr>
              <w:t xml:space="preserve">产品研发与测试</w:t>
            </w:r>
          </w:p>
        </w:tc>
        <w:tc>
          <w:tcPr>
            <w:tcW w:type="pct" w:w="14%"/>
            <w:shd w:fill="F8F0EB" w:val="clear"/>
            <w:tcMar>
              <w:top w:type="dxa" w:w="80"/>
              <w:left w:type="dxa" w:w="120"/>
              <w:bottom w:type="dxa" w:w="80"/>
              <w:right w:type="dxa" w:w="120"/>
            </w:tcMar>
          </w:tcPr>
          <w:p>
            <w:pPr>
              <w:spacing w:line="276"/>
            </w:pPr>
            <w:r>
              <w:rPr>
                <w:rFonts w:ascii="Times New Roman" w:eastAsia="SimSun"/>
                <w:color w:val="000000"/>
                <w:sz w:val="21"/>
                <w:szCs w:val="21"/>
              </w:rPr>
              <w:t xml:space="preserve">25%</w:t>
            </w:r>
          </w:p>
        </w:tc>
        <w:tc>
          <w:tcPr>
            <w:tcW w:type="pct" w:w="60%"/>
            <w:shd w:fill="F8F0EB" w:val="clear"/>
            <w:tcMar>
              <w:top w:type="dxa" w:w="80"/>
              <w:left w:type="dxa" w:w="120"/>
              <w:bottom w:type="dxa" w:w="80"/>
              <w:right w:type="dxa" w:w="120"/>
            </w:tcMar>
          </w:tcPr>
          <w:p>
            <w:pPr>
              <w:spacing w:line="276"/>
            </w:pPr>
            <w:r>
              <w:rPr>
                <w:rFonts w:ascii="Times New Roman" w:eastAsia="SimSun"/>
                <w:color w:val="000000"/>
                <w:sz w:val="21"/>
                <w:szCs w:val="21"/>
              </w:rPr>
              <w:t xml:space="preserve">测试设备、开发工具、真机联调</w:t>
            </w:r>
          </w:p>
        </w:tc>
      </w:tr>
      <w:tr>
        <w:trPr>
          <w:cantSplit/>
        </w:trPr>
        <w:tc>
          <w:tcPr>
            <w:tcW w:type="pct" w:w="26%"/>
            <w:shd w:fill="FFFFFF" w:val="clear"/>
            <w:tcMar>
              <w:top w:type="dxa" w:w="80"/>
              <w:left w:type="dxa" w:w="120"/>
              <w:bottom w:type="dxa" w:w="80"/>
              <w:right w:type="dxa" w:w="120"/>
            </w:tcMar>
          </w:tcPr>
          <w:p>
            <w:pPr>
              <w:spacing w:line="276"/>
            </w:pPr>
            <w:r>
              <w:rPr>
                <w:rFonts w:ascii="Times New Roman" w:eastAsia="SimSun"/>
                <w:color w:val="000000"/>
                <w:sz w:val="21"/>
                <w:szCs w:val="21"/>
              </w:rPr>
              <w:t xml:space="preserve">试点运营与推广</w:t>
            </w:r>
          </w:p>
        </w:tc>
        <w:tc>
          <w:tcPr>
            <w:tcW w:type="pct" w:w="14%"/>
            <w:shd w:fill="FFFFFF" w:val="clear"/>
            <w:tcMar>
              <w:top w:type="dxa" w:w="80"/>
              <w:left w:type="dxa" w:w="120"/>
              <w:bottom w:type="dxa" w:w="80"/>
              <w:right w:type="dxa" w:w="120"/>
            </w:tcMar>
          </w:tcPr>
          <w:p>
            <w:pPr>
              <w:spacing w:line="276"/>
            </w:pPr>
            <w:r>
              <w:rPr>
                <w:rFonts w:ascii="Times New Roman" w:eastAsia="SimSun"/>
                <w:color w:val="000000"/>
                <w:sz w:val="21"/>
                <w:szCs w:val="21"/>
              </w:rPr>
              <w:t xml:space="preserve">20%</w:t>
            </w:r>
          </w:p>
        </w:tc>
        <w:tc>
          <w:tcPr>
            <w:tcW w:type="pct" w:w="60%"/>
            <w:shd w:fill="FFFFFF" w:val="clear"/>
            <w:tcMar>
              <w:top w:type="dxa" w:w="80"/>
              <w:left w:type="dxa" w:w="120"/>
              <w:bottom w:type="dxa" w:w="80"/>
              <w:right w:type="dxa" w:w="120"/>
            </w:tcMar>
          </w:tcPr>
          <w:p>
            <w:pPr>
              <w:spacing w:line="276"/>
            </w:pPr>
            <w:r>
              <w:rPr>
                <w:rFonts w:ascii="Times New Roman" w:eastAsia="SimSun"/>
                <w:color w:val="000000"/>
                <w:sz w:val="21"/>
                <w:szCs w:val="21"/>
              </w:rPr>
              <w:t xml:space="preserve">校内试点组织、用户激励与物料</w:t>
            </w:r>
          </w:p>
        </w:tc>
      </w:tr>
      <w:tr>
        <w:trPr>
          <w:cantSplit/>
        </w:trPr>
        <w:tc>
          <w:tcPr>
            <w:tcW w:type="pct" w:w="26%"/>
            <w:shd w:fill="F8F0EB" w:val="clear"/>
            <w:tcMar>
              <w:top w:type="dxa" w:w="80"/>
              <w:left w:type="dxa" w:w="120"/>
              <w:bottom w:type="dxa" w:w="80"/>
              <w:right w:type="dxa" w:w="120"/>
            </w:tcMar>
          </w:tcPr>
          <w:p>
            <w:pPr>
              <w:spacing w:line="276"/>
            </w:pPr>
            <w:r>
              <w:rPr>
                <w:rFonts w:ascii="Times New Roman" w:eastAsia="SimSun"/>
                <w:color w:val="000000"/>
                <w:sz w:val="21"/>
                <w:szCs w:val="21"/>
              </w:rPr>
              <w:t xml:space="preserve">差旅与材料</w:t>
            </w:r>
          </w:p>
        </w:tc>
        <w:tc>
          <w:tcPr>
            <w:tcW w:type="pct" w:w="14%"/>
            <w:shd w:fill="F8F0EB" w:val="clear"/>
            <w:tcMar>
              <w:top w:type="dxa" w:w="80"/>
              <w:left w:type="dxa" w:w="120"/>
              <w:bottom w:type="dxa" w:w="80"/>
              <w:right w:type="dxa" w:w="120"/>
            </w:tcMar>
          </w:tcPr>
          <w:p>
            <w:pPr>
              <w:spacing w:line="276"/>
            </w:pPr>
            <w:r>
              <w:rPr>
                <w:rFonts w:ascii="Times New Roman" w:eastAsia="SimSun"/>
                <w:color w:val="000000"/>
                <w:sz w:val="21"/>
                <w:szCs w:val="21"/>
              </w:rPr>
              <w:t xml:space="preserve">10%</w:t>
            </w:r>
          </w:p>
        </w:tc>
        <w:tc>
          <w:tcPr>
            <w:tcW w:type="pct" w:w="60%"/>
            <w:shd w:fill="F8F0EB" w:val="clear"/>
            <w:tcMar>
              <w:top w:type="dxa" w:w="80"/>
              <w:left w:type="dxa" w:w="120"/>
              <w:bottom w:type="dxa" w:w="80"/>
              <w:right w:type="dxa" w:w="120"/>
            </w:tcMar>
          </w:tcPr>
          <w:p>
            <w:pPr>
              <w:spacing w:line="276"/>
            </w:pPr>
            <w:r>
              <w:rPr>
                <w:rFonts w:ascii="Times New Roman" w:eastAsia="SimSun"/>
                <w:color w:val="000000"/>
                <w:sz w:val="21"/>
                <w:szCs w:val="21"/>
              </w:rPr>
              <w:t xml:space="preserve">调研、参赛与打印材料</w:t>
            </w:r>
          </w:p>
        </w:tc>
      </w:tr>
      <w:tr>
        <w:trPr>
          <w:cantSplit/>
        </w:trPr>
        <w:tc>
          <w:tcPr>
            <w:tcW w:type="pct" w:w="26%"/>
            <w:shd w:fill="FFFFFF" w:val="clear"/>
            <w:tcMar>
              <w:top w:type="dxa" w:w="80"/>
              <w:left w:type="dxa" w:w="120"/>
              <w:bottom w:type="dxa" w:w="80"/>
              <w:right w:type="dxa" w:w="120"/>
            </w:tcMar>
          </w:tcPr>
          <w:p>
            <w:pPr>
              <w:spacing w:line="276"/>
            </w:pPr>
            <w:r>
              <w:rPr>
                <w:rFonts w:ascii="Times New Roman" w:eastAsia="SimSun"/>
                <w:color w:val="000000"/>
                <w:sz w:val="21"/>
                <w:szCs w:val="21"/>
              </w:rPr>
              <w:t xml:space="preserve">风险备用</w:t>
            </w:r>
          </w:p>
        </w:tc>
        <w:tc>
          <w:tcPr>
            <w:tcW w:type="pct" w:w="14%"/>
            <w:shd w:fill="FFFFFF" w:val="clear"/>
            <w:tcMar>
              <w:top w:type="dxa" w:w="80"/>
              <w:left w:type="dxa" w:w="120"/>
              <w:bottom w:type="dxa" w:w="80"/>
              <w:right w:type="dxa" w:w="120"/>
            </w:tcMar>
          </w:tcPr>
          <w:p>
            <w:pPr>
              <w:spacing w:line="276"/>
            </w:pPr>
            <w:r>
              <w:rPr>
                <w:rFonts w:ascii="Times New Roman" w:eastAsia="SimSun"/>
                <w:color w:val="000000"/>
                <w:sz w:val="21"/>
                <w:szCs w:val="21"/>
              </w:rPr>
              <w:t xml:space="preserve">5%</w:t>
            </w:r>
          </w:p>
        </w:tc>
        <w:tc>
          <w:tcPr>
            <w:tcW w:type="pct" w:w="60%"/>
            <w:shd w:fill="FFFFFF" w:val="clear"/>
            <w:tcMar>
              <w:top w:type="dxa" w:w="80"/>
              <w:left w:type="dxa" w:w="120"/>
              <w:bottom w:type="dxa" w:w="80"/>
              <w:right w:type="dxa" w:w="120"/>
            </w:tcMar>
          </w:tcPr>
          <w:p>
            <w:pPr>
              <w:spacing w:line="276"/>
            </w:pPr>
            <w:r>
              <w:rPr>
                <w:rFonts w:ascii="Times New Roman" w:eastAsia="SimSun"/>
                <w:color w:val="000000"/>
                <w:sz w:val="21"/>
                <w:szCs w:val="21"/>
              </w:rPr>
              <w:t xml:space="preserve">应对不可预见支出</w:t>
            </w:r>
          </w:p>
        </w:tc>
      </w:tr>
    </w:tbl>
    <w:p>
      <w:pPr>
        <w:pStyle w:val="Heading2"/>
        <w:spacing w:after="120" w:before="240" w:line="312"/>
      </w:pPr>
      <w:bookmarkStart w:id="100032" w:name="_Toc100032"/>
      <w:r>
        <w:rPr>
          <w:rFonts w:ascii="Times New Roman" w:eastAsia="SimHei"/>
          <w:b/>
          <w:bCs/>
          <w:color w:val="1A2330"/>
          <w:sz w:val="28"/>
          <w:szCs w:val="28"/>
        </w:rPr>
        <w:t xml:space="preserve">9.3 收入测算口径</w:t>
      </w:r>
      <w:bookmarkEnd w:id="100032"/>
    </w:p>
    <w:p>
      <w:pPr>
        <w:spacing w:after="80" w:line="312"/>
        <w:ind w:firstLine="480"/>
        <w:jc w:val="both"/>
      </w:pPr>
      <w:r>
        <w:rPr>
          <w:rFonts w:ascii="Times New Roman" w:eastAsia="SimSun"/>
          <w:color w:val="000000"/>
          <w:sz w:val="24"/>
          <w:szCs w:val="24"/>
        </w:rPr>
        <w:t xml:space="preserve">团队坚持不虚构经营数据：第一阶段（校内试点）不以收入为目标，重点验证留存率与关键节点付费意愿；第二阶段起依据试点实测数据建立订阅收入测算模型，假设参数【待校内试点数据校准】。公司注册与股权安排将在试点验证完成后由团队协商确定【待团队协商确定】。</w:t>
      </w:r>
    </w:p>
    <w:p>
      <w:pPr>
        <w:pStyle w:val="Heading1"/>
        <w:spacing w:after="160" w:before="360" w:line="312"/>
        <w:jc w:val="center"/>
      </w:pPr>
      <w:bookmarkStart w:id="100033" w:name="_Toc100033"/>
      <w:r>
        <w:rPr>
          <w:rFonts w:ascii="Times New Roman" w:eastAsia="SimHei"/>
          <w:b/>
          <w:bCs/>
          <w:color w:val="1A2330"/>
          <w:sz w:val="32"/>
          <w:szCs w:val="32"/>
        </w:rPr>
        <w:t xml:space="preserve">十、风险分析与应对</w:t>
      </w:r>
      <w:bookmarkEnd w:id="100033"/>
    </w:p>
    <w:p>
      <w:pPr>
        <w:spacing w:after="80" w:line="312"/>
        <w:ind w:firstLine="480"/>
        <w:jc w:val="both"/>
      </w:pPr>
      <w:r>
        <w:rPr>
          <w:rFonts w:ascii="Times New Roman" w:eastAsia="SimSun"/>
          <w:color w:val="000000"/>
          <w:sz w:val="24"/>
          <w:szCs w:val="24"/>
        </w:rPr>
        <w:t xml:space="preserve">项目主要风险及应对措施如下表所示。</w:t>
      </w:r>
    </w:p>
    <w:p>
      <w:pPr>
        <w:keepNext/>
        <w:spacing w:after="80" w:before="160" w:line="312"/>
        <w:jc w:val="center"/>
      </w:pPr>
      <w:r>
        <w:rPr>
          <w:rFonts w:ascii="Times New Roman" w:eastAsia="SimHei"/>
          <w:b/>
          <w:bCs/>
          <w:color w:val="1A2330"/>
          <w:sz w:val="21"/>
          <w:szCs w:val="21"/>
        </w:rPr>
        <w:t xml:space="preserve">表 6 风险分析与应对措施</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Pr>
      <w:tblGrid>
        <w:gridCol w:w="100"/>
        <w:gridCol w:w="100"/>
        <w:gridCol w:w="100"/>
      </w:tblGrid>
      <w:tr>
        <w:trPr>
          <w:cantSplit/>
          <w:tblHeader/>
        </w:trPr>
        <w:tc>
          <w:tcPr>
            <w:tcW w:type="pct" w:w="14%"/>
            <w:shd w:fill="D4875A" w:val="clear"/>
            <w:tcMar>
              <w:top w:type="dxa" w:w="80"/>
              <w:left w:type="dxa" w:w="120"/>
              <w:bottom w:type="dxa" w:w="80"/>
              <w:right w:type="dxa" w:w="120"/>
            </w:tcMar>
          </w:tcPr>
          <w:p>
            <w:pPr>
              <w:spacing w:line="276"/>
            </w:pPr>
            <w:r>
              <w:rPr>
                <w:rFonts w:ascii="Times New Roman" w:eastAsia="SimHei"/>
                <w:b/>
                <w:bCs/>
                <w:color w:val="FFFFFF"/>
                <w:sz w:val="21"/>
                <w:szCs w:val="21"/>
              </w:rPr>
              <w:t xml:space="preserve">风险类别</w:t>
            </w:r>
          </w:p>
        </w:tc>
        <w:tc>
          <w:tcPr>
            <w:tcW w:type="pct" w:w="32%"/>
            <w:shd w:fill="D4875A" w:val="clear"/>
            <w:tcMar>
              <w:top w:type="dxa" w:w="80"/>
              <w:left w:type="dxa" w:w="120"/>
              <w:bottom w:type="dxa" w:w="80"/>
              <w:right w:type="dxa" w:w="120"/>
            </w:tcMar>
          </w:tcPr>
          <w:p>
            <w:pPr>
              <w:spacing w:line="276"/>
            </w:pPr>
            <w:r>
              <w:rPr>
                <w:rFonts w:ascii="Times New Roman" w:eastAsia="SimHei"/>
                <w:b/>
                <w:bCs/>
                <w:color w:val="FFFFFF"/>
                <w:sz w:val="21"/>
                <w:szCs w:val="21"/>
              </w:rPr>
              <w:t xml:space="preserve">具体风险</w:t>
            </w:r>
          </w:p>
        </w:tc>
        <w:tc>
          <w:tcPr>
            <w:tcW w:type="pct" w:w="54%"/>
            <w:shd w:fill="D4875A" w:val="clear"/>
            <w:tcMar>
              <w:top w:type="dxa" w:w="80"/>
              <w:left w:type="dxa" w:w="120"/>
              <w:bottom w:type="dxa" w:w="80"/>
              <w:right w:type="dxa" w:w="120"/>
            </w:tcMar>
          </w:tcPr>
          <w:p>
            <w:pPr>
              <w:spacing w:line="276"/>
            </w:pPr>
            <w:r>
              <w:rPr>
                <w:rFonts w:ascii="Times New Roman" w:eastAsia="SimHei"/>
                <w:b/>
                <w:bCs/>
                <w:color w:val="FFFFFF"/>
                <w:sz w:val="21"/>
                <w:szCs w:val="21"/>
              </w:rPr>
              <w:t xml:space="preserve">应对措施</w:t>
            </w:r>
          </w:p>
        </w:tc>
      </w:tr>
      <w:tr>
        <w:trPr>
          <w:cantSplit/>
        </w:trPr>
        <w:tc>
          <w:tcPr>
            <w:tcW w:type="pct" w:w="14%"/>
            <w:shd w:fill="FFFFFF" w:val="clear"/>
            <w:tcMar>
              <w:top w:type="dxa" w:w="80"/>
              <w:left w:type="dxa" w:w="120"/>
              <w:bottom w:type="dxa" w:w="80"/>
              <w:right w:type="dxa" w:w="120"/>
            </w:tcMar>
          </w:tcPr>
          <w:p>
            <w:pPr>
              <w:spacing w:line="276"/>
            </w:pPr>
            <w:r>
              <w:rPr>
                <w:rFonts w:ascii="Times New Roman" w:eastAsia="SimSun"/>
                <w:color w:val="000000"/>
                <w:sz w:val="21"/>
                <w:szCs w:val="21"/>
              </w:rPr>
              <w:t xml:space="preserve">技术风险</w:t>
            </w:r>
          </w:p>
        </w:tc>
        <w:tc>
          <w:tcPr>
            <w:tcW w:type="pct" w:w="32%"/>
            <w:shd w:fill="FFFFFF" w:val="clear"/>
            <w:tcMar>
              <w:top w:type="dxa" w:w="80"/>
              <w:left w:type="dxa" w:w="120"/>
              <w:bottom w:type="dxa" w:w="80"/>
              <w:right w:type="dxa" w:w="120"/>
            </w:tcMar>
          </w:tcPr>
          <w:p>
            <w:pPr>
              <w:spacing w:line="276"/>
            </w:pPr>
            <w:r>
              <w:rPr>
                <w:rFonts w:ascii="Times New Roman" w:eastAsia="SimSun"/>
                <w:color w:val="000000"/>
                <w:sz w:val="21"/>
                <w:szCs w:val="21"/>
              </w:rPr>
              <w:t xml:space="preserve">大模型能力与价格波动</w:t>
            </w:r>
          </w:p>
        </w:tc>
        <w:tc>
          <w:tcPr>
            <w:tcW w:type="pct" w:w="54%"/>
            <w:shd w:fill="FFFFFF" w:val="clear"/>
            <w:tcMar>
              <w:top w:type="dxa" w:w="80"/>
              <w:left w:type="dxa" w:w="120"/>
              <w:bottom w:type="dxa" w:w="80"/>
              <w:right w:type="dxa" w:w="120"/>
            </w:tcMar>
          </w:tcPr>
          <w:p>
            <w:pPr>
              <w:spacing w:line="276"/>
            </w:pPr>
            <w:r>
              <w:rPr>
                <w:rFonts w:ascii="Times New Roman" w:eastAsia="SimSun"/>
                <w:color w:val="000000"/>
                <w:sz w:val="21"/>
                <w:szCs w:val="21"/>
              </w:rPr>
              <w:t xml:space="preserve">多提供商路由、降级链路、语义缓存与成本监控</w:t>
            </w:r>
          </w:p>
        </w:tc>
      </w:tr>
      <w:tr>
        <w:trPr>
          <w:cantSplit/>
        </w:trPr>
        <w:tc>
          <w:tcPr>
            <w:tcW w:type="pct" w:w="14%"/>
            <w:shd w:fill="F8F0EB" w:val="clear"/>
            <w:tcMar>
              <w:top w:type="dxa" w:w="80"/>
              <w:left w:type="dxa" w:w="120"/>
              <w:bottom w:type="dxa" w:w="80"/>
              <w:right w:type="dxa" w:w="120"/>
            </w:tcMar>
          </w:tcPr>
          <w:p>
            <w:pPr>
              <w:spacing w:line="276"/>
            </w:pPr>
            <w:r>
              <w:rPr>
                <w:rFonts w:ascii="Times New Roman" w:eastAsia="SimSun"/>
                <w:color w:val="000000"/>
                <w:sz w:val="21"/>
                <w:szCs w:val="21"/>
              </w:rPr>
              <w:t xml:space="preserve">市场风险</w:t>
            </w:r>
          </w:p>
        </w:tc>
        <w:tc>
          <w:tcPr>
            <w:tcW w:type="pct" w:w="32%"/>
            <w:shd w:fill="F8F0EB" w:val="clear"/>
            <w:tcMar>
              <w:top w:type="dxa" w:w="80"/>
              <w:left w:type="dxa" w:w="120"/>
              <w:bottom w:type="dxa" w:w="80"/>
              <w:right w:type="dxa" w:w="120"/>
            </w:tcMar>
          </w:tcPr>
          <w:p>
            <w:pPr>
              <w:spacing w:line="276"/>
            </w:pPr>
            <w:r>
              <w:rPr>
                <w:rFonts w:ascii="Times New Roman" w:eastAsia="SimSun"/>
                <w:color w:val="000000"/>
                <w:sz w:val="21"/>
                <w:szCs w:val="21"/>
              </w:rPr>
              <w:t xml:space="preserve">用户习惯养成较慢</w:t>
            </w:r>
          </w:p>
        </w:tc>
        <w:tc>
          <w:tcPr>
            <w:tcW w:type="pct" w:w="54%"/>
            <w:shd w:fill="F8F0EB" w:val="clear"/>
            <w:tcMar>
              <w:top w:type="dxa" w:w="80"/>
              <w:left w:type="dxa" w:w="120"/>
              <w:bottom w:type="dxa" w:w="80"/>
              <w:right w:type="dxa" w:w="120"/>
            </w:tcMar>
          </w:tcPr>
          <w:p>
            <w:pPr>
              <w:spacing w:line="276"/>
            </w:pPr>
            <w:r>
              <w:rPr>
                <w:rFonts w:ascii="Times New Roman" w:eastAsia="SimSun"/>
                <w:color w:val="000000"/>
                <w:sz w:val="21"/>
                <w:szCs w:val="21"/>
              </w:rPr>
              <w:t xml:space="preserve">从考试救急高频刚需切入，社群责任机制提升留存</w:t>
            </w:r>
          </w:p>
        </w:tc>
      </w:tr>
      <w:tr>
        <w:trPr>
          <w:cantSplit/>
        </w:trPr>
        <w:tc>
          <w:tcPr>
            <w:tcW w:type="pct" w:w="14%"/>
            <w:shd w:fill="FFFFFF" w:val="clear"/>
            <w:tcMar>
              <w:top w:type="dxa" w:w="80"/>
              <w:left w:type="dxa" w:w="120"/>
              <w:bottom w:type="dxa" w:w="80"/>
              <w:right w:type="dxa" w:w="120"/>
            </w:tcMar>
          </w:tcPr>
          <w:p>
            <w:pPr>
              <w:spacing w:line="276"/>
            </w:pPr>
            <w:r>
              <w:rPr>
                <w:rFonts w:ascii="Times New Roman" w:eastAsia="SimSun"/>
                <w:color w:val="000000"/>
                <w:sz w:val="21"/>
                <w:szCs w:val="21"/>
              </w:rPr>
              <w:t xml:space="preserve">竞争风险</w:t>
            </w:r>
          </w:p>
        </w:tc>
        <w:tc>
          <w:tcPr>
            <w:tcW w:type="pct" w:w="32%"/>
            <w:shd w:fill="FFFFFF" w:val="clear"/>
            <w:tcMar>
              <w:top w:type="dxa" w:w="80"/>
              <w:left w:type="dxa" w:w="120"/>
              <w:bottom w:type="dxa" w:w="80"/>
              <w:right w:type="dxa" w:w="120"/>
            </w:tcMar>
          </w:tcPr>
          <w:p>
            <w:pPr>
              <w:spacing w:line="276"/>
            </w:pPr>
            <w:r>
              <w:rPr>
                <w:rFonts w:ascii="Times New Roman" w:eastAsia="SimSun"/>
                <w:color w:val="000000"/>
                <w:sz w:val="21"/>
                <w:szCs w:val="21"/>
              </w:rPr>
              <w:t xml:space="preserve">通用大模型与教育大厂入场</w:t>
            </w:r>
          </w:p>
        </w:tc>
        <w:tc>
          <w:tcPr>
            <w:tcW w:type="pct" w:w="54%"/>
            <w:shd w:fill="FFFFFF" w:val="clear"/>
            <w:tcMar>
              <w:top w:type="dxa" w:w="80"/>
              <w:left w:type="dxa" w:w="120"/>
              <w:bottom w:type="dxa" w:w="80"/>
              <w:right w:type="dxa" w:w="120"/>
            </w:tcMar>
          </w:tcPr>
          <w:p>
            <w:pPr>
              <w:spacing w:line="276"/>
            </w:pPr>
            <w:r>
              <w:rPr>
                <w:rFonts w:ascii="Times New Roman" w:eastAsia="SimSun"/>
                <w:color w:val="000000"/>
                <w:sz w:val="21"/>
                <w:szCs w:val="21"/>
              </w:rPr>
              <w:t xml:space="preserve">深耕目标闭环与个人方法资产，保持校园场景先发</w:t>
            </w:r>
          </w:p>
        </w:tc>
      </w:tr>
      <w:tr>
        <w:trPr>
          <w:cantSplit/>
        </w:trPr>
        <w:tc>
          <w:tcPr>
            <w:tcW w:type="pct" w:w="14%"/>
            <w:shd w:fill="F8F0EB" w:val="clear"/>
            <w:tcMar>
              <w:top w:type="dxa" w:w="80"/>
              <w:left w:type="dxa" w:w="120"/>
              <w:bottom w:type="dxa" w:w="80"/>
              <w:right w:type="dxa" w:w="120"/>
            </w:tcMar>
          </w:tcPr>
          <w:p>
            <w:pPr>
              <w:spacing w:line="276"/>
            </w:pPr>
            <w:r>
              <w:rPr>
                <w:rFonts w:ascii="Times New Roman" w:eastAsia="SimSun"/>
                <w:color w:val="000000"/>
                <w:sz w:val="21"/>
                <w:szCs w:val="21"/>
              </w:rPr>
              <w:t xml:space="preserve">合规风险</w:t>
            </w:r>
          </w:p>
        </w:tc>
        <w:tc>
          <w:tcPr>
            <w:tcW w:type="pct" w:w="32%"/>
            <w:shd w:fill="F8F0EB" w:val="clear"/>
            <w:tcMar>
              <w:top w:type="dxa" w:w="80"/>
              <w:left w:type="dxa" w:w="120"/>
              <w:bottom w:type="dxa" w:w="80"/>
              <w:right w:type="dxa" w:w="120"/>
            </w:tcMar>
          </w:tcPr>
          <w:p>
            <w:pPr>
              <w:spacing w:line="276"/>
            </w:pPr>
            <w:r>
              <w:rPr>
                <w:rFonts w:ascii="Times New Roman" w:eastAsia="SimSun"/>
                <w:color w:val="000000"/>
                <w:sz w:val="21"/>
                <w:szCs w:val="21"/>
              </w:rPr>
              <w:t xml:space="preserve">个人信息保护与算法透明要求</w:t>
            </w:r>
          </w:p>
        </w:tc>
        <w:tc>
          <w:tcPr>
            <w:tcW w:type="pct" w:w="54%"/>
            <w:shd w:fill="F8F0EB" w:val="clear"/>
            <w:tcMar>
              <w:top w:type="dxa" w:w="80"/>
              <w:left w:type="dxa" w:w="120"/>
              <w:bottom w:type="dxa" w:w="80"/>
              <w:right w:type="dxa" w:w="120"/>
            </w:tcMar>
          </w:tcPr>
          <w:p>
            <w:pPr>
              <w:spacing w:line="276"/>
            </w:pPr>
            <w:r>
              <w:rPr>
                <w:rFonts w:ascii="Times New Roman" w:eastAsia="SimSun"/>
                <w:color w:val="000000"/>
                <w:sz w:val="21"/>
                <w:szCs w:val="21"/>
              </w:rPr>
              <w:t xml:space="preserve">隐私最小化设计、决策可追溯、用户纠偏与数据导出删除流程</w:t>
            </w:r>
          </w:p>
        </w:tc>
      </w:tr>
      <w:tr>
        <w:trPr>
          <w:cantSplit/>
        </w:trPr>
        <w:tc>
          <w:tcPr>
            <w:tcW w:type="pct" w:w="14%"/>
            <w:shd w:fill="FFFFFF" w:val="clear"/>
            <w:tcMar>
              <w:top w:type="dxa" w:w="80"/>
              <w:left w:type="dxa" w:w="120"/>
              <w:bottom w:type="dxa" w:w="80"/>
              <w:right w:type="dxa" w:w="120"/>
            </w:tcMar>
          </w:tcPr>
          <w:p>
            <w:pPr>
              <w:spacing w:line="276"/>
            </w:pPr>
            <w:r>
              <w:rPr>
                <w:rFonts w:ascii="Times New Roman" w:eastAsia="SimSun"/>
                <w:color w:val="000000"/>
                <w:sz w:val="21"/>
                <w:szCs w:val="21"/>
              </w:rPr>
              <w:t xml:space="preserve">运营风险</w:t>
            </w:r>
          </w:p>
        </w:tc>
        <w:tc>
          <w:tcPr>
            <w:tcW w:type="pct" w:w="32%"/>
            <w:shd w:fill="FFFFFF" w:val="clear"/>
            <w:tcMar>
              <w:top w:type="dxa" w:w="80"/>
              <w:left w:type="dxa" w:w="120"/>
              <w:bottom w:type="dxa" w:w="80"/>
              <w:right w:type="dxa" w:w="120"/>
            </w:tcMar>
          </w:tcPr>
          <w:p>
            <w:pPr>
              <w:spacing w:line="276"/>
            </w:pPr>
            <w:r>
              <w:rPr>
                <w:rFonts w:ascii="Times New Roman" w:eastAsia="SimSun"/>
                <w:color w:val="000000"/>
                <w:sz w:val="21"/>
                <w:szCs w:val="21"/>
              </w:rPr>
              <w:t xml:space="preserve">算力成本失控</w:t>
            </w:r>
          </w:p>
        </w:tc>
        <w:tc>
          <w:tcPr>
            <w:tcW w:type="pct" w:w="54%"/>
            <w:shd w:fill="FFFFFF" w:val="clear"/>
            <w:tcMar>
              <w:top w:type="dxa" w:w="80"/>
              <w:left w:type="dxa" w:w="120"/>
              <w:bottom w:type="dxa" w:w="80"/>
              <w:right w:type="dxa" w:w="120"/>
            </w:tcMar>
          </w:tcPr>
          <w:p>
            <w:pPr>
              <w:spacing w:line="276"/>
            </w:pPr>
            <w:r>
              <w:rPr>
                <w:rFonts w:ascii="Times New Roman" w:eastAsia="SimSun"/>
                <w:color w:val="000000"/>
                <w:sz w:val="21"/>
                <w:szCs w:val="21"/>
              </w:rPr>
              <w:t xml:space="preserve">多模型路由优化、缓存策略、按节点付费的商业设计</w:t>
            </w:r>
          </w:p>
        </w:tc>
      </w:tr>
    </w:tbl>
    <w:p>
      <w:pPr>
        <w:pStyle w:val="Heading1"/>
        <w:spacing w:after="160" w:before="360" w:line="312"/>
        <w:jc w:val="center"/>
      </w:pPr>
      <w:bookmarkStart w:id="100034" w:name="_Toc100034"/>
      <w:r>
        <w:rPr>
          <w:rFonts w:ascii="Times New Roman" w:eastAsia="SimHei"/>
          <w:b/>
          <w:bCs/>
          <w:color w:val="1A2330"/>
          <w:sz w:val="32"/>
          <w:szCs w:val="32"/>
        </w:rPr>
        <w:t xml:space="preserve">十一、社会价值与教育意义</w:t>
      </w:r>
      <w:bookmarkEnd w:id="100034"/>
    </w:p>
    <w:p>
      <w:pPr>
        <w:spacing w:after="80" w:line="312"/>
        <w:ind w:firstLine="480"/>
        <w:jc w:val="both"/>
      </w:pPr>
      <w:r>
        <w:rPr>
          <w:rFonts w:ascii="Times New Roman" w:eastAsia="SimHei"/>
          <w:b/>
          <w:bCs/>
          <w:color w:val="000000"/>
          <w:sz w:val="24"/>
          <w:szCs w:val="24"/>
        </w:rPr>
        <w:t xml:space="preserve">促进教育公平。</w:t>
      </w:r>
      <w:r>
        <w:rPr>
          <w:rFonts w:ascii="Times New Roman" w:eastAsia="SimSun"/>
          <w:b w:val="false"/>
          <w:bCs w:val="false"/>
          <w:color w:val="000000"/>
          <w:sz w:val="24"/>
          <w:szCs w:val="24"/>
        </w:rPr>
        <w:t xml:space="preserve">能不能做成事，不应取决于一个人会不会使用人工智能、会不会做计划、有没有钱请私教。星火把路径规划与执行陪伴的认知负担从个人转移给系统，让普通学习者第一次就能走进自己的目标路径。</w:t>
      </w:r>
    </w:p>
    <w:p>
      <w:pPr>
        <w:spacing w:after="80" w:line="312"/>
        <w:ind w:firstLine="480"/>
        <w:jc w:val="both"/>
      </w:pPr>
      <w:r>
        <w:rPr>
          <w:rFonts w:ascii="Times New Roman" w:eastAsia="SimHei"/>
          <w:b/>
          <w:bCs/>
          <w:color w:val="000000"/>
          <w:sz w:val="24"/>
          <w:szCs w:val="24"/>
        </w:rPr>
        <w:t xml:space="preserve">培养自主学习能力。</w:t>
      </w:r>
      <w:r>
        <w:rPr>
          <w:rFonts w:ascii="Times New Roman" w:eastAsia="SimSun"/>
          <w:b w:val="false"/>
          <w:bCs w:val="false"/>
          <w:color w:val="000000"/>
          <w:sz w:val="24"/>
          <w:szCs w:val="24"/>
        </w:rPr>
        <w:t xml:space="preserve">个人方法资产让学习者看见并纠正自己的学习模式，在达成一个个具体目标的过程中积累元认知能力，这是比单次成绩更长期的成长。</w:t>
      </w:r>
    </w:p>
    <w:p>
      <w:pPr>
        <w:spacing w:after="80" w:line="312"/>
        <w:ind w:firstLine="480"/>
        <w:jc w:val="both"/>
      </w:pPr>
      <w:r>
        <w:rPr>
          <w:rFonts w:ascii="Times New Roman" w:eastAsia="SimHei"/>
          <w:b/>
          <w:bCs/>
          <w:color w:val="000000"/>
          <w:sz w:val="24"/>
          <w:szCs w:val="24"/>
        </w:rPr>
        <w:t xml:space="preserve">树立可信人工智能应用范式。</w:t>
      </w:r>
      <w:r>
        <w:rPr>
          <w:rFonts w:ascii="Times New Roman" w:eastAsia="SimSun"/>
          <w:b w:val="false"/>
          <w:bCs w:val="false"/>
          <w:color w:val="000000"/>
          <w:sz w:val="24"/>
          <w:szCs w:val="24"/>
        </w:rPr>
        <w:t xml:space="preserve">以决策可追溯、可纠正、可回滚的方式在教育场景使用人工智能，为行业提供了治理层面的参考实践。</w:t>
      </w:r>
    </w:p>
    <w:p>
      <w:pPr>
        <w:pStyle w:val="Heading1"/>
        <w:spacing w:after="160" w:before="360" w:line="312"/>
        <w:jc w:val="center"/>
      </w:pPr>
      <w:bookmarkStart w:id="100035" w:name="_Toc100035"/>
      <w:r>
        <w:rPr>
          <w:rFonts w:ascii="Times New Roman" w:eastAsia="SimHei"/>
          <w:b/>
          <w:bCs/>
          <w:color w:val="1A2330"/>
          <w:sz w:val="32"/>
          <w:szCs w:val="32"/>
        </w:rPr>
        <w:t xml:space="preserve">附录：支撑材料清单</w:t>
      </w:r>
      <w:bookmarkEnd w:id="100035"/>
    </w:p>
    <w:p>
      <w:pPr>
        <w:spacing w:after="40" w:line="312"/>
        <w:ind w:firstLine="480"/>
        <w:jc w:val="both"/>
      </w:pPr>
      <w:r>
        <w:rPr>
          <w:rFonts w:ascii="Times New Roman" w:eastAsia="SimSun"/>
          <w:color w:val="000000"/>
          <w:sz w:val="24"/>
          <w:szCs w:val="24"/>
        </w:rPr>
        <w:t xml:space="preserve">项目可向评审提供以下支撑材料：</w:t>
      </w:r>
    </w:p>
    <w:p>
      <w:pPr>
        <w:keepNext/>
        <w:spacing w:after="80" w:before="160" w:line="312"/>
        <w:jc w:val="center"/>
      </w:pPr>
      <w:r>
        <w:rPr>
          <w:rFonts w:ascii="Times New Roman" w:eastAsia="SimHei"/>
          <w:b/>
          <w:bCs/>
          <w:color w:val="1A2330"/>
          <w:sz w:val="21"/>
          <w:szCs w:val="21"/>
        </w:rPr>
        <w:t xml:space="preserve">表 7 支撑材料清单</w:t>
      </w:r>
    </w:p>
    <w:tbl>
      <w:tblPr>
        <w:tblW w:type="pct" w:w="100%"/>
        <w:tblBorders>
          <w:top w:val="single" w:color="D4875A" w:sz="4"/>
          <w:left w:val="none" w:color="FFFFFF" w:sz="0"/>
          <w:bottom w:val="single" w:color="D4875A" w:sz="4"/>
          <w:right w:val="none" w:color="FFFFFF" w:sz="0"/>
          <w:insideH w:val="single" w:color="DDD0C8" w:sz="1"/>
          <w:insideV w:val="none" w:color="FFFFFF" w:sz="0"/>
        </w:tblBorders>
      </w:tblPr>
      <w:tblGrid>
        <w:gridCol w:w="100"/>
        <w:gridCol w:w="100"/>
      </w:tblGrid>
      <w:tr>
        <w:trPr>
          <w:cantSplit/>
          <w:tblHeader/>
        </w:trPr>
        <w:tc>
          <w:tcPr>
            <w:tcW w:type="pct" w:w="22%"/>
            <w:shd w:fill="D4875A" w:val="clear"/>
            <w:tcMar>
              <w:top w:type="dxa" w:w="80"/>
              <w:left w:type="dxa" w:w="120"/>
              <w:bottom w:type="dxa" w:w="80"/>
              <w:right w:type="dxa" w:w="120"/>
            </w:tcMar>
          </w:tcPr>
          <w:p>
            <w:pPr>
              <w:spacing w:line="276"/>
            </w:pPr>
            <w:r>
              <w:rPr>
                <w:rFonts w:ascii="Times New Roman" w:eastAsia="SimHei"/>
                <w:b/>
                <w:bCs/>
                <w:color w:val="FFFFFF"/>
                <w:sz w:val="21"/>
                <w:szCs w:val="21"/>
              </w:rPr>
              <w:t xml:space="preserve">材料</w:t>
            </w:r>
          </w:p>
        </w:tc>
        <w:tc>
          <w:tcPr>
            <w:tcW w:type="pct" w:w="78%"/>
            <w:shd w:fill="D4875A" w:val="clear"/>
            <w:tcMar>
              <w:top w:type="dxa" w:w="80"/>
              <w:left w:type="dxa" w:w="120"/>
              <w:bottom w:type="dxa" w:w="80"/>
              <w:right w:type="dxa" w:w="120"/>
            </w:tcMar>
          </w:tcPr>
          <w:p>
            <w:pPr>
              <w:spacing w:line="276"/>
            </w:pPr>
            <w:r>
              <w:rPr>
                <w:rFonts w:ascii="Times New Roman" w:eastAsia="SimHei"/>
                <w:b/>
                <w:bCs/>
                <w:color w:val="FFFFFF"/>
                <w:sz w:val="21"/>
                <w:szCs w:val="21"/>
              </w:rPr>
              <w:t xml:space="preserve">说明</w:t>
            </w:r>
          </w:p>
        </w:tc>
      </w:tr>
      <w:tr>
        <w:trPr>
          <w:cantSplit/>
        </w:trPr>
        <w:tc>
          <w:tcPr>
            <w:tcW w:type="pct" w:w="22%"/>
            <w:shd w:fill="FFFFFF" w:val="clear"/>
            <w:tcMar>
              <w:top w:type="dxa" w:w="80"/>
              <w:left w:type="dxa" w:w="120"/>
              <w:bottom w:type="dxa" w:w="80"/>
              <w:right w:type="dxa" w:w="120"/>
            </w:tcMar>
          </w:tcPr>
          <w:p>
            <w:pPr>
              <w:spacing w:line="276"/>
            </w:pPr>
            <w:r>
              <w:rPr>
                <w:rFonts w:ascii="Times New Roman" w:eastAsia="SimSun"/>
                <w:color w:val="000000"/>
                <w:sz w:val="21"/>
                <w:szCs w:val="21"/>
              </w:rPr>
              <w:t xml:space="preserve">可运行系统</w:t>
            </w:r>
          </w:p>
        </w:tc>
        <w:tc>
          <w:tcPr>
            <w:tcW w:type="pct" w:w="78%"/>
            <w:shd w:fill="FFFFFF" w:val="clear"/>
            <w:tcMar>
              <w:top w:type="dxa" w:w="80"/>
              <w:left w:type="dxa" w:w="120"/>
              <w:bottom w:type="dxa" w:w="80"/>
              <w:right w:type="dxa" w:w="120"/>
            </w:tcMar>
          </w:tcPr>
          <w:p>
            <w:pPr>
              <w:spacing w:line="276"/>
            </w:pPr>
            <w:r>
              <w:rPr>
                <w:rFonts w:ascii="Times New Roman" w:eastAsia="SimSun"/>
                <w:color w:val="000000"/>
                <w:sz w:val="21"/>
                <w:szCs w:val="21"/>
              </w:rPr>
              <w:t xml:space="preserve">移动端应用（含演示模式构建脚本）</w:t>
            </w:r>
          </w:p>
        </w:tc>
      </w:tr>
      <w:tr>
        <w:trPr>
          <w:cantSplit/>
        </w:trPr>
        <w:tc>
          <w:tcPr>
            <w:tcW w:type="pct" w:w="22%"/>
            <w:shd w:fill="F8F0EB" w:val="clear"/>
            <w:tcMar>
              <w:top w:type="dxa" w:w="80"/>
              <w:left w:type="dxa" w:w="120"/>
              <w:bottom w:type="dxa" w:w="80"/>
              <w:right w:type="dxa" w:w="120"/>
            </w:tcMar>
          </w:tcPr>
          <w:p>
            <w:pPr>
              <w:spacing w:line="276"/>
            </w:pPr>
            <w:r>
              <w:rPr>
                <w:rFonts w:ascii="Times New Roman" w:eastAsia="SimSun"/>
                <w:color w:val="000000"/>
                <w:sz w:val="21"/>
                <w:szCs w:val="21"/>
              </w:rPr>
              <w:t xml:space="preserve">验收指标</w:t>
            </w:r>
          </w:p>
        </w:tc>
        <w:tc>
          <w:tcPr>
            <w:tcW w:type="pct" w:w="78%"/>
            <w:shd w:fill="F8F0EB" w:val="clear"/>
            <w:tcMar>
              <w:top w:type="dxa" w:w="80"/>
              <w:left w:type="dxa" w:w="120"/>
              <w:bottom w:type="dxa" w:w="80"/>
              <w:right w:type="dxa" w:w="120"/>
            </w:tcMar>
          </w:tcPr>
          <w:p>
            <w:pPr>
              <w:spacing w:line="276"/>
            </w:pPr>
            <w:r>
              <w:rPr>
                <w:rFonts w:ascii="Times New Roman" w:eastAsia="SimSun"/>
                <w:color w:val="000000"/>
                <w:sz w:val="21"/>
                <w:szCs w:val="21"/>
              </w:rPr>
              <w:t xml:space="preserve">阶段收束验证与出口门报告（含表 1 各项指标依据）</w:t>
            </w:r>
          </w:p>
        </w:tc>
      </w:tr>
      <w:tr>
        <w:trPr>
          <w:cantSplit/>
        </w:trPr>
        <w:tc>
          <w:tcPr>
            <w:tcW w:type="pct" w:w="22%"/>
            <w:shd w:fill="FFFFFF" w:val="clear"/>
            <w:tcMar>
              <w:top w:type="dxa" w:w="80"/>
              <w:left w:type="dxa" w:w="120"/>
              <w:bottom w:type="dxa" w:w="80"/>
              <w:right w:type="dxa" w:w="120"/>
            </w:tcMar>
          </w:tcPr>
          <w:p>
            <w:pPr>
              <w:spacing w:line="276"/>
            </w:pPr>
            <w:r>
              <w:rPr>
                <w:rFonts w:ascii="Times New Roman" w:eastAsia="SimSun"/>
                <w:color w:val="000000"/>
                <w:sz w:val="21"/>
                <w:szCs w:val="21"/>
              </w:rPr>
              <w:t xml:space="preserve">治理文档</w:t>
            </w:r>
          </w:p>
        </w:tc>
        <w:tc>
          <w:tcPr>
            <w:tcW w:type="pct" w:w="78%"/>
            <w:shd w:fill="FFFFFF" w:val="clear"/>
            <w:tcMar>
              <w:top w:type="dxa" w:w="80"/>
              <w:left w:type="dxa" w:w="120"/>
              <w:bottom w:type="dxa" w:w="80"/>
              <w:right w:type="dxa" w:w="120"/>
            </w:tcMar>
          </w:tcPr>
          <w:p>
            <w:pPr>
              <w:spacing w:line="276"/>
            </w:pPr>
            <w:r>
              <w:rPr>
                <w:rFonts w:ascii="Times New Roman" w:eastAsia="SimSun"/>
                <w:color w:val="000000"/>
                <w:sz w:val="21"/>
                <w:szCs w:val="21"/>
              </w:rPr>
              <w:t xml:space="preserve">规则守卫清单与三态灰度开关演练手册</w:t>
            </w:r>
          </w:p>
        </w:tc>
      </w:tr>
      <w:tr>
        <w:trPr>
          <w:cantSplit/>
        </w:trPr>
        <w:tc>
          <w:tcPr>
            <w:tcW w:type="pct" w:w="22%"/>
            <w:shd w:fill="F8F0EB" w:val="clear"/>
            <w:tcMar>
              <w:top w:type="dxa" w:w="80"/>
              <w:left w:type="dxa" w:w="120"/>
              <w:bottom w:type="dxa" w:w="80"/>
              <w:right w:type="dxa" w:w="120"/>
            </w:tcMar>
          </w:tcPr>
          <w:p>
            <w:pPr>
              <w:spacing w:line="276"/>
            </w:pPr>
            <w:r>
              <w:rPr>
                <w:rFonts w:ascii="Times New Roman" w:eastAsia="SimSun"/>
                <w:color w:val="000000"/>
                <w:sz w:val="21"/>
                <w:szCs w:val="21"/>
              </w:rPr>
              <w:t xml:space="preserve">研究产出</w:t>
            </w:r>
          </w:p>
        </w:tc>
        <w:tc>
          <w:tcPr>
            <w:tcW w:type="pct" w:w="78%"/>
            <w:shd w:fill="F8F0EB" w:val="clear"/>
            <w:tcMar>
              <w:top w:type="dxa" w:w="80"/>
              <w:left w:type="dxa" w:w="120"/>
              <w:bottom w:type="dxa" w:w="80"/>
              <w:right w:type="dxa" w:w="120"/>
            </w:tcMar>
          </w:tcPr>
          <w:p>
            <w:pPr>
              <w:spacing w:line="276"/>
            </w:pPr>
            <w:r>
              <w:rPr>
                <w:rFonts w:ascii="Times New Roman" w:eastAsia="SimSun"/>
                <w:color w:val="000000"/>
                <w:sz w:val="21"/>
                <w:szCs w:val="21"/>
              </w:rPr>
              <w:t xml:space="preserve">贝叶斯证据融合研究论文草稿及配套数学推导</w:t>
            </w:r>
          </w:p>
        </w:tc>
      </w:tr>
      <w:tr>
        <w:trPr>
          <w:cantSplit/>
        </w:trPr>
        <w:tc>
          <w:tcPr>
            <w:tcW w:type="pct" w:w="22%"/>
            <w:shd w:fill="FFFFFF" w:val="clear"/>
            <w:tcMar>
              <w:top w:type="dxa" w:w="80"/>
              <w:left w:type="dxa" w:w="120"/>
              <w:bottom w:type="dxa" w:w="80"/>
              <w:right w:type="dxa" w:w="120"/>
            </w:tcMar>
          </w:tcPr>
          <w:p>
            <w:pPr>
              <w:spacing w:line="276"/>
            </w:pPr>
            <w:r>
              <w:rPr>
                <w:rFonts w:ascii="Times New Roman" w:eastAsia="SimSun"/>
                <w:color w:val="000000"/>
                <w:sz w:val="21"/>
                <w:szCs w:val="21"/>
              </w:rPr>
              <w:t xml:space="preserve">路演材料</w:t>
            </w:r>
          </w:p>
        </w:tc>
        <w:tc>
          <w:tcPr>
            <w:tcW w:type="pct" w:w="78%"/>
            <w:shd w:fill="FFFFFF" w:val="clear"/>
            <w:tcMar>
              <w:top w:type="dxa" w:w="80"/>
              <w:left w:type="dxa" w:w="120"/>
              <w:bottom w:type="dxa" w:w="80"/>
              <w:right w:type="dxa" w:w="120"/>
            </w:tcMar>
          </w:tcPr>
          <w:p>
            <w:pPr>
              <w:spacing w:line="276"/>
            </w:pPr>
            <w:r>
              <w:rPr>
                <w:rFonts w:ascii="Times New Roman" w:eastAsia="SimSun"/>
                <w:color w:val="000000"/>
                <w:sz w:val="21"/>
                <w:szCs w:val="21"/>
              </w:rPr>
              <w:t xml:space="preserve">第二版路演套件（2026 年 5 月，含答辩问答口径）</w:t>
            </w:r>
          </w:p>
        </w:tc>
      </w:tr>
      <w:tr>
        <w:trPr>
          <w:cantSplit/>
        </w:trPr>
        <w:tc>
          <w:tcPr>
            <w:tcW w:type="pct" w:w="22%"/>
            <w:shd w:fill="F8F0EB" w:val="clear"/>
            <w:tcMar>
              <w:top w:type="dxa" w:w="80"/>
              <w:left w:type="dxa" w:w="120"/>
              <w:bottom w:type="dxa" w:w="80"/>
              <w:right w:type="dxa" w:w="120"/>
            </w:tcMar>
          </w:tcPr>
          <w:p>
            <w:pPr>
              <w:spacing w:line="276"/>
            </w:pPr>
            <w:r>
              <w:rPr>
                <w:rFonts w:ascii="Times New Roman" w:eastAsia="SimSun"/>
                <w:color w:val="000000"/>
                <w:sz w:val="21"/>
                <w:szCs w:val="21"/>
              </w:rPr>
              <w:t xml:space="preserve">获奖与参赛记录</w:t>
            </w:r>
          </w:p>
        </w:tc>
        <w:tc>
          <w:tcPr>
            <w:tcW w:type="pct" w:w="78%"/>
            <w:shd w:fill="F8F0EB" w:val="clear"/>
            <w:tcMar>
              <w:top w:type="dxa" w:w="80"/>
              <w:left w:type="dxa" w:w="120"/>
              <w:bottom w:type="dxa" w:w="80"/>
              <w:right w:type="dxa" w:w="120"/>
            </w:tcMar>
          </w:tcPr>
          <w:p>
            <w:pPr>
              <w:spacing w:line="276"/>
            </w:pPr>
            <w:r>
              <w:rPr>
                <w:rFonts w:ascii="Times New Roman" w:eastAsia="SimSun"/>
                <w:color w:val="000000"/>
                <w:sz w:val="21"/>
                <w:szCs w:val="21"/>
              </w:rPr>
              <w:t xml:space="preserve">鸿雁杯校内二等奖证书、软件创新大赛华北区域复赛晋级通知</w:t>
            </w:r>
          </w:p>
        </w:tc>
      </w:tr>
    </w:tbl>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eastAsia="SimSun"/>
        <w:color w:val="808080"/>
        <w:sz w:val="18"/>
        <w:szCs w:val="18"/>
      </w:rPr>
      <w:t xml:space="preserve">星火——人工智能学习成长系统项目计划书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Times New Roman" w:eastAsia="SimHei"/>
      <w:b/>
      <w:bCs/>
      <w:color w:val="1A2330"/>
      <w:sz w:val="32"/>
      <w:szCs w:val="32"/>
    </w:rPr>
  </w:style>
  <w:style w:type="paragraph" w:styleId="Heading2">
    <w:name w:val="Heading 2"/>
    <w:basedOn w:val="Normal"/>
    <w:next w:val="Normal"/>
    <w:qFormat/>
    <w:pPr>
      <w:spacing w:after="120" w:before="240" w:line="312"/>
      <w:outlineLvl w:val="1"/>
    </w:pPr>
    <w:rPr>
      <w:rFonts w:ascii="Times New Roman" w:eastAsia="SimHei"/>
      <w:b/>
      <w:bCs/>
      <w:color w:val="1A2330"/>
      <w:sz w:val="28"/>
      <w:szCs w:val="28"/>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星火——面向大学生的人工智能学习成长系统 项目计划书</dc:title>
  <dc:creator>星火团队</dc:creator>
  <cp:lastModifiedBy>Un-named</cp:lastModifiedBy>
  <cp:revision>1</cp:revision>
  <dcterms:created xsi:type="dcterms:W3CDTF">2026-09-08T13:53:13.463Z</dcterms:created>
  <dcterms:modified xsi:type="dcterms:W3CDTF">2026-09-08T13:53:13.464Z</dcterms:modified>
</cp:coreProperties>
</file>

<file path=docProps/custom.xml><?xml version="1.0" encoding="utf-8"?>
<Properties xmlns="http://schemas.openxmlformats.org/officeDocument/2006/custom-properties" xmlns:vt="http://schemas.openxmlformats.org/officeDocument/2006/docPropsVTypes"/>
</file>