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pPr>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pPr>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bookmarkStart w:id="32" w:name="_GoBack"/>
            <w:bookmarkEnd w:id="32"/>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pPr>
              <w:ind w:firstLine="480"/>
              <w:rPr>
                <w:rFonts w:eastAsia="宋体" w:cs="Times New Roman"/>
                <w:b/>
                <w:color w:val="000000"/>
                <w:kern w:val="0"/>
                <w:sz w:val="20"/>
                <w:szCs w:val="20"/>
              </w:rPr>
            </w:pPr>
          </w:p>
        </w:tc>
        <w:tc>
          <w:tcPr>
            <w:tcW w:w="7144" w:type="dxa"/>
            <w:vAlign w:val="center"/>
          </w:tcPr>
          <w:p>
            <w:pPr>
              <w:spacing w:line="360" w:lineRule="auto" w:before="0" w:after="0"/>
              <w:ind w:firstLine="0"/>
            </w:pPr>
            <w:r>
              <w:rPr>
                <w:rFonts w:ascii="宋体" w:hAnsi="宋体" w:eastAsia="宋体"/>
                <w:b/>
                <w:sz w:val="24"/>
              </w:rPr>
              <w:t>文档编号：SWC2026-Sparkle</w:t>
            </w:r>
          </w:p>
        </w:tc>
      </w:tr>
    </w:tbl>
    <w:p>
      <w:pPr>
        <w:jc w:val="center"/>
        <w:rPr>
          <w:rFonts w:eastAsia="宋体"/>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drawing>
          <wp:inline xmlns:a="http://schemas.openxmlformats.org/drawingml/2006/main" xmlns:pic="http://schemas.openxmlformats.org/drawingml/2006/picture">
            <wp:extent cx="792000" cy="838588"/>
            <wp:docPr id="2" name="Picture 2"/>
            <wp:cNvGraphicFramePr>
              <a:graphicFrameLocks noChangeAspect="1"/>
            </wp:cNvGraphicFramePr>
            <a:graphic>
              <a:graphicData uri="http://schemas.openxmlformats.org/drawingml/2006/picture">
                <pic:pic>
                  <pic:nvPicPr>
                    <pic:cNvPr id="0" name="星火_旧计划书火焰logo.png"/>
                    <pic:cNvPicPr/>
                  </pic:nvPicPr>
                  <pic:blipFill>
                    <a:blip r:embed="rId16"/>
                    <a:stretch>
                      <a:fillRect/>
                    </a:stretch>
                  </pic:blipFill>
                  <pic:spPr>
                    <a:xfrm>
                      <a:off x="0" y="0"/>
                      <a:ext cx="792000" cy="838588"/>
                    </a:xfrm>
                    <a:prstGeom prst="rect"/>
                  </pic:spPr>
                </pic:pic>
              </a:graphicData>
            </a:graphic>
          </wp:inline>
        </w:drawing>
      </w: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rPr>
          <w:rFonts w:ascii="宋体" w:hAnsi="宋体" w:eastAsia="宋体"/>
          <w:b/>
          <w:sz w:val="44"/>
        </w:rPr>
        <w:t>星火</w:t>
      </w:r>
    </w:p>
    <w:p>
      <w:pPr>
        <w:spacing w:line="360" w:lineRule="auto" w:before="0" w:after="0"/>
        <w:ind w:firstLine="0"/>
        <w:jc w:val="center"/>
      </w:pPr>
      <w:r>
        <w:rPr>
          <w:rFonts w:ascii="宋体" w:hAnsi="宋体" w:eastAsia="宋体"/>
          <w:b w:val="0"/>
          <w:sz w:val="28"/>
        </w:rPr>
        <w:t>sparkle</w:t>
      </w:r>
    </w:p>
    <w:p>
      <w:pPr>
        <w:spacing w:line="300" w:lineRule="auto"/>
        <w:jc w:val="center"/>
        <w:rPr>
          <w:b/>
        </w:rPr>
      </w:pPr>
    </w:p>
    <w:p>
      <w:pPr>
        <w:spacing w:line="300" w:lineRule="auto"/>
        <w:jc w:val="center"/>
        <w:rPr>
          <w:b/>
        </w:rPr>
      </w:pPr>
    </w:p>
    <w:p>
      <w:pPr>
        <w:jc w:val="center"/>
        <w:rPr>
          <w:rFonts w:hint="eastAsia" w:ascii="黑体" w:hAnsi="黑体" w:eastAsia="黑体"/>
          <w:b/>
          <w:color w:val="000000"/>
          <w:sz w:val="36"/>
          <w:szCs w:val="36"/>
        </w:rPr>
      </w:pPr>
      <w:r>
        <w:rPr>
          <w:rFonts w:hint="eastAsia" w:ascii="黑体" w:hAnsi="黑体" w:eastAsia="黑体"/>
          <w:b/>
          <w:color w:val="000000"/>
          <w:sz w:val="36"/>
          <w:szCs w:val="36"/>
        </w:rPr>
        <w:t>设计及创新性分析报告</w:t>
      </w:r>
    </w:p>
    <w:p>
      <w:pPr>
        <w:spacing w:line="360" w:lineRule="auto" w:before="0" w:after="0"/>
        <w:ind w:firstLine="0"/>
        <w:jc w:val="center"/>
      </w:pPr>
      <w:r>
        <w:rPr>
          <w:rFonts w:ascii="宋体" w:hAnsi="宋体" w:eastAsia="宋体"/>
          <w:b w:val="0"/>
          <w:sz w:val="24"/>
        </w:rPr>
        <w:t>Version: 0.2.0</w:t>
      </w:r>
    </w:p>
    <w:p>
      <w:pPr>
        <w:jc w:val="center"/>
        <w:rPr>
          <w:rFonts w:eastAsia="宋体"/>
          <w:color w:val="000000"/>
        </w:rPr>
      </w:pPr>
    </w:p>
    <w:p>
      <w:pPr>
        <w:jc w:val="center"/>
        <w:rPr>
          <w:rFonts w:eastAsia="宋体"/>
          <w:color w:val="000000"/>
        </w:rPr>
      </w:pPr>
    </w:p>
    <w:p>
      <w:pPr>
        <w:jc w:val="center"/>
        <w:rPr>
          <w:rFonts w:eastAsia="宋体"/>
          <w:color w:val="000000"/>
        </w:rPr>
      </w:pPr>
    </w:p>
    <w:p>
      <w:pPr>
        <w:jc w:val="center"/>
        <w:rPr>
          <w:rFonts w:eastAsia="宋体"/>
          <w:color w:val="000000"/>
        </w:rPr>
      </w:pPr>
    </w:p>
    <w:p>
      <w:pPr>
        <w:spacing w:line="360" w:lineRule="auto" w:before="0" w:after="0"/>
        <w:ind w:firstLine="0"/>
        <w:jc w:val="center"/>
      </w:pPr>
      <w:r>
        <w:drawing>
          <wp:inline xmlns:a="http://schemas.openxmlformats.org/drawingml/2006/main" xmlns:pic="http://schemas.openxmlformats.org/drawingml/2006/picture">
            <wp:extent cx="792000" cy="838588"/>
            <wp:docPr id="3" name="Picture 3"/>
            <wp:cNvGraphicFramePr>
              <a:graphicFrameLocks noChangeAspect="1"/>
            </wp:cNvGraphicFramePr>
            <a:graphic>
              <a:graphicData uri="http://schemas.openxmlformats.org/drawingml/2006/picture">
                <pic:pic>
                  <pic:nvPicPr>
                    <pic:cNvPr id="0" name="星火_旧计划书火焰logo.png"/>
                    <pic:cNvPicPr/>
                  </pic:nvPicPr>
                  <pic:blipFill>
                    <a:blip r:embed="rId16"/>
                    <a:stretch>
                      <a:fillRect/>
                    </a:stretch>
                  </pic:blipFill>
                  <pic:spPr>
                    <a:xfrm>
                      <a:off x="0" y="0"/>
                      <a:ext cx="792000" cy="838588"/>
                    </a:xfrm>
                    <a:prstGeom prst="rect"/>
                  </pic:spPr>
                </pic:pic>
              </a:graphicData>
            </a:graphic>
          </wp:inline>
        </w:drawing>
      </w:r>
    </w:p>
    <w:p>
      <w:pPr>
        <w:spacing w:line="300" w:lineRule="auto"/>
        <w:jc w:val="center"/>
        <w:rPr>
          <w:b/>
          <w:sz w:val="24"/>
        </w:rPr>
      </w:pPr>
    </w:p>
    <w:p>
      <w:pPr>
        <w:spacing w:line="300" w:lineRule="auto"/>
        <w:jc w:val="center"/>
        <w:rPr>
          <w:b/>
          <w:sz w:val="24"/>
        </w:rPr>
      </w:pPr>
    </w:p>
    <w:p>
      <w:pPr>
        <w:spacing w:line="360" w:lineRule="auto" w:before="0" w:after="0"/>
        <w:ind w:firstLine="0"/>
        <w:jc w:val="center"/>
      </w:pPr>
      <w:r>
        <w:rPr>
          <w:rFonts w:ascii="宋体" w:hAnsi="宋体" w:eastAsia="宋体"/>
          <w:b/>
          <w:sz w:val="26"/>
        </w:rPr>
        <w:t>Sparkle</w:t>
      </w:r>
    </w:p>
    <w:p>
      <w:pPr>
        <w:spacing w:line="300" w:lineRule="auto"/>
        <w:jc w:val="center"/>
        <w:rPr>
          <w:b/>
          <w:sz w:val="24"/>
        </w:rPr>
      </w:pPr>
    </w:p>
    <w:p>
      <w:pPr>
        <w:spacing w:line="300" w:lineRule="auto"/>
        <w:jc w:val="center"/>
        <w:rPr>
          <w:b/>
          <w:sz w:val="24"/>
        </w:rPr>
      </w:pPr>
    </w:p>
    <w:p>
      <w:pPr>
        <w:spacing w:line="300" w:lineRule="auto"/>
        <w:jc w:val="center"/>
        <w:rPr>
          <w:b/>
          <w:sz w:val="24"/>
        </w:rPr>
      </w:pPr>
    </w:p>
    <w:p>
      <w:pPr>
        <w:jc w:val="center"/>
        <w:rPr>
          <w:rFonts w:eastAsia="宋体"/>
          <w:color w:val="000000"/>
        </w:rPr>
      </w:pPr>
    </w:p>
    <w:p>
      <w:pPr>
        <w:spacing w:line="360" w:lineRule="auto" w:before="0" w:after="0"/>
        <w:ind w:firstLine="0"/>
        <w:jc w:val="center"/>
      </w:pPr>
      <w:r>
        <w:rPr>
          <w:rFonts w:ascii="宋体" w:hAnsi="宋体" w:eastAsia="宋体"/>
          <w:b w:val="0"/>
          <w:sz w:val="24"/>
        </w:rPr>
        <w:t>2026-03-29</w:t>
      </w:r>
    </w:p>
    <w:p>
      <w:pPr>
        <w:spacing w:line="300" w:lineRule="auto"/>
        <w:jc w:val="center"/>
        <w:rPr>
          <w:b/>
          <w:sz w:val="24"/>
        </w:rPr>
      </w:pPr>
    </w:p>
    <w:p>
      <w:pPr>
        <w:spacing w:line="300" w:lineRule="auto"/>
        <w:jc w:val="center"/>
        <w:rPr>
          <w:b/>
          <w:sz w:val="24"/>
        </w:rPr>
      </w:pPr>
      <w:r>
        <w:rPr>
          <w:b/>
          <w:sz w:val="24"/>
        </w:rPr>
        <w:t>All Rights Reserved</w:t>
      </w:r>
    </w:p>
    <w:p>
      <w:pPr>
        <w:spacing w:line="300" w:lineRule="auto"/>
        <w:jc w:val="center"/>
        <w:rPr>
          <w:b/>
          <w:sz w:val="24"/>
        </w:rPr>
        <w:sectPr>
          <w:headerReference r:id="rId5" w:type="default"/>
          <w:footerReference r:id="rId6" w:type="default"/>
          <w:pgSz w:w="11906" w:h="16838"/>
          <w:pgMar w:top="1440" w:right="1797" w:bottom="1440" w:left="1797" w:header="851" w:footer="992" w:gutter="0"/>
          <w:pgNumType w:fmt="upperRoman" w:start="1"/>
          <w:cols w:space="425" w:num="1"/>
          <w:titlePg/>
          <w:docGrid w:type="lines" w:linePitch="312" w:charSpace="0"/>
        </w:sectPr>
      </w:pPr>
    </w:p>
    <w:p>
      <w:pPr>
        <w:pStyle w:val="81"/>
        <w:spacing w:after="156" w:afterLines="50" w:line="300" w:lineRule="auto"/>
        <w:rPr>
          <w:rFonts w:hint="eastAsia" w:ascii="黑体" w:hAnsi="黑体" w:eastAsia="黑体"/>
          <w:color w:val="000000"/>
          <w:sz w:val="36"/>
        </w:rPr>
      </w:pPr>
      <w:commentRangeStart w:id="8"/>
      <w:r>
        <w:rPr>
          <w:rFonts w:hint="eastAsia" w:ascii="黑体" w:hAnsi="黑体" w:eastAsia="黑体"/>
          <w:color w:val="000000"/>
          <w:sz w:val="36"/>
        </w:rPr>
        <w:t>目录</w:t>
      </w:r>
      <w:commentRangeEnd w:id="8"/>
      <w:r>
        <w:rPr>
          <w:rStyle w:val="64"/>
          <w:rFonts w:asciiTheme="minorHAnsi" w:hAnsiTheme="minorHAnsi"/>
          <w:b w:val="0"/>
        </w:rPr>
        <w:commentReference w:id="8"/>
      </w:r>
    </w:p>
    <w:p>
      <w:pPr>
        <w:pStyle w:val="28"/>
        <w:tabs>
          <w:tab w:val="left" w:pos="420"/>
          <w:tab w:val="right" w:leader="dot" w:pos="8302"/>
        </w:tabs>
        <w:rPr>
          <w:rFonts w:asciiTheme="minorHAnsi" w:hAnsiTheme="minorHAnsi" w:cstheme="minorBidi"/>
          <w:b w:val="0"/>
          <w:bCs w:val="0"/>
          <w:i w:val="0"/>
          <w:iCs w:val="0"/>
          <w:sz w:val="21"/>
          <w:szCs w:val="22"/>
        </w:rPr>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fldChar w:fldCharType="begin"/>
      </w:r>
      <w:r>
        <w:instrText xml:space="preserve"> HYPERLINK \l "_Toc56720942" </w:instrText>
      </w:r>
      <w:r>
        <w:fldChar w:fldCharType="separate"/>
      </w:r>
      <w:r>
        <w:rPr>
          <w:rStyle w:val="63"/>
          <w:rFonts w:cs="Times New Roman"/>
        </w:rPr>
        <w:t>1</w:t>
      </w:r>
      <w:r>
        <w:rPr>
          <w:rFonts w:asciiTheme="minorHAnsi" w:hAnsiTheme="minorHAnsi" w:cstheme="minorBidi"/>
          <w:b w:val="0"/>
          <w:bCs w:val="0"/>
          <w:i w:val="0"/>
          <w:iCs w:val="0"/>
          <w:sz w:val="21"/>
          <w:szCs w:val="22"/>
        </w:rPr>
        <w:tab/>
      </w:r>
      <w:r>
        <w:rPr>
          <w:rStyle w:val="63"/>
        </w:rPr>
        <w:t>痛点分析</w:t>
      </w:r>
      <w:r>
        <w:tab/>
      </w:r>
      <w:r>
        <w:fldChar w:fldCharType="begin"/>
      </w:r>
      <w:r>
        <w:instrText xml:space="preserve"> PAGEREF _Toc56720942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"_Toc56720943" </w:instrText>
      </w:r>
      <w:r>
        <w:fldChar w:fldCharType="separate"/>
      </w:r>
      <w:r>
        <w:rPr>
          <w:rStyle w:val="63"/>
          <w:rFonts w:cs="Times New Roman"/>
        </w:rPr>
        <w:t>1.1</w:t>
      </w:r>
      <w:r>
        <w:rPr>
          <w:rFonts w:asciiTheme="minorHAnsi" w:hAnsiTheme="minorHAnsi" w:cstheme="minorBidi"/>
          <w:b w:val="0"/>
          <w:bCs w:val="0"/>
          <w:sz w:val="21"/>
        </w:rPr>
        <w:tab/>
      </w:r>
      <w:r>
        <w:rPr>
          <w:rStyle w:val="63"/>
        </w:rPr>
        <w:t>痛点概述</w:t>
      </w:r>
      <w:r>
        <w:tab/>
      </w:r>
      <w:r>
        <w:fldChar w:fldCharType="begin"/>
      </w:r>
      <w:r>
        <w:instrText xml:space="preserve"> PAGEREF _Toc56720943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"_Toc56720944" </w:instrText>
      </w:r>
      <w:r>
        <w:fldChar w:fldCharType="separate"/>
      </w:r>
      <w:r>
        <w:rPr>
          <w:rStyle w:val="63"/>
          <w:rFonts w:cs="Times New Roman"/>
        </w:rPr>
        <w:t>1.2</w:t>
      </w:r>
      <w:r>
        <w:rPr>
          <w:rFonts w:asciiTheme="minorHAnsi" w:hAnsiTheme="minorHAnsi" w:cstheme="minorBidi"/>
          <w:b w:val="0"/>
          <w:bCs w:val="0"/>
          <w:sz w:val="21"/>
        </w:rPr>
        <w:tab/>
      </w:r>
      <w:r>
        <w:rPr>
          <w:rStyle w:val="63"/>
        </w:rPr>
        <w:t>相关工作</w:t>
      </w:r>
      <w:r>
        <w:tab/>
      </w:r>
      <w:r>
        <w:fldChar w:fldCharType="begin"/>
      </w:r>
      <w:r>
        <w:instrText xml:space="preserve"> PAGEREF _Toc56720944 \h </w:instrText>
      </w:r>
      <w:r>
        <w:fldChar w:fldCharType="separate"/>
      </w:r>
      <w:r>
        <w:t>1</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"_Toc56720945" </w:instrText>
      </w:r>
      <w:r>
        <w:fldChar w:fldCharType="separate"/>
      </w:r>
      <w:r>
        <w:rPr>
          <w:rStyle w:val="63"/>
          <w:rFonts w:cs="Times New Roman"/>
        </w:rPr>
        <w:t>2</w:t>
      </w:r>
      <w:r>
        <w:rPr>
          <w:rFonts w:asciiTheme="minorHAnsi" w:hAnsiTheme="minorHAnsi" w:cstheme="minorBidi"/>
          <w:b w:val="0"/>
          <w:bCs w:val="0"/>
          <w:i w:val="0"/>
          <w:iCs w:val="0"/>
          <w:sz w:val="21"/>
          <w:szCs w:val="22"/>
        </w:rPr>
        <w:tab/>
      </w:r>
      <w:r>
        <w:rPr>
          <w:rStyle w:val="63"/>
        </w:rPr>
        <w:t>项目创新点</w:t>
      </w:r>
      <w:r>
        <w:tab/>
      </w:r>
      <w:r>
        <w:fldChar w:fldCharType="begin"/>
      </w:r>
      <w:r>
        <w:instrText xml:space="preserve"> PAGEREF _Toc56720945 \h </w:instrText>
      </w:r>
      <w:r>
        <w:fldChar w:fldCharType="separate"/>
      </w:r>
      <w:r>
        <w:t>2</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"_Toc56720946" </w:instrText>
      </w:r>
      <w:r>
        <w:fldChar w:fldCharType="separate"/>
      </w:r>
      <w:r>
        <w:rPr>
          <w:rStyle w:val="63"/>
          <w:rFonts w:cs="Times New Roman"/>
        </w:rPr>
        <w:t>2.1</w:t>
      </w:r>
      <w:r>
        <w:rPr>
          <w:rFonts w:asciiTheme="minorHAnsi" w:hAnsiTheme="minorHAnsi" w:cstheme="minorBidi"/>
          <w:b w:val="0"/>
          <w:bCs w:val="0"/>
          <w:sz w:val="21"/>
        </w:rPr>
        <w:tab/>
      </w:r>
      <w:r>
        <w:rPr>
          <w:rStyle w:val="63"/>
        </w:rPr>
        <w:t>技术性创新点</w:t>
      </w:r>
      <w:r>
        <w:tab/>
      </w:r>
      <w:r>
        <w:fldChar w:fldCharType="begin"/>
      </w:r>
      <w:r>
        <w:instrText xml:space="preserve"> PAGEREF _Toc56720946 \h </w:instrText>
      </w:r>
      <w:r>
        <w:fldChar w:fldCharType="separate"/>
      </w:r>
      <w:r>
        <w:t>2</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"_Toc56720947" </w:instrText>
      </w:r>
      <w:r>
        <w:fldChar w:fldCharType="separate"/>
      </w:r>
      <w:r>
        <w:rPr>
          <w:rStyle w:val="63"/>
          <w:rFonts w:cs="Times New Roman"/>
        </w:rPr>
        <w:t>2.2</w:t>
      </w:r>
      <w:r>
        <w:rPr>
          <w:rFonts w:asciiTheme="minorHAnsi" w:hAnsiTheme="minorHAnsi" w:cstheme="minorBidi"/>
          <w:b w:val="0"/>
          <w:bCs w:val="0"/>
          <w:sz w:val="21"/>
        </w:rPr>
        <w:tab/>
      </w:r>
      <w:r>
        <w:rPr>
          <w:rStyle w:val="63"/>
        </w:rPr>
        <w:t>功能性创新点</w:t>
      </w:r>
      <w:r>
        <w:tab/>
      </w:r>
      <w:r>
        <w:fldChar w:fldCharType="begin"/>
      </w:r>
      <w:r>
        <w:instrText xml:space="preserve"> PAGEREF _Toc56720947 \h </w:instrText>
      </w:r>
      <w:r>
        <w:fldChar w:fldCharType="separate"/>
      </w:r>
      <w:r>
        <w:t>2</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"_Toc56720948" </w:instrText>
      </w:r>
      <w:r>
        <w:fldChar w:fldCharType="separate"/>
      </w:r>
      <w:r>
        <w:rPr>
          <w:rStyle w:val="63"/>
          <w:rFonts w:cs="Times New Roman"/>
        </w:rPr>
        <w:t>2.3</w:t>
      </w:r>
      <w:r>
        <w:rPr>
          <w:rFonts w:asciiTheme="minorHAnsi" w:hAnsiTheme="minorHAnsi" w:cstheme="minorBidi"/>
          <w:b w:val="0"/>
          <w:bCs w:val="0"/>
          <w:sz w:val="21"/>
        </w:rPr>
        <w:tab/>
      </w:r>
      <w:r>
        <w:rPr>
          <w:rStyle w:val="63"/>
        </w:rPr>
        <w:t>其他创新点</w:t>
      </w:r>
      <w:r>
        <w:tab/>
      </w:r>
      <w:r>
        <w:fldChar w:fldCharType="begin"/>
      </w:r>
      <w:r>
        <w:instrText xml:space="preserve"> PAGEREF _Toc56720948 \h </w:instrText>
      </w:r>
      <w:r>
        <w:fldChar w:fldCharType="separate"/>
      </w:r>
      <w:r>
        <w:t>2</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"_Toc56720949" </w:instrText>
      </w:r>
      <w:r>
        <w:fldChar w:fldCharType="separate"/>
      </w:r>
      <w:r>
        <w:rPr>
          <w:rStyle w:val="63"/>
          <w:rFonts w:cs="Times New Roman"/>
        </w:rPr>
        <w:t>3</w:t>
      </w:r>
      <w:r>
        <w:rPr>
          <w:rFonts w:asciiTheme="minorHAnsi" w:hAnsiTheme="minorHAnsi" w:cstheme="minorBidi"/>
          <w:b w:val="0"/>
          <w:bCs w:val="0"/>
          <w:i w:val="0"/>
          <w:iCs w:val="0"/>
          <w:sz w:val="21"/>
          <w:szCs w:val="22"/>
        </w:rPr>
        <w:tab/>
      </w:r>
      <w:r>
        <w:rPr>
          <w:rStyle w:val="63"/>
        </w:rPr>
        <w:t>竞品分析</w:t>
      </w:r>
      <w:r>
        <w:tab/>
      </w:r>
      <w:r>
        <w:fldChar w:fldCharType="begin"/>
      </w:r>
      <w:r>
        <w:instrText xml:space="preserve"> PAGEREF _Toc56720949 \h </w:instrText>
      </w:r>
      <w:r>
        <w:fldChar w:fldCharType="separate"/>
      </w:r>
      <w:r>
        <w:t>3</w:t>
      </w:r>
      <w:r>
        <w:fldChar w:fldCharType="end"/>
      </w:r>
      <w:r>
        <w:fldChar w:fldCharType="end"/>
      </w:r>
    </w:p>
    <w:p>
      <w:pPr>
        <w:widowControl/>
        <w:jc w:val="left"/>
        <w:rPr>
          <w:color w:val="000000"/>
        </w:rPr>
      </w:pPr>
      <w:r>
        <w:rPr>
          <w:color w:val="000000"/>
        </w:rPr>
        <w:fldChar w:fldCharType="end"/>
      </w:r>
    </w:p>
    <w:p>
      <w:pPr>
        <w:widowControl/>
        <w:ind w:firstLine="480"/>
        <w:jc w:val="left"/>
        <w:rPr>
          <w:color w:val="000000"/>
        </w:rPr>
      </w:pPr>
    </w:p>
    <w:p>
      <w:pPr>
        <w:widowControl/>
        <w:ind w:firstLine="480"/>
        <w:jc w:val="left"/>
        <w:rPr>
          <w:color w:val="000000"/>
        </w:rPr>
      </w:pPr>
    </w:p>
    <w:p>
      <w:pPr>
        <w:widowControl/>
        <w:ind w:firstLine="480"/>
        <w:jc w:val="left"/>
        <w:rPr>
          <w:color w:val="000000"/>
        </w:rPr>
        <w:sectPr>
          <w:footerReference r:id="rId7" w:type="default"/>
          <w:pgSz w:w="11906" w:h="16838"/>
          <w:pgMar w:top="1440" w:right="1797" w:bottom="1440" w:left="1797" w:header="851" w:footer="992" w:gutter="0"/>
          <w:pgNumType w:fmt="upperRoman" w:start="1"/>
          <w:cols w:space="425" w:num="1"/>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pPr>
              <w:pStyle w:val="155"/>
              <w:rPr>
                <w:rFonts w:hint="eastAsia" w:ascii="宋体" w:hAnsi="宋体" w:eastAsia="宋体"/>
                <w:b/>
                <w:color w:val="000000"/>
                <w:sz w:val="21"/>
              </w:rPr>
            </w:pPr>
            <w:commentRangeStart w:id="9"/>
            <w:r>
              <w:rPr>
                <w:rFonts w:hint="eastAsia" w:ascii="宋体" w:hAnsi="宋体" w:eastAsia="宋体"/>
                <w:b/>
                <w:color w:val="000000"/>
                <w:sz w:val="21"/>
              </w:rPr>
              <w:t>修订</w:t>
            </w:r>
            <w:r>
              <w:rPr>
                <w:rFonts w:ascii="宋体" w:hAnsi="宋体" w:eastAsia="宋体"/>
                <w:b/>
                <w:color w:val="000000"/>
                <w:sz w:val="21"/>
              </w:rPr>
              <w:t>原因</w:t>
            </w:r>
            <w:commentRangeEnd w:id="9"/>
            <w:r>
              <w:rPr>
                <w:rStyle w:val="64"/>
                <w:rFonts w:asciiTheme="minorHAnsi" w:hAnsiTheme="minorHAnsi" w:eastAsiaTheme="minorEastAsia"/>
              </w:rPr>
              <w:commentReference w:id="9"/>
            </w:r>
          </w:p>
        </w:tc>
        <w:tc>
          <w:tcPr>
            <w:tcW w:w="1279" w:type="dxa"/>
            <w:vAlign w:val="center"/>
          </w:tcPr>
          <w:p>
            <w:pPr>
              <w:pStyle w:val="155"/>
              <w:rPr>
                <w:rFonts w:hint="eastAsia" w:ascii="宋体" w:hAnsi="宋体" w:eastAsia="宋体"/>
                <w:b/>
                <w:color w:val="000000"/>
                <w:sz w:val="21"/>
              </w:rPr>
            </w:pPr>
            <w:commentRangeStart w:id="10"/>
            <w:r>
              <w:rPr>
                <w:rFonts w:ascii="宋体" w:hAnsi="宋体" w:eastAsia="宋体"/>
                <w:b/>
                <w:color w:val="000000"/>
                <w:sz w:val="21"/>
              </w:rPr>
              <w:t>版本</w:t>
            </w:r>
            <w:r>
              <w:rPr>
                <w:rFonts w:hint="eastAsia" w:ascii="宋体" w:hAnsi="宋体" w:eastAsia="宋体"/>
                <w:b/>
                <w:color w:val="000000"/>
                <w:sz w:val="21"/>
              </w:rPr>
              <w:t>号</w:t>
            </w:r>
            <w:commentRangeEnd w:id="10"/>
            <w:r>
              <w:rPr>
                <w:rStyle w:val="64"/>
                <w:rFonts w:asciiTheme="minorHAnsi" w:hAnsiTheme="minorHAnsi" w:eastAsiaTheme="minorEastAsia"/>
              </w:rPr>
              <w:commentReference w:id="10"/>
            </w:r>
          </w:p>
        </w:tc>
        <w:tc>
          <w:tcPr>
            <w:tcW w:w="1416" w:type="dxa"/>
            <w:vAlign w:val="center"/>
          </w:tcPr>
          <w:p>
            <w:pPr>
              <w:pStyle w:val="155"/>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pPr>
              <w:pStyle w:val="155"/>
              <w:rPr>
                <w:rFonts w:hint="eastAsia" w:ascii="宋体" w:hAnsi="宋体" w:eastAsia="宋体"/>
                <w:b/>
                <w:color w:val="000000"/>
                <w:sz w:val="21"/>
              </w:rPr>
            </w:pPr>
            <w:r>
              <w:rPr>
                <w:rFonts w:ascii="宋体" w:hAnsi="宋体" w:eastAsia="宋体"/>
                <w:b/>
                <w:color w:val="000000"/>
                <w:sz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1</w:t>
            </w:r>
          </w:p>
        </w:tc>
        <w:tc>
          <w:tcPr>
            <w:tcW w:w="1699" w:type="dxa"/>
            <w:vAlign w:val="center"/>
          </w:tcPr>
          <w:p>
            <w:pPr>
              <w:spacing w:line="360" w:lineRule="auto" w:before="0" w:after="0"/>
              <w:ind w:firstLine="0"/>
            </w:pPr>
            <w:r>
              <w:rPr>
                <w:rFonts w:ascii="宋体" w:hAnsi="宋体" w:eastAsia="宋体"/>
                <w:b w:val="0"/>
                <w:sz w:val="21"/>
              </w:rPr>
              <w:t>创建</w:t>
            </w:r>
          </w:p>
        </w:tc>
        <w:tc>
          <w:tcPr>
            <w:tcW w:w="1279" w:type="dxa"/>
            <w:vAlign w:val="center"/>
          </w:tcPr>
          <w:p>
            <w:pPr>
              <w:spacing w:line="360" w:lineRule="auto" w:before="0" w:after="0"/>
              <w:ind w:firstLine="0"/>
            </w:pPr>
            <w:r>
              <w:rPr>
                <w:rFonts w:ascii="宋体" w:hAnsi="宋体" w:eastAsia="宋体"/>
                <w:b w:val="0"/>
                <w:sz w:val="21"/>
              </w:rPr>
              <w:t>0.2.0</w:t>
            </w:r>
          </w:p>
        </w:tc>
        <w:tc>
          <w:tcPr>
            <w:tcW w:w="1416" w:type="dxa"/>
            <w:vAlign w:val="center"/>
          </w:tcPr>
          <w:p>
            <w:pPr>
              <w:spacing w:line="360" w:lineRule="auto" w:before="0" w:after="0"/>
              <w:ind w:firstLine="0"/>
            </w:pPr>
            <w:r>
              <w:rPr>
                <w:rFonts w:ascii="宋体" w:hAnsi="宋体" w:eastAsia="宋体"/>
                <w:b w:val="0"/>
                <w:sz w:val="21"/>
              </w:rPr>
              <w:t>邓博仁</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初稿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bl>
    <w:p>
      <w:pPr>
        <w:spacing w:line="300" w:lineRule="auto"/>
        <w:ind w:firstLine="480"/>
        <w:sectPr>
          <w:pgSz w:w="11906" w:h="16838"/>
          <w:pgMar w:top="1440" w:right="1797" w:bottom="1440" w:left="1797" w:header="851" w:footer="992" w:gutter="0"/>
          <w:pgNumType w:fmt="upperRoman"/>
          <w:cols w:space="425" w:num="1"/>
          <w:docGrid w:type="lines" w:linePitch="312" w:charSpace="0"/>
        </w:sectPr>
      </w:pPr>
    </w:p>
    <w:p>
      <w:pPr>
        <w:pStyle w:val="2"/>
      </w:pPr>
      <w:bookmarkStart w:id="0" w:name="_Toc56720942"/>
      <w:bookmarkStart w:id="1" w:name="_Toc331238830"/>
      <w:bookmarkStart w:id="2" w:name="_Toc331238769"/>
      <w:bookmarkStart w:id="3" w:name="_Toc331545160"/>
      <w:bookmarkStart w:id="4" w:name="_Toc331243782"/>
      <w:bookmarkStart w:id="5" w:name="_Toc331243882"/>
      <w:bookmarkStart w:id="6" w:name="_Toc331243603"/>
      <w:bookmarkStart w:id="7" w:name="_Toc331243703"/>
      <w:commentRangeStart w:id="11"/>
      <w:r>
        <w:rPr>
          <w:rFonts w:hint="eastAsia"/>
        </w:rPr>
        <w:t>痛点分析</w:t>
      </w:r>
      <w:commentRangeEnd w:id="11"/>
      <w:r>
        <w:rPr>
          <w:rStyle w:val="64"/>
          <w:rFonts w:asciiTheme="minorHAnsi" w:hAnsiTheme="minorHAnsi" w:eastAsiaTheme="minorEastAsia"/>
          <w:b w:val="0"/>
          <w:bCs w:val="0"/>
          <w:kern w:val="2"/>
        </w:rPr>
        <w:commentReference w:id="11"/>
      </w:r>
      <w:bookmarkEnd w:id="0"/>
    </w:p>
    <w:p>
      <w:pPr>
        <w:spacing w:line="360" w:lineRule="auto" w:before="0" w:after="0"/>
        <w:ind w:firstLine="0"/>
      </w:pPr>
      <w:r>
        <w:rPr>
          <w:rFonts w:ascii="宋体" w:hAnsi="宋体" w:eastAsia="宋体"/>
          <w:b/>
          <w:sz w:val="28"/>
        </w:rPr>
        <w:t>痛点概述</w:t>
      </w:r>
    </w:p>
    <w:p>
      <w:pPr>
        <w:spacing w:line="360" w:lineRule="auto" w:before="0" w:after="0"/>
        <w:ind w:firstLine="420"/>
      </w:pPr>
      <w:r>
        <w:rPr>
          <w:rFonts w:ascii="宋体" w:hAnsi="宋体" w:eastAsia="宋体"/>
          <w:b w:val="0"/>
          <w:sz w:val="24"/>
        </w:rPr>
        <w:t>星火聚焦的是大学生学习过程中的系统性失效，而不是单一功能缺口。今天的大多数学生并不缺课程资源、搜题入口或大模型问答能力，真正缺的是一套能持续推动自己前进的学习系统。</w:t>
      </w:r>
    </w:p>
    <w:p>
      <w:pPr>
        <w:spacing w:line="360" w:lineRule="auto" w:before="0" w:after="0"/>
        <w:ind w:firstLine="0"/>
      </w:pPr>
      <w:r>
        <w:rPr>
          <w:rFonts w:ascii="宋体" w:hAnsi="宋体" w:eastAsia="宋体"/>
          <w:b/>
          <w:sz w:val="24"/>
        </w:rPr>
        <w:t>痛点一：目标过大，难以启动</w:t>
      </w:r>
    </w:p>
    <w:p>
      <w:pPr>
        <w:spacing w:line="360" w:lineRule="auto" w:before="0" w:after="0"/>
        <w:ind w:firstLine="420"/>
      </w:pPr>
      <w:r>
        <w:rPr>
          <w:rFonts w:ascii="宋体" w:hAnsi="宋体" w:eastAsia="宋体"/>
          <w:b w:val="0"/>
          <w:sz w:val="24"/>
        </w:rPr>
        <w:t>大学生面对的学习目标通常都不是一句题目或一张卷子，而是“补完一整门课”“准备期末”“完成竞赛项目”“建立长期知识体系”这类跨天、跨周、跨模块的任务。目标越大，行动越容易失真。用户往往知道自己应该努力，却不知道此刻应该从哪一步开始。</w:t>
      </w:r>
    </w:p>
    <w:p>
      <w:pPr>
        <w:spacing w:line="360" w:lineRule="auto" w:before="0" w:after="0"/>
        <w:ind w:firstLine="420"/>
      </w:pPr>
      <w:r>
        <w:rPr>
          <w:rFonts w:ascii="宋体" w:hAnsi="宋体" w:eastAsia="宋体"/>
          <w:b w:val="0"/>
          <w:sz w:val="24"/>
        </w:rPr>
        <w:t>这类问题的本质不是“缺提醒”，而是缺一条从自然语言目标到可执行下一步的转化链路。很多工具把学习管理停留在待办层，要求用户自己拆解、自己追踪、自己纠偏，实际门槛仍然很高。</w:t>
      </w:r>
    </w:p>
    <w:p>
      <w:pPr>
        <w:spacing w:line="360" w:lineRule="auto" w:before="0" w:after="0"/>
        <w:ind w:firstLine="0"/>
      </w:pPr>
      <w:r>
        <w:rPr>
          <w:rFonts w:ascii="宋体" w:hAnsi="宋体" w:eastAsia="宋体"/>
          <w:b/>
          <w:sz w:val="24"/>
        </w:rPr>
        <w:t>痛点二：知识碎片化，缺少结构感</w:t>
      </w:r>
    </w:p>
    <w:p>
      <w:pPr>
        <w:spacing w:line="360" w:lineRule="auto" w:before="0" w:after="0"/>
        <w:ind w:firstLine="420"/>
      </w:pPr>
      <w:r>
        <w:rPr>
          <w:rFonts w:ascii="宋体" w:hAnsi="宋体" w:eastAsia="宋体"/>
          <w:b w:val="0"/>
          <w:sz w:val="24"/>
        </w:rPr>
        <w:t>学习不是信息收集，而是结构形成。很多学生会出现“学过很多，但串不起来”“会做题，但不知道知识之间的关系”“做错了，但说不清是概念没懂还是路径没建立”的情况。传统内容平台更多解决“我能看什么”，不太解决“我到底掌握了什么、缺了什么、该先补什么”。</w:t>
      </w:r>
    </w:p>
    <w:p>
      <w:pPr>
        <w:spacing w:line="360" w:lineRule="auto" w:before="0" w:after="0"/>
        <w:ind w:firstLine="420"/>
      </w:pPr>
      <w:r>
        <w:rPr>
          <w:rFonts w:ascii="宋体" w:hAnsi="宋体" w:eastAsia="宋体"/>
          <w:b w:val="0"/>
          <w:sz w:val="24"/>
        </w:rPr>
        <w:t>从产品视角看，这意味着用户需要的不只是答案，而是知识关系、前置路径、掌握度变化和复习节奏的长期可视化表达。</w:t>
      </w:r>
    </w:p>
    <w:p>
      <w:pPr>
        <w:spacing w:line="360" w:lineRule="auto" w:before="0" w:after="0"/>
        <w:ind w:firstLine="0"/>
      </w:pPr>
      <w:r>
        <w:rPr>
          <w:rFonts w:ascii="宋体" w:hAnsi="宋体" w:eastAsia="宋体"/>
          <w:b/>
          <w:sz w:val="24"/>
        </w:rPr>
        <w:t>痛点三：反馈滞后，成长不可感</w:t>
      </w:r>
    </w:p>
    <w:p>
      <w:pPr>
        <w:spacing w:line="360" w:lineRule="auto" w:before="0" w:after="0"/>
        <w:ind w:firstLine="420"/>
      </w:pPr>
      <w:r>
        <w:rPr>
          <w:rFonts w:ascii="宋体" w:hAnsi="宋体" w:eastAsia="宋体"/>
          <w:b w:val="0"/>
          <w:sz w:val="24"/>
        </w:rPr>
        <w:t>学习的反馈周期天然偏长。用户今天背单词、做题、复盘，未必能马上看到成果；而在没有可视化成长反馈的情况下，动力往往先于能力耗尽。现有打卡类产品多数只记录“做没做”，却很难让用户感受到“我到底在往哪里成长，我这段时间的努力是否真的在积累”。</w:t>
      </w:r>
    </w:p>
    <w:p>
      <w:pPr>
        <w:spacing w:line="360" w:lineRule="auto" w:before="0" w:after="0"/>
        <w:ind w:firstLine="420"/>
      </w:pPr>
      <w:r>
        <w:rPr>
          <w:rFonts w:ascii="宋体" w:hAnsi="宋体" w:eastAsia="宋体"/>
          <w:b w:val="0"/>
          <w:sz w:val="24"/>
        </w:rPr>
        <w:t>这使得大量学习行为停留在短时冲刺，而难以变成长期自驱。</w:t>
      </w:r>
    </w:p>
    <w:p>
      <w:pPr>
        <w:spacing w:line="360" w:lineRule="auto" w:before="0" w:after="0"/>
        <w:ind w:firstLine="0"/>
      </w:pPr>
      <w:r>
        <w:rPr>
          <w:rFonts w:ascii="宋体" w:hAnsi="宋体" w:eastAsia="宋体"/>
          <w:b/>
          <w:sz w:val="24"/>
        </w:rPr>
        <w:t>痛点四：执行断裂，AI 只停留在建议层</w:t>
      </w:r>
    </w:p>
    <w:p>
      <w:pPr>
        <w:spacing w:line="360" w:lineRule="auto" w:before="0" w:after="0"/>
        <w:ind w:firstLine="420"/>
      </w:pPr>
      <w:r>
        <w:rPr>
          <w:rFonts w:ascii="宋体" w:hAnsi="宋体" w:eastAsia="宋体"/>
          <w:b w:val="0"/>
          <w:sz w:val="24"/>
        </w:rPr>
        <w:t>即使今天的大模型已经可以给出学习建议、知识解释、复习方案，很多产品依然停留在“告诉你应该做什么”的层面，而没有继续帮助用户进入执行、验证和反馈闭环。对于用户来说，真正困难的往往不是听懂建议，而是把建议落实为一系列可以推进、可以追踪、可以修正的动作。</w:t>
      </w:r>
    </w:p>
    <w:p>
      <w:pPr>
        <w:spacing w:line="360" w:lineRule="auto" w:before="0" w:after="0"/>
        <w:ind w:firstLine="420"/>
      </w:pPr>
      <w:r>
        <w:rPr>
          <w:rFonts w:ascii="宋体" w:hAnsi="宋体" w:eastAsia="宋体"/>
          <w:b w:val="0"/>
          <w:sz w:val="24"/>
        </w:rPr>
        <w:t>因此，大学生真正缺的不是又一个“会回答问题”的 AI，也不是又一个“能记待办”的效率工具，而是一套能把理解、规划、执行、反馈和成长沉淀连接起来的学习成长系统。</w:t>
      </w:r>
    </w:p>
    <w:p>
      <w:pPr>
        <w:spacing w:line="360" w:lineRule="auto" w:before="0" w:after="0"/>
        <w:ind w:firstLine="420"/>
      </w:pPr>
      <w:r>
        <w:rPr>
          <w:rFonts w:ascii="宋体" w:hAnsi="宋体" w:eastAsia="宋体"/>
          <w:b w:val="0"/>
          <w:sz w:val="24"/>
        </w:rPr>
        <w:t>图 A1 建议插入位置：本节之后。 图题：大学生学习链路的四重断裂。 图说：用一张信息图展示“目标过大”“知识碎片化”“反馈滞后”“执行断裂”四类问题如何共同造成执行失败、认知失败和动力失败。</w:t>
      </w:r>
    </w:p>
    <w:p>
      <w:pPr>
        <w:pStyle w:val="4"/>
      </w:pPr>
      <w:bookmarkStart w:id="13" w:name="_Toc56720944"/>
      <w:commentRangeStart w:id="13"/>
      <w:r>
        <w:rPr>
          <w:rFonts w:hint="eastAsia"/>
        </w:rPr>
        <w:t>相关工作</w:t>
      </w:r>
      <w:bookmarkEnd w:id="13"/>
      <w:commentRangeEnd w:id="13"/>
      <w:r>
        <w:rPr>
          <w:rStyle w:val="64"/>
          <w:rFonts w:asciiTheme="minorHAnsi" w:hAnsiTheme="minorHAnsi" w:eastAsiaTheme="minorEastAsia"/>
          <w:b w:val="0"/>
          <w:bCs w:val="0"/>
        </w:rPr>
        <w:commentReference w:id="13"/>
      </w:r>
    </w:p>
    <w:p>
      <w:pPr>
        <w:spacing w:line="360" w:lineRule="auto" w:before="0" w:after="0"/>
        <w:ind w:firstLine="420"/>
      </w:pPr>
      <w:r>
        <w:rPr>
          <w:rFonts w:ascii="宋体" w:hAnsi="宋体" w:eastAsia="宋体"/>
          <w:b w:val="0"/>
          <w:sz w:val="24"/>
        </w:rPr>
        <w:t>当前和“学习”相关的数字化产品大体可以分为三类，每一类都有价值，但也都存在明显边界。</w:t>
      </w:r>
    </w:p>
    <w:p>
      <w:pPr>
        <w:spacing w:line="360" w:lineRule="auto" w:before="0" w:after="0"/>
        <w:ind w:firstLine="0"/>
      </w:pPr>
      <w:r>
        <w:rPr>
          <w:rFonts w:ascii="宋体" w:hAnsi="宋体" w:eastAsia="宋体"/>
          <w:b/>
          <w:sz w:val="24"/>
        </w:rPr>
        <w:t>第一类：通用学习对话型 AI</w:t>
      </w:r>
    </w:p>
    <w:p>
      <w:pPr>
        <w:spacing w:line="360" w:lineRule="auto" w:before="0" w:after="0"/>
        <w:ind w:firstLine="420"/>
      </w:pPr>
      <w:r>
        <w:rPr>
          <w:rFonts w:ascii="宋体" w:hAnsi="宋体" w:eastAsia="宋体"/>
          <w:b w:val="0"/>
          <w:sz w:val="24"/>
        </w:rPr>
        <w:t>以 ChatGPT Study Mode、Khanmigo 为代表，这类产品强调 Socratic 式引导、互动式提问、步骤化解释和围绕学习过程的陪伴能力。它们比普通聊天机器人更像“学习中的对话伙伴”，能够帮助用户理解一个概念、拆开一道题、通过提问把思路慢慢引出来。</w:t>
      </w:r>
    </w:p>
    <w:p>
      <w:pPr>
        <w:spacing w:line="360" w:lineRule="auto" w:before="0" w:after="0"/>
        <w:ind w:firstLine="420"/>
      </w:pPr>
      <w:r>
        <w:rPr>
          <w:rFonts w:ascii="宋体" w:hAnsi="宋体" w:eastAsia="宋体"/>
          <w:b w:val="0"/>
          <w:sz w:val="24"/>
        </w:rPr>
        <w:t>但从评委视角看，这类产品的核心仍然是“学习对话体验升级”，强项在讲解与引导，弱项在执行闭环、知识结构外显和长期成长沉淀。换句话说，它们更像“更会教你的 AI”，而不一定是“更会陪你完成长期学习工程的系统”。</w:t>
      </w:r>
    </w:p>
    <w:p>
      <w:pPr>
        <w:spacing w:line="360" w:lineRule="auto" w:before="0" w:after="0"/>
        <w:ind w:firstLine="0"/>
      </w:pPr>
      <w:r>
        <w:rPr>
          <w:rFonts w:ascii="宋体" w:hAnsi="宋体" w:eastAsia="宋体"/>
          <w:b/>
          <w:sz w:val="24"/>
        </w:rPr>
        <w:t>第二类：作业/解题辅助型 AI</w:t>
      </w:r>
    </w:p>
    <w:p>
      <w:pPr>
        <w:spacing w:line="360" w:lineRule="auto" w:before="0" w:after="0"/>
        <w:ind w:firstLine="420"/>
      </w:pPr>
      <w:r>
        <w:rPr>
          <w:rFonts w:ascii="宋体" w:hAnsi="宋体" w:eastAsia="宋体"/>
          <w:b w:val="0"/>
          <w:sz w:val="24"/>
        </w:rPr>
        <w:t>以 StudyX、Gauth 为代表，这类产品强调输入门槛低、拍照识别快、步骤拆解清晰、覆盖学科广、即时求解能力强。它们非常适合用户在“遇到一道不会做的题”时获得快速帮助，也经常结合题库、资源推荐、专家服务、拍照 OCR 等能力降低使用门槛。</w:t>
      </w:r>
    </w:p>
    <w:p>
      <w:pPr>
        <w:spacing w:line="360" w:lineRule="auto" w:before="0" w:after="0"/>
        <w:ind w:firstLine="420"/>
      </w:pPr>
      <w:r>
        <w:rPr>
          <w:rFonts w:ascii="宋体" w:hAnsi="宋体" w:eastAsia="宋体"/>
          <w:b w:val="0"/>
          <w:sz w:val="24"/>
        </w:rPr>
        <w:t>但这类产品的典型边界是：它们更擅长“点状求解”，而不是“线性成长”；更擅长“当前题目”，而不是“长期知识结构”；更擅长“帮你解”，而不是“帮你持续构建自己的学习系统”。</w:t>
      </w:r>
    </w:p>
    <w:p>
      <w:pPr>
        <w:spacing w:line="360" w:lineRule="auto" w:before="0" w:after="0"/>
        <w:ind w:firstLine="0"/>
      </w:pPr>
      <w:r>
        <w:rPr>
          <w:rFonts w:ascii="宋体" w:hAnsi="宋体" w:eastAsia="宋体"/>
          <w:b/>
          <w:sz w:val="24"/>
        </w:rPr>
        <w:t>第三类：资料学习与知识组织型工具</w:t>
      </w:r>
    </w:p>
    <w:p>
      <w:pPr>
        <w:spacing w:line="360" w:lineRule="auto" w:before="0" w:after="0"/>
        <w:ind w:firstLine="420"/>
      </w:pPr>
      <w:r>
        <w:rPr>
          <w:rFonts w:ascii="宋体" w:hAnsi="宋体" w:eastAsia="宋体"/>
          <w:b w:val="0"/>
          <w:sz w:val="24"/>
        </w:rPr>
        <w:t>以 Quizlet 的 Study Guides、Ask Quizlet 等能力为代表，这类产品更擅长把已有材料转化成可学资源，例如生成学习指南、抽取闪卡、围绕资料做解释、帮用户快速整理学习内容。</w:t>
      </w:r>
    </w:p>
    <w:p>
      <w:pPr>
        <w:spacing w:line="360" w:lineRule="auto" w:before="0" w:after="0"/>
        <w:ind w:firstLine="420"/>
      </w:pPr>
      <w:r>
        <w:rPr>
          <w:rFonts w:ascii="宋体" w:hAnsi="宋体" w:eastAsia="宋体"/>
          <w:b w:val="0"/>
          <w:sz w:val="24"/>
        </w:rPr>
        <w:t>这一方向解决的是“把资料变成更容易学的形式”，非常适合复习、资料整理和短周期备考。但它通常仍围绕“资料组织”或“学习材料加工”展开，对于执行推进、任务回流、行为留痕、长期成长反馈的关注相对不足。</w:t>
      </w:r>
    </w:p>
    <w:p>
      <w:pPr>
        <w:spacing w:line="360" w:lineRule="auto" w:before="0" w:after="0"/>
        <w:ind w:firstLine="0"/>
      </w:pPr>
      <w:r>
        <w:rPr>
          <w:rFonts w:ascii="宋体" w:hAnsi="宋体" w:eastAsia="宋体"/>
          <w:b/>
          <w:sz w:val="24"/>
        </w:rPr>
        <w:t>星火的切入点</w:t>
      </w:r>
    </w:p>
    <w:p>
      <w:pPr>
        <w:spacing w:line="360" w:lineRule="auto" w:before="0" w:after="0"/>
        <w:ind w:firstLine="420"/>
      </w:pPr>
      <w:r>
        <w:rPr>
          <w:rFonts w:ascii="宋体" w:hAnsi="宋体" w:eastAsia="宋体"/>
          <w:b w:val="0"/>
          <w:sz w:val="24"/>
        </w:rPr>
        <w:t>星火并不是要和上述产品在单一能力上逐项竞争，而是要解决一个更系统的问题：当用户的学习目标是长期的、跨知识点的、带有执行成本和动力波动的，系统如何持续感知用户状态、帮助用户厘清问题、生成路径、推进执行，并把结果继续沉淀成后续成长资产。</w:t>
      </w:r>
    </w:p>
    <w:p>
      <w:pPr>
        <w:spacing w:line="360" w:lineRule="auto" w:before="0" w:after="0"/>
        <w:ind w:firstLine="420"/>
      </w:pPr>
      <w:r>
        <w:rPr>
          <w:rFonts w:ascii="宋体" w:hAnsi="宋体" w:eastAsia="宋体"/>
          <w:b w:val="0"/>
          <w:sz w:val="24"/>
        </w:rPr>
        <w:t>这也是星火选择“成长系统”而不是“答题工具”“学习资料工具”或“单轮学习对话工具”作为核心定位的原因。</w:t>
      </w:r>
    </w:p>
    <w:p>
      <w:pPr>
        <w:spacing w:line="360" w:lineRule="auto" w:before="0" w:after="0"/>
        <w:ind w:firstLine="420"/>
      </w:pPr>
      <w:r>
        <w:rPr>
          <w:rFonts w:ascii="宋体" w:hAnsi="宋体" w:eastAsia="宋体"/>
          <w:b w:val="0"/>
          <w:sz w:val="24"/>
        </w:rPr>
        <w:t>图 A2 建议插入位置：本节之后。 图题：学习产品演进坐标。 图说：横轴为“对长期状态的理解深度”，纵轴为“对执行闭环的支持程度”，展示星火与三类典型产品的差异化位置。</w:t>
      </w:r>
    </w:p>
    <w:p>
      <w:pPr>
        <w:pStyle w:val="3"/>
        <w:ind w:firstLine="480"/>
      </w:pPr>
    </w:p>
    <w:p>
      <w:pPr>
        <w:pStyle w:val="3"/>
        <w:ind w:firstLine="480"/>
      </w:pPr>
    </w:p>
    <w:p>
      <w:pPr>
        <w:pStyle w:val="3"/>
        <w:ind w:firstLine="480"/>
      </w:pPr>
    </w:p>
    <w:p>
      <w:pPr>
        <w:pStyle w:val="3"/>
        <w:ind w:firstLine="480"/>
      </w:pPr>
    </w:p>
    <w:p>
      <w:pPr>
        <w:pStyle w:val="3"/>
        <w:ind w:firstLine="480"/>
        <w:sectPr>
          <w:footerReference r:id="rId8" w:type="first"/>
          <w:pgSz w:w="11906" w:h="16838"/>
          <w:pgMar w:top="1440" w:right="1800" w:bottom="1440" w:left="1800" w:header="851" w:footer="992" w:gutter="0"/>
          <w:pgNumType w:start="1"/>
          <w:cols w:space="425" w:num="1"/>
          <w:docGrid w:type="lines" w:linePitch="312" w:charSpace="0"/>
        </w:sectPr>
      </w:pPr>
    </w:p>
    <w:p>
      <w:pPr>
        <w:pStyle w:val="2"/>
      </w:pPr>
      <w:bookmarkStart w:id="14" w:name="_Toc56711141"/>
      <w:bookmarkStart w:id="15" w:name="_Toc56710843"/>
      <w:bookmarkStart w:id="16" w:name="_Toc56711388"/>
      <w:bookmarkStart w:id="17" w:name="_Toc56710950"/>
      <w:bookmarkStart w:id="18" w:name="_Toc56720945"/>
      <w:commentRangeStart w:id="14"/>
      <w:r>
        <w:rPr>
          <w:rFonts w:hint="eastAsia"/>
        </w:rPr>
        <w:t>项目创新点</w:t>
      </w:r>
      <w:commentRangeEnd w:id="14"/>
      <w:r>
        <w:rPr>
          <w:rStyle w:val="64"/>
          <w:rFonts w:asciiTheme="minorHAnsi" w:hAnsiTheme="minorHAnsi" w:eastAsiaTheme="minorEastAsia"/>
          <w:b w:val="0"/>
          <w:bCs w:val="0"/>
          <w:kern w:val="2"/>
        </w:rPr>
        <w:commentReference w:id="14"/>
      </w:r>
      <w:bookmarkEnd w:id="14"/>
      <w:bookmarkEnd w:id="15"/>
      <w:bookmarkEnd w:id="16"/>
      <w:bookmarkEnd w:id="17"/>
      <w:bookmarkEnd w:id="18"/>
    </w:p>
    <w:p>
      <w:pPr>
        <w:pStyle w:val="4"/>
      </w:pPr>
      <w:bookmarkStart w:id="19" w:name="_Toc56720946"/>
      <w:bookmarkStart w:id="20" w:name="_Toc56711142"/>
      <w:bookmarkStart w:id="21" w:name="_Toc56710844"/>
      <w:bookmarkStart w:id="22" w:name="_Toc56710951"/>
      <w:bookmarkStart w:id="23" w:name="_Toc56711389"/>
      <w:r>
        <w:rPr>
          <w:rFonts w:hint="eastAsia"/>
        </w:rPr>
        <w:t>技术性创新点</w:t>
      </w:r>
      <w:bookmarkEnd w:id="19"/>
      <w:bookmarkEnd w:id="20"/>
      <w:bookmarkEnd w:id="21"/>
      <w:bookmarkEnd w:id="22"/>
      <w:bookmarkEnd w:id="23"/>
    </w:p>
    <w:p>
      <w:pPr>
        <w:spacing w:line="360" w:lineRule="auto" w:before="0" w:after="0"/>
        <w:ind w:firstLine="0"/>
      </w:pPr>
      <w:r>
        <w:rPr>
          <w:rFonts w:ascii="宋体" w:hAnsi="宋体" w:eastAsia="宋体"/>
          <w:b/>
          <w:sz w:val="24"/>
        </w:rPr>
        <w:t>创新点一：OpenClaw 执行闭环，把学习系统从建议层推进到执行层</w:t>
      </w:r>
    </w:p>
    <w:p>
      <w:pPr>
        <w:spacing w:line="360" w:lineRule="auto" w:before="0" w:after="0"/>
        <w:ind w:firstLine="420"/>
      </w:pPr>
      <w:r>
        <w:rPr>
          <w:rFonts w:ascii="宋体" w:hAnsi="宋体" w:eastAsia="宋体"/>
          <w:b w:val="0"/>
          <w:sz w:val="24"/>
        </w:rPr>
        <w:t>星火最具代表性的创新之一，是将 OpenClaw 接入学习主链，并不是简单地“接了一个更会干活的 Agent”，而是构建了一条带有结构化意图、执行路由、安全边界、信任评估和结果回流的执行闭环。</w:t>
      </w:r>
    </w:p>
    <w:p>
      <w:pPr>
        <w:spacing w:line="360" w:lineRule="auto" w:before="0" w:after="0"/>
        <w:ind w:firstLine="420"/>
      </w:pPr>
      <w:r>
        <w:rPr>
          <w:rFonts w:ascii="宋体" w:hAnsi="宋体" w:eastAsia="宋体"/>
          <w:b w:val="0"/>
          <w:sz w:val="24"/>
        </w:rPr>
        <w:t>在这条链路中，系统先通过 `ExecutionIntent` 对任务进行结构化表达，再由 `ExecutionRouter` 决定什么任务适合自动执行、什么任务必须保留在人类侧，最后通过 `TrustEngine` 评估结果是否足够可信、能否进入后续任务与知识状态更新。这意味着星火不是在“调用一个外部工具”，而是在“用一套学习语境下的治理机制去管理外部执行能力”。</w:t>
      </w:r>
    </w:p>
    <w:p>
      <w:pPr>
        <w:spacing w:line="360" w:lineRule="auto" w:before="0" w:after="0"/>
        <w:ind w:firstLine="420"/>
      </w:pPr>
      <w:r>
        <w:rPr>
          <w:rFonts w:ascii="宋体" w:hAnsi="宋体" w:eastAsia="宋体"/>
          <w:b w:val="0"/>
          <w:sz w:val="24"/>
        </w:rPr>
        <w:t>与当前主流学习 AI 相比，这个创新最关键的地方在于：星火不满足于“告诉用户下一步该做什么”，而是尝试在合适边界内“帮助用户把下一步推进出去，并把执行结果纳回学习系统”。这让它从学习建议产品，走向了具备行动推进能力的学习成长系统。</w:t>
      </w:r>
    </w:p>
    <w:p>
      <w:pPr>
        <w:spacing w:line="360" w:lineRule="auto" w:before="0" w:after="0"/>
        <w:ind w:firstLine="0"/>
      </w:pPr>
      <w:r>
        <w:rPr>
          <w:rFonts w:ascii="宋体" w:hAnsi="宋体" w:eastAsia="宋体"/>
          <w:b/>
          <w:sz w:val="24"/>
        </w:rPr>
        <w:t>创新点二：Mirofish 多 Agent 协作，把复杂学习问题从单点回答升级为专家协作</w:t>
      </w:r>
    </w:p>
    <w:p>
      <w:pPr>
        <w:spacing w:line="360" w:lineRule="auto" w:before="0" w:after="0"/>
        <w:ind w:firstLine="420"/>
      </w:pPr>
      <w:r>
        <w:rPr>
          <w:rFonts w:ascii="宋体" w:hAnsi="宋体" w:eastAsia="宋体"/>
          <w:b w:val="0"/>
          <w:sz w:val="24"/>
        </w:rPr>
        <w:t>复杂学习任务往往天然跨多个能力域，例如一个期末备考问题同时涉及知识诊断、时间规划、错题复盘、学习路径安排和短期激励。如果系统始终只用一个大模型人格来处理全部问题，就很容易在深度、解释性和可控性上出现瓶颈。</w:t>
      </w:r>
    </w:p>
    <w:p>
      <w:pPr>
        <w:spacing w:line="360" w:lineRule="auto" w:before="0" w:after="0"/>
        <w:ind w:firstLine="420"/>
      </w:pPr>
      <w:r>
        <w:rPr>
          <w:rFonts w:ascii="宋体" w:hAnsi="宋体" w:eastAsia="宋体"/>
          <w:b w:val="0"/>
          <w:sz w:val="24"/>
        </w:rPr>
        <w:t>星火的 Mirofish 多 Agent 体系基于 LangGraph StateGraph 构建，不同专家节点可以按照 single、sequential、parallel、debate、delegation 等模式参与同一问题。知识星图导航、考试预测、时间管理、错误分析、数学、编程、写作等节点各有边界，再由聚合节点输出统一结果。</w:t>
      </w:r>
    </w:p>
    <w:p>
      <w:pPr>
        <w:spacing w:line="360" w:lineRule="auto" w:before="0" w:after="0"/>
        <w:ind w:firstLine="420"/>
      </w:pPr>
      <w:r>
        <w:rPr>
          <w:rFonts w:ascii="宋体" w:hAnsi="宋体" w:eastAsia="宋体"/>
          <w:b w:val="0"/>
          <w:sz w:val="24"/>
        </w:rPr>
        <w:t>它的创新并不只是“角色多”，而是把学习问题从黑盒回答，改造成可组织、可拆分、可协作、可重规划的工作流问题。这让复杂问题不再依赖单次提示词质量，而依赖一套结构化协作机制。</w:t>
      </w:r>
    </w:p>
    <w:p>
      <w:pPr>
        <w:spacing w:line="360" w:lineRule="auto" w:before="0" w:after="0"/>
        <w:ind w:firstLine="0"/>
      </w:pPr>
      <w:r>
        <w:rPr>
          <w:rFonts w:ascii="宋体" w:hAnsi="宋体" w:eastAsia="宋体"/>
          <w:b/>
          <w:sz w:val="24"/>
        </w:rPr>
        <w:t>创新点三：GraphRAG + 知识星图，让学习不再停留在语义匹配</w:t>
      </w:r>
    </w:p>
    <w:p>
      <w:pPr>
        <w:spacing w:line="360" w:lineRule="auto" w:before="0" w:after="0"/>
        <w:ind w:firstLine="420"/>
      </w:pPr>
      <w:r>
        <w:rPr>
          <w:rFonts w:ascii="宋体" w:hAnsi="宋体" w:eastAsia="宋体"/>
          <w:b w:val="0"/>
          <w:sz w:val="24"/>
        </w:rPr>
        <w:t>教育场景中的知识关系不是简单的“文本相似”，而是“前置-递进-应用-易混-迁移”等多种结构关系。如果产品只能做向量相似搜索，它可以快速找出相关内容，却很难真正回答“我应该先学什么、为什么这里总出错、这个知识点和我当前路径的关系是什么”。</w:t>
      </w:r>
    </w:p>
    <w:p>
      <w:pPr>
        <w:spacing w:line="360" w:lineRule="auto" w:before="0" w:after="0"/>
        <w:ind w:firstLine="420"/>
      </w:pPr>
      <w:r>
        <w:rPr>
          <w:rFonts w:ascii="宋体" w:hAnsi="宋体" w:eastAsia="宋体"/>
          <w:b w:val="0"/>
          <w:sz w:val="24"/>
        </w:rPr>
        <w:t>星火把 GraphRAG 与知识星图结合起来，让系统不仅能找到“像什么”，还能理解“为什么相关”“路径怎么走”“哪里断了”。对于评委来说，这一点非常重要，因为它体现的不是一般意义上的 AI 检索增强，而是面向真实学习路径的知识组织创新。</w:t>
      </w:r>
    </w:p>
    <w:p>
      <w:pPr>
        <w:spacing w:line="360" w:lineRule="auto" w:before="0" w:after="0"/>
        <w:ind w:firstLine="0"/>
      </w:pPr>
      <w:r>
        <w:rPr>
          <w:rFonts w:ascii="宋体" w:hAnsi="宋体" w:eastAsia="宋体"/>
          <w:b/>
          <w:sz w:val="24"/>
        </w:rPr>
        <w:t>创新点四：双核编排，让认知理解和执行推进协同而非混杂</w:t>
      </w:r>
    </w:p>
    <w:p>
      <w:pPr>
        <w:spacing w:line="360" w:lineRule="auto" w:before="0" w:after="0"/>
        <w:ind w:firstLine="420"/>
      </w:pPr>
      <w:r>
        <w:rPr>
          <w:rFonts w:ascii="宋体" w:hAnsi="宋体" w:eastAsia="宋体"/>
          <w:b w:val="0"/>
          <w:sz w:val="24"/>
        </w:rPr>
        <w:t>很多 AI 产品把画像、理解、规划、工具调用、输出结果全部堆进同一个推理管线中，导致个性化、执行性和安全性相互牵扯。星火将系统划分为认知核与执行核：认知核负责持续理解用户的状态、节奏、偏好与动机，执行核负责判断信息是否充分、计划如何生成、执行是否适合外放、结果如何回流。</w:t>
      </w:r>
    </w:p>
    <w:p>
      <w:pPr>
        <w:spacing w:line="360" w:lineRule="auto" w:before="0" w:after="0"/>
        <w:ind w:firstLine="420"/>
      </w:pPr>
      <w:r>
        <w:rPr>
          <w:rFonts w:ascii="宋体" w:hAnsi="宋体" w:eastAsia="宋体"/>
          <w:b w:val="0"/>
          <w:sz w:val="24"/>
        </w:rPr>
        <w:t>这让系统可以同时具备长期个性化和当前任务执行力，不必在“会理解你”和“能推进事情”之间做二选一。</w:t>
      </w:r>
    </w:p>
    <w:p>
      <w:pPr>
        <w:spacing w:line="360" w:lineRule="auto" w:before="0" w:after="0"/>
        <w:ind w:firstLine="420"/>
      </w:pPr>
      <w:r>
        <w:rPr>
          <w:rFonts w:ascii="宋体" w:hAnsi="宋体" w:eastAsia="宋体"/>
          <w:b w:val="0"/>
          <w:sz w:val="24"/>
        </w:rPr>
        <w:t>图 A3 建议插入位置：2.1 之后。 图题：星火的四项核心技术创新。 图说：以中心辐射结构展示 OpenClaw 执行闭环、Mirofish 多 Agent、GraphRAG 知识星图、双核编排四项技术创新如何共同支撑学习成长主链。</w:t>
      </w:r>
    </w:p>
    <w:p>
      <w:pPr>
        <w:pStyle w:val="4"/>
      </w:pPr>
      <w:bookmarkStart w:id="24" w:name="_Toc56720947"/>
      <w:r>
        <w:rPr>
          <w:rFonts w:hint="eastAsia"/>
        </w:rPr>
        <w:t>功能性创新点</w:t>
      </w:r>
      <w:bookmarkEnd w:id="24"/>
    </w:p>
    <w:p>
      <w:pPr>
        <w:spacing w:line="360" w:lineRule="auto" w:before="0" w:after="0"/>
        <w:ind w:firstLine="0"/>
      </w:pPr>
      <w:r>
        <w:rPr>
          <w:rFonts w:ascii="宋体" w:hAnsi="宋体" w:eastAsia="宋体"/>
          <w:b/>
          <w:sz w:val="24"/>
        </w:rPr>
        <w:t>创新点一：把学习闭环产品化，而不是把功能堆砌在一个 App 里</w:t>
      </w:r>
    </w:p>
    <w:p>
      <w:pPr>
        <w:spacing w:line="360" w:lineRule="auto" w:before="0" w:after="0"/>
        <w:ind w:firstLine="420"/>
      </w:pPr>
      <w:r>
        <w:rPr>
          <w:rFonts w:ascii="宋体" w:hAnsi="宋体" w:eastAsia="宋体"/>
          <w:b w:val="0"/>
          <w:sz w:val="24"/>
        </w:rPr>
        <w:t>星火真正想做的不是“多几个功能页面”，而是把用户学习过程拆成连续阶段并通过产品体验串起来：提出目标、澄清背景、生成计划、拆分任务、推进执行、记录反馈、更新状态、形成报告，再反过来影响下一轮学习。</w:t>
      </w:r>
    </w:p>
    <w:p>
      <w:pPr>
        <w:spacing w:line="360" w:lineRule="auto" w:before="0" w:after="0"/>
        <w:ind w:firstLine="420"/>
      </w:pPr>
      <w:r>
        <w:rPr>
          <w:rFonts w:ascii="宋体" w:hAnsi="宋体" w:eastAsia="宋体"/>
          <w:b w:val="0"/>
          <w:sz w:val="24"/>
        </w:rPr>
        <w:t>这意味着系统的核心设计单位不再是“一个页面”或“一个按钮”，而是“一个能被持续推进的成长链条”。</w:t>
      </w:r>
    </w:p>
    <w:p>
      <w:pPr>
        <w:spacing w:line="360" w:lineRule="auto" w:before="0" w:after="0"/>
        <w:ind w:firstLine="0"/>
      </w:pPr>
      <w:r>
        <w:rPr>
          <w:rFonts w:ascii="宋体" w:hAnsi="宋体" w:eastAsia="宋体"/>
          <w:b/>
          <w:sz w:val="24"/>
        </w:rPr>
        <w:t>创新点二：知识星图把成长从抽象概念变成可见资产</w:t>
      </w:r>
    </w:p>
    <w:p>
      <w:pPr>
        <w:spacing w:line="360" w:lineRule="auto" w:before="0" w:after="0"/>
        <w:ind w:firstLine="420"/>
      </w:pPr>
      <w:r>
        <w:rPr>
          <w:rFonts w:ascii="宋体" w:hAnsi="宋体" w:eastAsia="宋体"/>
          <w:b w:val="0"/>
          <w:sz w:val="24"/>
        </w:rPr>
        <w:t>在传统学习产品中，成长往往是隐形的，用户只能看到今日完成了什么，很难看到自己在长期知识结构中点亮了哪些区域。知识星图将学习结构、掌握度变化、前置关系和遗忘趋势可视化，让成长从“我感觉我进步了”变成“我能看到我在哪里变强了”。</w:t>
      </w:r>
    </w:p>
    <w:p>
      <w:pPr>
        <w:spacing w:line="360" w:lineRule="auto" w:before="0" w:after="0"/>
        <w:ind w:firstLine="420"/>
      </w:pPr>
      <w:r>
        <w:rPr>
          <w:rFonts w:ascii="宋体" w:hAnsi="宋体" w:eastAsia="宋体"/>
          <w:b w:val="0"/>
          <w:sz w:val="24"/>
        </w:rPr>
        <w:t>这类可视化不是装饰，它直接作用于动力系统，因为它把反馈周期从结果发生之后，提前到了成长过程本身。</w:t>
      </w:r>
    </w:p>
    <w:p>
      <w:pPr>
        <w:spacing w:line="360" w:lineRule="auto" w:before="0" w:after="0"/>
        <w:ind w:firstLine="0"/>
      </w:pPr>
      <w:r>
        <w:rPr>
          <w:rFonts w:ascii="宋体" w:hAnsi="宋体" w:eastAsia="宋体"/>
          <w:b/>
          <w:sz w:val="24"/>
        </w:rPr>
        <w:t>创新点三：报告、剧场与模拟让系统具备“反思”和“预演”能力</w:t>
      </w:r>
    </w:p>
    <w:p>
      <w:pPr>
        <w:spacing w:line="360" w:lineRule="auto" w:before="0" w:after="0"/>
        <w:ind w:firstLine="420"/>
      </w:pPr>
      <w:r>
        <w:rPr>
          <w:rFonts w:ascii="宋体" w:hAnsi="宋体" w:eastAsia="宋体"/>
          <w:b w:val="0"/>
          <w:sz w:val="24"/>
        </w:rPr>
        <w:t>很多学习产品只处理当下任务，星火则进一步引入学习报告、知识剧场和学习模拟。报告负责帮助用户回顾状态，剧场负责帮助用户理解路径，模拟负责帮助用户以辩论、角色扮演、案例推演等方式更深入地消化知识。</w:t>
      </w:r>
    </w:p>
    <w:p>
      <w:pPr>
        <w:spacing w:line="360" w:lineRule="auto" w:before="0" w:after="0"/>
        <w:ind w:firstLine="420"/>
      </w:pPr>
      <w:r>
        <w:rPr>
          <w:rFonts w:ascii="宋体" w:hAnsi="宋体" w:eastAsia="宋体"/>
          <w:b w:val="0"/>
          <w:sz w:val="24"/>
        </w:rPr>
        <w:t>这让星火不只是“帮你做今天的事”，而是“帮你看清你为什么在这样学，以及下一步可能怎么学得更好”。</w:t>
      </w:r>
    </w:p>
    <w:p>
      <w:pPr>
        <w:spacing w:line="360" w:lineRule="auto" w:before="0" w:after="0"/>
        <w:ind w:firstLine="0"/>
      </w:pPr>
      <w:r>
        <w:rPr>
          <w:rFonts w:ascii="宋体" w:hAnsi="宋体" w:eastAsia="宋体"/>
          <w:b/>
          <w:sz w:val="24"/>
        </w:rPr>
        <w:t>创新点四：多感官成长反馈提升情绪连接和使用黏性</w:t>
      </w:r>
    </w:p>
    <w:p>
      <w:pPr>
        <w:spacing w:line="360" w:lineRule="auto" w:before="0" w:after="0"/>
        <w:ind w:firstLine="420"/>
      </w:pPr>
      <w:r>
        <w:rPr>
          <w:rFonts w:ascii="宋体" w:hAnsi="宋体" w:eastAsia="宋体"/>
          <w:b w:val="0"/>
          <w:sz w:val="24"/>
        </w:rPr>
        <w:t>路由级 BGM、触觉反馈、视觉动效、成就解锁、成长里程碑等设计，并不是为了制造表面的“高级感”，而是让成长反馈变得可感知、可记忆、可持续。对于长期学习产品而言，真正的竞争力不只是准确率，也包括用户愿不愿意长期留下来。</w:t>
      </w:r>
    </w:p>
    <w:p>
      <w:pPr>
        <w:spacing w:line="360" w:lineRule="auto" w:before="0" w:after="0"/>
        <w:ind w:firstLine="420"/>
      </w:pPr>
      <w:r>
        <w:rPr>
          <w:rFonts w:ascii="宋体" w:hAnsi="宋体" w:eastAsia="宋体"/>
          <w:b w:val="0"/>
          <w:sz w:val="24"/>
        </w:rPr>
        <w:t>图 A4 建议插入位置：2.2 之后。 图题：星火学习成长飞轮。 图说：中心为“星火”，外圈按“感知、澄清、规划、执行、反馈、强化、适应”排布，体现功能设计的连续性。</w:t>
      </w:r>
    </w:p>
    <w:p>
      <w:pPr>
        <w:pStyle w:val="4"/>
      </w:pPr>
      <w:bookmarkStart w:id="25" w:name="_Toc56720948"/>
      <w:r>
        <w:rPr>
          <w:rFonts w:hint="eastAsia"/>
        </w:rPr>
        <w:t>其他创新点</w:t>
      </w:r>
      <w:bookmarkEnd w:id="25"/>
    </w:p>
    <w:p>
      <w:pPr>
        <w:spacing w:line="360" w:lineRule="auto" w:before="0" w:after="0"/>
        <w:ind w:firstLine="0"/>
      </w:pPr>
      <w:r>
        <w:rPr>
          <w:rFonts w:ascii="宋体" w:hAnsi="宋体" w:eastAsia="宋体"/>
          <w:b/>
          <w:sz w:val="24"/>
        </w:rPr>
        <w:t>其他创新点一：工程可解释与可审查</w:t>
      </w:r>
    </w:p>
    <w:p>
      <w:pPr>
        <w:spacing w:line="360" w:lineRule="auto" w:before="0" w:after="0"/>
        <w:ind w:firstLine="420"/>
      </w:pPr>
      <w:r>
        <w:rPr>
          <w:rFonts w:ascii="宋体" w:hAnsi="宋体" w:eastAsia="宋体"/>
          <w:b w:val="0"/>
          <w:sz w:val="24"/>
        </w:rPr>
        <w:t>星火的很多高级能力都采用显式建模而不是黑盒化做法，例如多 Agent 协作模式显式化、ExecutionIntent 显式化、信任等级显式化、回流链路显式化。这样做会增加工程复杂度，但换来的是更高的可解释性、可测试性和可审查性。</w:t>
      </w:r>
    </w:p>
    <w:p>
      <w:pPr>
        <w:spacing w:line="360" w:lineRule="auto" w:before="0" w:after="0"/>
        <w:ind w:firstLine="420"/>
      </w:pPr>
      <w:r>
        <w:rPr>
          <w:rFonts w:ascii="宋体" w:hAnsi="宋体" w:eastAsia="宋体"/>
          <w:b w:val="0"/>
          <w:sz w:val="24"/>
        </w:rPr>
        <w:t>在比赛场景下，这一点尤其重要，因为评委不仅要看“做出来了什么”，还要看“你们是否真正理解了系统为什么这样工作”。</w:t>
      </w:r>
    </w:p>
    <w:p>
      <w:pPr>
        <w:spacing w:line="360" w:lineRule="auto" w:before="0" w:after="0"/>
        <w:ind w:firstLine="0"/>
      </w:pPr>
      <w:r>
        <w:rPr>
          <w:rFonts w:ascii="宋体" w:hAnsi="宋体" w:eastAsia="宋体"/>
          <w:b/>
          <w:sz w:val="24"/>
        </w:rPr>
        <w:t>其他创新点二：面向真实落地的异构架构</w:t>
      </w:r>
    </w:p>
    <w:p>
      <w:pPr>
        <w:spacing w:line="360" w:lineRule="auto" w:before="0" w:after="0"/>
        <w:ind w:firstLine="420"/>
      </w:pPr>
      <w:r>
        <w:rPr>
          <w:rFonts w:ascii="宋体" w:hAnsi="宋体" w:eastAsia="宋体"/>
          <w:b w:val="0"/>
          <w:sz w:val="24"/>
        </w:rPr>
        <w:t>Flutter、Go Gateway、Python AI Engine 的三层异构架构不是为了“看起来复杂”，而是基于职责差异做出的系统级拆分：移动端体验、多感官交互和跨平台 UI 适合 Flutter；高并发接入和实时连接管理适合 Go；AI 编排、模型接入和知识推理适合 Python。</w:t>
      </w:r>
    </w:p>
    <w:p>
      <w:pPr>
        <w:spacing w:line="360" w:lineRule="auto" w:before="0" w:after="0"/>
        <w:ind w:firstLine="420"/>
      </w:pPr>
      <w:r>
        <w:rPr>
          <w:rFonts w:ascii="宋体" w:hAnsi="宋体" w:eastAsia="宋体"/>
          <w:b w:val="0"/>
          <w:sz w:val="24"/>
        </w:rPr>
        <w:t>这意味着星火的创新并不只停留在算法或页面上，也体现在系统工程设计本身。</w:t>
      </w:r>
    </w:p>
    <w:p>
      <w:pPr>
        <w:spacing w:line="360" w:lineRule="auto" w:before="0" w:after="0"/>
        <w:ind w:firstLine="0"/>
      </w:pPr>
      <w:r>
        <w:rPr>
          <w:rFonts w:ascii="宋体" w:hAnsi="宋体" w:eastAsia="宋体"/>
          <w:b/>
          <w:sz w:val="24"/>
        </w:rPr>
        <w:t>其他创新点三：将责任边界显式写入系统</w:t>
      </w:r>
    </w:p>
    <w:p>
      <w:pPr>
        <w:spacing w:line="360" w:lineRule="auto" w:before="0" w:after="0"/>
        <w:ind w:firstLine="420"/>
      </w:pPr>
      <w:r>
        <w:rPr>
          <w:rFonts w:ascii="宋体" w:hAnsi="宋体" w:eastAsia="宋体"/>
          <w:b w:val="0"/>
          <w:sz w:val="24"/>
        </w:rPr>
        <w:t>星火对高风险能力采用保守治理，例如审批节点、执行边界、信任等级、结果回流条件等，这使得系统在拥抱 Agent 能力的同时，也尽量避免“什么都能做、但谁都无法解释”的失控状态。这种责任边界意识本身就是项目成熟度的重要体现。</w:t>
      </w:r>
    </w:p>
    <w:p>
      <w:pPr>
        <w:spacing w:line="360" w:lineRule="auto" w:before="0" w:after="0"/>
        <w:ind w:firstLine="420"/>
      </w:pPr>
      <w:r>
        <w:rPr>
          <w:rFonts w:ascii="宋体" w:hAnsi="宋体" w:eastAsia="宋体"/>
          <w:b w:val="0"/>
          <w:sz w:val="24"/>
        </w:rPr>
        <w:t>图 A5 建议插入位置：2.3 之后。 图题：星火异构架构与责任边界图。 图说：展示移动端、网关、AI 引擎、OpenClaw 与数据层之间的边界关系，突出“智能增强”与“安全治理”并存的设计思路。</w:t>
      </w:r>
    </w:p>
    <w:p>
      <w:pPr>
        <w:pStyle w:val="3"/>
        <w:ind w:firstLine="480"/>
      </w:pPr>
    </w:p>
    <w:p>
      <w:pPr>
        <w:pStyle w:val="3"/>
        <w:ind w:firstLine="480"/>
      </w:pPr>
    </w:p>
    <w:p>
      <w:pPr>
        <w:pStyle w:val="3"/>
        <w:ind w:firstLine="480"/>
      </w:pPr>
    </w:p>
    <w:p>
      <w:pPr>
        <w:pStyle w:val="3"/>
        <w:ind w:firstLine="480"/>
      </w:pPr>
    </w:p>
    <w:p>
      <w:pPr>
        <w:pStyle w:val="3"/>
        <w:ind w:firstLine="480"/>
      </w:pPr>
    </w:p>
    <w:p>
      <w:pPr>
        <w:ind w:firstLine="480"/>
        <w:sectPr>
          <w:pgSz w:w="11906" w:h="16838"/>
          <w:pgMar w:top="1440" w:right="1800" w:bottom="1440" w:left="1800" w:header="851" w:footer="992" w:gutter="0"/>
          <w:cols w:space="425" w:num="1"/>
          <w:docGrid w:type="lines" w:linePitch="312" w:charSpace="0"/>
        </w:sectPr>
      </w:pPr>
    </w:p>
    <w:p>
      <w:pPr>
        <w:pStyle w:val="2"/>
      </w:pPr>
      <w:commentRangeStart w:id="15"/>
      <w:bookmarkStart w:id="26" w:name="_Toc56720949"/>
      <w:bookmarkStart w:id="27" w:name="_Toc56710855"/>
      <w:bookmarkStart w:id="28" w:name="_Toc56710962"/>
      <w:bookmarkStart w:id="29" w:name="_Toc56711153"/>
      <w:bookmarkStart w:id="30" w:name="_Toc56711400"/>
      <w:r>
        <w:rPr>
          <w:rFonts w:hint="eastAsia"/>
        </w:rPr>
        <w:t>竞品分析</w:t>
      </w:r>
      <w:bookmarkEnd w:id="1"/>
      <w:bookmarkEnd w:id="2"/>
      <w:bookmarkEnd w:id="3"/>
      <w:bookmarkEnd w:id="4"/>
      <w:bookmarkEnd w:id="5"/>
      <w:bookmarkEnd w:id="6"/>
      <w:bookmarkEnd w:id="7"/>
      <w:bookmarkEnd w:id="26"/>
      <w:bookmarkEnd w:id="27"/>
      <w:bookmarkEnd w:id="28"/>
      <w:bookmarkEnd w:id="29"/>
      <w:bookmarkEnd w:id="30"/>
      <w:commentRangeEnd w:id="15"/>
      <w:r>
        <w:rPr>
          <w:rStyle w:val="64"/>
          <w:rFonts w:asciiTheme="minorHAnsi" w:hAnsiTheme="minorHAnsi" w:eastAsiaTheme="minorEastAsia"/>
          <w:b w:val="0"/>
          <w:bCs w:val="0"/>
          <w:kern w:val="2"/>
        </w:rPr>
        <w:commentReference w:id="15"/>
      </w:r>
      <w:bookmarkStart w:id="31" w:name="_Toc255826542"/>
      <w:bookmarkEnd w:id="31"/>
    </w:p>
    <w:p>
      <w:pPr>
        <w:spacing w:line="360" w:lineRule="auto" w:before="0" w:after="0"/>
        <w:ind w:firstLine="420"/>
      </w:pPr>
      <w:r>
        <w:rPr>
          <w:rFonts w:ascii="宋体" w:hAnsi="宋体" w:eastAsia="宋体"/>
          <w:b w:val="0"/>
          <w:sz w:val="24"/>
        </w:rPr>
        <w:t>为了避免只比较“有没有某个功能”，本报告从评委最容易看懂且最能体现差异化的六个维度比较星火与当前典型产品：</w:t>
      </w:r>
    </w:p>
    <w:p>
      <w:pPr>
        <w:spacing w:line="360" w:lineRule="auto" w:before="0" w:after="0"/>
        <w:ind w:firstLine="0"/>
      </w:pPr>
      <w:r>
        <w:rPr>
          <w:rFonts w:ascii="宋体" w:hAnsi="宋体" w:eastAsia="宋体"/>
          <w:b w:val="0"/>
          <w:sz w:val="24"/>
        </w:rPr>
        <w:t>1. 是否理解用户长期学习状态，而非只响应单次输入。</w:t>
      </w:r>
    </w:p>
    <w:p>
      <w:pPr>
        <w:spacing w:line="360" w:lineRule="auto" w:before="0" w:after="0"/>
        <w:ind w:firstLine="0"/>
      </w:pPr>
      <w:r>
        <w:rPr>
          <w:rFonts w:ascii="宋体" w:hAnsi="宋体" w:eastAsia="宋体"/>
          <w:b w:val="0"/>
          <w:sz w:val="24"/>
        </w:rPr>
        <w:t>2. 是否具备知识结构化能力，而非只做答案返回或资料加工。</w:t>
      </w:r>
    </w:p>
    <w:p>
      <w:pPr>
        <w:spacing w:line="360" w:lineRule="auto" w:before="0" w:after="0"/>
        <w:ind w:firstLine="0"/>
      </w:pPr>
      <w:r>
        <w:rPr>
          <w:rFonts w:ascii="宋体" w:hAnsi="宋体" w:eastAsia="宋体"/>
          <w:b w:val="0"/>
          <w:sz w:val="24"/>
        </w:rPr>
        <w:t>3. 是否支持从建议走向执行推进，而非停留在讲解层。</w:t>
      </w:r>
    </w:p>
    <w:p>
      <w:pPr>
        <w:spacing w:line="360" w:lineRule="auto" w:before="0" w:after="0"/>
        <w:ind w:firstLine="0"/>
      </w:pPr>
      <w:r>
        <w:rPr>
          <w:rFonts w:ascii="宋体" w:hAnsi="宋体" w:eastAsia="宋体"/>
          <w:b w:val="0"/>
          <w:sz w:val="24"/>
        </w:rPr>
        <w:t>4. 是否具备长期成长反馈机制，而非只强调即时帮助。</w:t>
      </w:r>
    </w:p>
    <w:p>
      <w:pPr>
        <w:spacing w:line="360" w:lineRule="auto" w:before="0" w:after="0"/>
        <w:ind w:firstLine="0"/>
      </w:pPr>
      <w:r>
        <w:rPr>
          <w:rFonts w:ascii="宋体" w:hAnsi="宋体" w:eastAsia="宋体"/>
          <w:b w:val="0"/>
          <w:sz w:val="24"/>
        </w:rPr>
        <w:t>5. 是否在体验层兼顾沉浸感、可视化和持续激励。</w:t>
      </w:r>
    </w:p>
    <w:p>
      <w:pPr>
        <w:spacing w:line="360" w:lineRule="auto" w:before="0" w:after="0"/>
        <w:ind w:firstLine="0"/>
      </w:pPr>
      <w:r>
        <w:rPr>
          <w:rFonts w:ascii="宋体" w:hAnsi="宋体" w:eastAsia="宋体"/>
          <w:b w:val="0"/>
          <w:sz w:val="24"/>
        </w:rPr>
        <w:t>6. 是否在技术和工程层具备系统级闭环，而非单点功能增强。</w:t>
      </w:r>
    </w:p>
    <w:p>
      <w:pPr>
        <w:spacing w:line="360" w:lineRule="auto" w:before="0" w:after="0"/>
        <w:ind w:firstLine="420"/>
      </w:pPr>
      <w:r>
        <w:rPr>
          <w:rFonts w:ascii="宋体" w:hAnsi="宋体" w:eastAsia="宋体"/>
          <w:b w:val="0"/>
          <w:sz w:val="24"/>
        </w:rPr>
        <w:t>从这六个维度出发，可以更准确地说明：星火真正差异化的并不是某个孤立能力，而是多种能力在同一个成长系统里的组合方式。</w:t>
      </w:r>
    </w:p>
    <w:p>
      <w:pPr>
        <w:spacing w:line="360" w:lineRule="auto" w:before="0" w:after="0"/>
        <w:ind w:firstLine="420"/>
      </w:pPr>
      <w:r>
        <w:rPr>
          <w:rFonts w:ascii="宋体" w:hAnsi="宋体" w:eastAsia="宋体"/>
          <w:b w:val="0"/>
          <w:sz w:val="24"/>
        </w:rPr>
        <w:t>本节对比对象分为三层：</w:t>
      </w:r>
    </w:p>
    <w:p>
      <w:pPr>
        <w:spacing w:line="360" w:lineRule="auto" w:before="0" w:after="0"/>
        <w:ind w:firstLine="420"/>
      </w:pPr>
      <w:r>
        <w:rPr>
          <w:rFonts w:ascii="宋体" w:hAnsi="宋体" w:eastAsia="宋体"/>
          <w:b w:val="0"/>
          <w:sz w:val="24"/>
        </w:rPr>
        <w:t>第一层，通用学习对话型：ChatGPT Study Mode、Khanmigo。 第二层，作业/解题辅助型：StudyX、Gauth。 第三层，资料学习型：Quizlet 的 Study Guides 与 Ask Quizlet。</w:t>
      </w:r>
    </w:p>
    <w:p>
      <w:pPr>
        <w:spacing w:line="360" w:lineRule="auto" w:before="0" w:after="0"/>
        <w:ind w:firstLine="420"/>
      </w:pPr>
      <w:r>
        <w:rPr>
          <w:rFonts w:ascii="宋体" w:hAnsi="宋体" w:eastAsia="宋体"/>
          <w:b w:val="0"/>
          <w:sz w:val="24"/>
        </w:rPr>
        <w:t>这三类产品都很强，也各自代表了当前学习 AI 的主流方向。星火的比较目标不是否定它们，而是说明自己的路径不同：它不是更会讲题，也不是更会搜题，更不是更会整理资料，而是试图把“学习过程”做成可持续运行的系统。</w:t>
      </w:r>
    </w:p>
    <w:p>
      <w:pPr>
        <w:spacing w:line="360" w:lineRule="auto" w:before="0" w:after="0"/>
        <w:ind w:firstLine="420"/>
      </w:pPr>
      <w:r>
        <w:rPr>
          <w:rFonts w:ascii="宋体" w:hAnsi="宋体" w:eastAsia="宋体"/>
          <w:b w:val="0"/>
          <w:sz w:val="24"/>
        </w:rPr>
        <w:t>图 A6 建议插入位置：本节之后。 图题：竞品定位矩阵。 图说：横轴为“长期状态理解能力”，纵轴为“执行闭环能力”，将 ChatGPT Study Mode、Khanmigo、StudyX/Gauth、Quizlet、星火放入不同象限。</w:t>
      </w:r>
    </w:p>
    <w:tbl>
      <w:tblPr>
        <w:tblStyle w:val="38"/>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line="360" w:lineRule="auto" w:before="0" w:after="0"/>
              <w:ind w:firstLine="0"/>
            </w:pPr>
            <w:r>
              <w:rPr>
                <w:rFonts w:ascii="宋体" w:hAnsi="宋体" w:eastAsia="宋体"/>
                <w:b/>
                <w:sz w:val="19"/>
              </w:rPr>
              <w:t>维度</w:t>
            </w:r>
          </w:p>
        </w:tc>
        <w:tc>
          <w:tcPr>
            <w:tcW w:type="dxa" w:w="1512"/>
          </w:tcPr>
          <w:p>
            <w:pPr>
              <w:spacing w:line="360" w:lineRule="auto" w:before="0" w:after="0"/>
              <w:ind w:firstLine="0"/>
            </w:pPr>
            <w:r>
              <w:rPr>
                <w:rFonts w:ascii="宋体" w:hAnsi="宋体" w:eastAsia="宋体"/>
                <w:b/>
                <w:sz w:val="19"/>
              </w:rPr>
              <w:t>ChatGPT</w:t>
              <w:br/>
              <w:t>Study Mode</w:t>
            </w:r>
          </w:p>
        </w:tc>
        <w:tc>
          <w:tcPr>
            <w:tcW w:type="dxa" w:w="1512"/>
          </w:tcPr>
          <w:p>
            <w:pPr>
              <w:spacing w:line="360" w:lineRule="auto" w:before="0" w:after="0"/>
              <w:ind w:firstLine="0"/>
            </w:pPr>
            <w:r>
              <w:rPr>
                <w:rFonts w:ascii="宋体" w:hAnsi="宋体" w:eastAsia="宋体"/>
                <w:b/>
                <w:sz w:val="19"/>
              </w:rPr>
              <w:t>Khanmigo</w:t>
            </w:r>
          </w:p>
        </w:tc>
        <w:tc>
          <w:tcPr>
            <w:tcW w:type="dxa" w:w="1512"/>
          </w:tcPr>
          <w:p>
            <w:pPr>
              <w:spacing w:line="360" w:lineRule="auto" w:before="0" w:after="0"/>
              <w:ind w:firstLine="0"/>
            </w:pPr>
            <w:r>
              <w:rPr>
                <w:rFonts w:ascii="宋体" w:hAnsi="宋体" w:eastAsia="宋体"/>
                <w:b/>
                <w:sz w:val="19"/>
              </w:rPr>
              <w:t>StudyX /</w:t>
              <w:br/>
              <w:t>Gauth</w:t>
            </w:r>
          </w:p>
        </w:tc>
        <w:tc>
          <w:tcPr>
            <w:tcW w:type="dxa" w:w="1512"/>
          </w:tcPr>
          <w:p>
            <w:pPr>
              <w:spacing w:line="360" w:lineRule="auto" w:before="0" w:after="0"/>
              <w:ind w:firstLine="0"/>
            </w:pPr>
            <w:r>
              <w:rPr>
                <w:rFonts w:ascii="宋体" w:hAnsi="宋体" w:eastAsia="宋体"/>
                <w:b/>
                <w:sz w:val="19"/>
              </w:rPr>
              <w:t>Quizlet</w:t>
              <w:br/>
              <w:t>Study Tools</w:t>
            </w:r>
          </w:p>
        </w:tc>
        <w:tc>
          <w:tcPr>
            <w:tcW w:type="dxa" w:w="1512"/>
          </w:tcPr>
          <w:p>
            <w:pPr>
              <w:spacing w:line="360" w:lineRule="auto" w:before="0" w:after="0"/>
              <w:ind w:firstLine="0"/>
            </w:pPr>
            <w:r>
              <w:rPr>
                <w:rFonts w:ascii="宋体" w:hAnsi="宋体" w:eastAsia="宋体"/>
                <w:b/>
                <w:sz w:val="19"/>
              </w:rPr>
              <w:t>星火</w:t>
            </w:r>
          </w:p>
        </w:tc>
      </w:tr>
      <w:tr>
        <w:tc>
          <w:tcPr>
            <w:tcW w:type="dxa" w:w="1512"/>
          </w:tcPr>
          <w:p>
            <w:pPr>
              <w:spacing w:line="360" w:lineRule="auto" w:before="0" w:after="0"/>
              <w:ind w:firstLine="0"/>
            </w:pPr>
            <w:r>
              <w:rPr>
                <w:rFonts w:ascii="宋体" w:hAnsi="宋体" w:eastAsia="宋体"/>
                <w:b w:val="0"/>
                <w:sz w:val="19"/>
              </w:rPr>
              <w:t>长期状态理解</w:t>
            </w:r>
          </w:p>
        </w:tc>
        <w:tc>
          <w:tcPr>
            <w:tcW w:type="dxa" w:w="1512"/>
          </w:tcPr>
          <w:p>
            <w:pPr>
              <w:spacing w:line="360" w:lineRule="auto" w:before="0" w:after="0"/>
              <w:ind w:firstLine="0"/>
            </w:pPr>
            <w:r>
              <w:rPr>
                <w:rFonts w:ascii="宋体" w:hAnsi="宋体" w:eastAsia="宋体"/>
                <w:b w:val="0"/>
                <w:sz w:val="19"/>
              </w:rPr>
              <w:t>中</w:t>
            </w:r>
          </w:p>
        </w:tc>
        <w:tc>
          <w:tcPr>
            <w:tcW w:type="dxa" w:w="1512"/>
          </w:tcPr>
          <w:p>
            <w:pPr>
              <w:spacing w:line="360" w:lineRule="auto" w:before="0" w:after="0"/>
              <w:ind w:firstLine="0"/>
            </w:pPr>
            <w:r>
              <w:rPr>
                <w:rFonts w:ascii="宋体" w:hAnsi="宋体" w:eastAsia="宋体"/>
                <w:b w:val="0"/>
                <w:sz w:val="19"/>
              </w:rPr>
              <w:t>中-强</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强</w:t>
            </w:r>
          </w:p>
        </w:tc>
      </w:tr>
      <w:tr>
        <w:tc>
          <w:tcPr>
            <w:tcW w:type="dxa" w:w="1512"/>
          </w:tcPr>
          <w:p>
            <w:pPr>
              <w:spacing w:line="360" w:lineRule="auto" w:before="0" w:after="0"/>
              <w:ind w:firstLine="0"/>
            </w:pPr>
            <w:r>
              <w:rPr>
                <w:rFonts w:ascii="宋体" w:hAnsi="宋体" w:eastAsia="宋体"/>
                <w:b w:val="0"/>
                <w:sz w:val="19"/>
              </w:rPr>
              <w:t>知识结构化</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中</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中</w:t>
            </w:r>
          </w:p>
        </w:tc>
        <w:tc>
          <w:tcPr>
            <w:tcW w:type="dxa" w:w="1512"/>
          </w:tcPr>
          <w:p>
            <w:pPr>
              <w:spacing w:line="360" w:lineRule="auto" w:before="0" w:after="0"/>
              <w:ind w:firstLine="0"/>
            </w:pPr>
            <w:r>
              <w:rPr>
                <w:rFonts w:ascii="宋体" w:hAnsi="宋体" w:eastAsia="宋体"/>
                <w:b w:val="0"/>
                <w:sz w:val="19"/>
              </w:rPr>
              <w:t>强</w:t>
            </w:r>
          </w:p>
        </w:tc>
      </w:tr>
      <w:tr>
        <w:tc>
          <w:tcPr>
            <w:tcW w:type="dxa" w:w="1512"/>
          </w:tcPr>
          <w:p>
            <w:pPr>
              <w:spacing w:line="360" w:lineRule="auto" w:before="0" w:after="0"/>
              <w:ind w:firstLine="0"/>
            </w:pPr>
            <w:r>
              <w:rPr>
                <w:rFonts w:ascii="宋体" w:hAnsi="宋体" w:eastAsia="宋体"/>
                <w:b w:val="0"/>
                <w:sz w:val="19"/>
              </w:rPr>
              <w:t>执行闭环</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强</w:t>
            </w:r>
          </w:p>
        </w:tc>
      </w:tr>
      <w:tr>
        <w:tc>
          <w:tcPr>
            <w:tcW w:type="dxa" w:w="1512"/>
          </w:tcPr>
          <w:p>
            <w:pPr>
              <w:spacing w:line="360" w:lineRule="auto" w:before="0" w:after="0"/>
              <w:ind w:firstLine="0"/>
            </w:pPr>
            <w:r>
              <w:rPr>
                <w:rFonts w:ascii="宋体" w:hAnsi="宋体" w:eastAsia="宋体"/>
                <w:b w:val="0"/>
                <w:sz w:val="19"/>
              </w:rPr>
              <w:t>成长沉淀</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中</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中</w:t>
            </w:r>
          </w:p>
        </w:tc>
        <w:tc>
          <w:tcPr>
            <w:tcW w:type="dxa" w:w="1512"/>
          </w:tcPr>
          <w:p>
            <w:pPr>
              <w:spacing w:line="360" w:lineRule="auto" w:before="0" w:after="0"/>
              <w:ind w:firstLine="0"/>
            </w:pPr>
            <w:r>
              <w:rPr>
                <w:rFonts w:ascii="宋体" w:hAnsi="宋体" w:eastAsia="宋体"/>
                <w:b w:val="0"/>
                <w:sz w:val="19"/>
              </w:rPr>
              <w:t>强</w:t>
            </w:r>
          </w:p>
        </w:tc>
      </w:tr>
      <w:tr>
        <w:tc>
          <w:tcPr>
            <w:tcW w:type="dxa" w:w="1512"/>
          </w:tcPr>
          <w:p>
            <w:pPr>
              <w:spacing w:line="360" w:lineRule="auto" w:before="0" w:after="0"/>
              <w:ind w:firstLine="0"/>
            </w:pPr>
            <w:r>
              <w:rPr>
                <w:rFonts w:ascii="宋体" w:hAnsi="宋体" w:eastAsia="宋体"/>
                <w:b w:val="0"/>
                <w:sz w:val="19"/>
              </w:rPr>
              <w:t>资料与题目支持</w:t>
            </w:r>
          </w:p>
        </w:tc>
        <w:tc>
          <w:tcPr>
            <w:tcW w:type="dxa" w:w="1512"/>
          </w:tcPr>
          <w:p>
            <w:pPr>
              <w:spacing w:line="360" w:lineRule="auto" w:before="0" w:after="0"/>
              <w:ind w:firstLine="0"/>
            </w:pPr>
            <w:r>
              <w:rPr>
                <w:rFonts w:ascii="宋体" w:hAnsi="宋体" w:eastAsia="宋体"/>
                <w:b w:val="0"/>
                <w:sz w:val="19"/>
              </w:rPr>
              <w:t>支持上传材料</w:t>
            </w:r>
          </w:p>
        </w:tc>
        <w:tc>
          <w:tcPr>
            <w:tcW w:type="dxa" w:w="1512"/>
          </w:tcPr>
          <w:p>
            <w:pPr>
              <w:spacing w:line="360" w:lineRule="auto" w:before="0" w:after="0"/>
              <w:ind w:firstLine="0"/>
            </w:pPr>
            <w:r>
              <w:rPr>
                <w:rFonts w:ascii="宋体" w:hAnsi="宋体" w:eastAsia="宋体"/>
                <w:b w:val="0"/>
                <w:sz w:val="19"/>
              </w:rPr>
              <w:t>依托内容库</w:t>
            </w:r>
          </w:p>
        </w:tc>
        <w:tc>
          <w:tcPr>
            <w:tcW w:type="dxa" w:w="1512"/>
          </w:tcPr>
          <w:p>
            <w:pPr>
              <w:spacing w:line="360" w:lineRule="auto" w:before="0" w:after="0"/>
              <w:ind w:firstLine="0"/>
            </w:pPr>
            <w:r>
              <w:rPr>
                <w:rFonts w:ascii="宋体" w:hAnsi="宋体" w:eastAsia="宋体"/>
                <w:b w:val="0"/>
                <w:sz w:val="19"/>
              </w:rPr>
              <w:t>题目/资料强</w:t>
            </w:r>
          </w:p>
        </w:tc>
        <w:tc>
          <w:tcPr>
            <w:tcW w:type="dxa" w:w="1512"/>
          </w:tcPr>
          <w:p>
            <w:pPr>
              <w:spacing w:line="360" w:lineRule="auto" w:before="0" w:after="0"/>
              <w:ind w:firstLine="0"/>
            </w:pPr>
            <w:r>
              <w:rPr>
                <w:rFonts w:ascii="宋体" w:hAnsi="宋体" w:eastAsia="宋体"/>
                <w:b w:val="0"/>
                <w:sz w:val="19"/>
              </w:rPr>
              <w:t>资料生成强</w:t>
            </w:r>
          </w:p>
        </w:tc>
        <w:tc>
          <w:tcPr>
            <w:tcW w:type="dxa" w:w="1512"/>
          </w:tcPr>
          <w:p>
            <w:pPr>
              <w:spacing w:line="360" w:lineRule="auto" w:before="0" w:after="0"/>
              <w:ind w:firstLine="0"/>
            </w:pPr>
            <w:r>
              <w:rPr>
                <w:rFonts w:ascii="宋体" w:hAnsi="宋体" w:eastAsia="宋体"/>
                <w:b w:val="0"/>
                <w:sz w:val="19"/>
              </w:rPr>
              <w:t>主链式整合</w:t>
            </w:r>
          </w:p>
        </w:tc>
      </w:tr>
      <w:tr>
        <w:tc>
          <w:tcPr>
            <w:tcW w:type="dxa" w:w="1512"/>
          </w:tcPr>
          <w:p>
            <w:pPr>
              <w:spacing w:line="360" w:lineRule="auto" w:before="0" w:after="0"/>
              <w:ind w:firstLine="0"/>
            </w:pPr>
            <w:r>
              <w:rPr>
                <w:rFonts w:ascii="宋体" w:hAnsi="宋体" w:eastAsia="宋体"/>
                <w:b w:val="0"/>
                <w:sz w:val="19"/>
              </w:rPr>
              <w:t>产品主重心</w:t>
            </w:r>
          </w:p>
        </w:tc>
        <w:tc>
          <w:tcPr>
            <w:tcW w:type="dxa" w:w="1512"/>
          </w:tcPr>
          <w:p>
            <w:pPr>
              <w:spacing w:line="360" w:lineRule="auto" w:before="0" w:after="0"/>
              <w:ind w:firstLine="0"/>
            </w:pPr>
            <w:r>
              <w:rPr>
                <w:rFonts w:ascii="宋体" w:hAnsi="宋体" w:eastAsia="宋体"/>
                <w:b w:val="0"/>
                <w:sz w:val="19"/>
              </w:rPr>
              <w:t>学习对话体验</w:t>
            </w:r>
          </w:p>
        </w:tc>
        <w:tc>
          <w:tcPr>
            <w:tcW w:type="dxa" w:w="1512"/>
          </w:tcPr>
          <w:p>
            <w:pPr>
              <w:spacing w:line="360" w:lineRule="auto" w:before="0" w:after="0"/>
              <w:ind w:firstLine="0"/>
            </w:pPr>
            <w:r>
              <w:rPr>
                <w:rFonts w:ascii="宋体" w:hAnsi="宋体" w:eastAsia="宋体"/>
                <w:b w:val="0"/>
                <w:sz w:val="19"/>
              </w:rPr>
              <w:t>启发式辅导</w:t>
            </w:r>
          </w:p>
        </w:tc>
        <w:tc>
          <w:tcPr>
            <w:tcW w:type="dxa" w:w="1512"/>
          </w:tcPr>
          <w:p>
            <w:pPr>
              <w:spacing w:line="360" w:lineRule="auto" w:before="0" w:after="0"/>
              <w:ind w:firstLine="0"/>
            </w:pPr>
            <w:r>
              <w:rPr>
                <w:rFonts w:ascii="宋体" w:hAnsi="宋体" w:eastAsia="宋体"/>
                <w:b w:val="0"/>
                <w:sz w:val="19"/>
              </w:rPr>
              <w:t>作业辅助</w:t>
            </w:r>
          </w:p>
        </w:tc>
        <w:tc>
          <w:tcPr>
            <w:tcW w:type="dxa" w:w="1512"/>
          </w:tcPr>
          <w:p>
            <w:pPr>
              <w:spacing w:line="360" w:lineRule="auto" w:before="0" w:after="0"/>
              <w:ind w:firstLine="0"/>
            </w:pPr>
            <w:r>
              <w:rPr>
                <w:rFonts w:ascii="宋体" w:hAnsi="宋体" w:eastAsia="宋体"/>
                <w:b w:val="0"/>
                <w:sz w:val="19"/>
              </w:rPr>
              <w:t>资料学习</w:t>
            </w:r>
          </w:p>
        </w:tc>
        <w:tc>
          <w:tcPr>
            <w:tcW w:type="dxa" w:w="1512"/>
          </w:tcPr>
          <w:p>
            <w:pPr>
              <w:spacing w:line="360" w:lineRule="auto" w:before="0" w:after="0"/>
              <w:ind w:firstLine="0"/>
            </w:pPr>
            <w:r>
              <w:rPr>
                <w:rFonts w:ascii="宋体" w:hAnsi="宋体" w:eastAsia="宋体"/>
                <w:b w:val="0"/>
                <w:sz w:val="19"/>
              </w:rPr>
              <w:t>成长系统</w:t>
            </w:r>
          </w:p>
        </w:tc>
      </w:tr>
    </w:tbl>
    <w:p>
      <w:pPr>
        <w:spacing w:line="360" w:lineRule="auto" w:before="0" w:after="0"/>
        <w:ind w:firstLine="420"/>
      </w:pPr>
    </w:p>
    <w:p>
      <w:pPr>
        <w:spacing w:line="360" w:lineRule="auto" w:before="0" w:after="0"/>
        <w:ind w:firstLine="0"/>
      </w:pPr>
      <w:r>
        <w:rPr>
          <w:rFonts w:ascii="宋体" w:hAnsi="宋体" w:eastAsia="宋体"/>
          <w:b/>
          <w:sz w:val="24"/>
        </w:rPr>
        <w:t>为什么星火不是 ChatGPT 学习模式的简单变体</w:t>
      </w:r>
    </w:p>
    <w:p>
      <w:pPr>
        <w:spacing w:line="360" w:lineRule="auto" w:before="0" w:after="0"/>
        <w:ind w:firstLine="420"/>
      </w:pPr>
      <w:r>
        <w:rPr>
          <w:rFonts w:ascii="宋体" w:hAnsi="宋体" w:eastAsia="宋体"/>
          <w:b w:val="0"/>
          <w:sz w:val="24"/>
        </w:rPr>
        <w:t>ChatGPT Study Mode 的核心价值在于通过 Socratic 式提问、分步骤讲解、基于记忆的个性化与材料上传能力，帮助用户“更好地学会一个问题”。这是一种以学习过程引导为核心的交互增强。</w:t>
      </w:r>
    </w:p>
    <w:p>
      <w:pPr>
        <w:spacing w:line="360" w:lineRule="auto" w:before="0" w:after="0"/>
        <w:ind w:firstLine="420"/>
      </w:pPr>
      <w:r>
        <w:rPr>
          <w:rFonts w:ascii="宋体" w:hAnsi="宋体" w:eastAsia="宋体"/>
          <w:b w:val="0"/>
          <w:sz w:val="24"/>
        </w:rPr>
        <w:t>星火则进一步把问题从“对话怎么更适合学习”推进到了“学习如何形成长期闭环”：它不仅做引导，还做计划、任务、图谱、报告、剧场、模拟、执行回流和成长沉淀。换句话说，ChatGPT Study Mode 更像是学习对话层的强化，而星火更像是把学习过程拆成多个可持续运行的子系统。</w:t>
      </w:r>
    </w:p>
    <w:p>
      <w:pPr>
        <w:spacing w:line="360" w:lineRule="auto" w:before="0" w:after="0"/>
        <w:ind w:firstLine="0"/>
      </w:pPr>
      <w:r>
        <w:rPr>
          <w:rFonts w:ascii="宋体" w:hAnsi="宋体" w:eastAsia="宋体"/>
          <w:b/>
          <w:sz w:val="24"/>
        </w:rPr>
        <w:t>为什么星火也不是 StudyX / Gauth 的延长线</w:t>
      </w:r>
    </w:p>
    <w:p>
      <w:pPr>
        <w:spacing w:line="360" w:lineRule="auto" w:before="0" w:after="0"/>
        <w:ind w:firstLine="420"/>
      </w:pPr>
      <w:r>
        <w:rPr>
          <w:rFonts w:ascii="宋体" w:hAnsi="宋体" w:eastAsia="宋体"/>
          <w:b w:val="0"/>
          <w:sz w:val="24"/>
        </w:rPr>
        <w:t>StudyX 和 Gauth 的价值非常明确：快速输入、拍照识别、步骤拆解、即时求解、题库与资源辅助，它们在“遇到一道不会的问题时立刻获得帮助”这件事上非常高效。</w:t>
      </w:r>
    </w:p>
    <w:p>
      <w:pPr>
        <w:spacing w:line="360" w:lineRule="auto" w:before="0" w:after="0"/>
        <w:ind w:firstLine="420"/>
      </w:pPr>
      <w:r>
        <w:rPr>
          <w:rFonts w:ascii="宋体" w:hAnsi="宋体" w:eastAsia="宋体"/>
          <w:b w:val="0"/>
          <w:sz w:val="24"/>
        </w:rPr>
        <w:t>但这类产品的强项恰好也定义了它们的边界，它们更适合点状问题解决，而非长期成长工程。星火要解决的不是“这一题怎么做”，而是“这门课怎么持续学下去、当前为什么卡住、下一段路径怎么组织、执行之后如何继续反馈到成长系统”。</w:t>
      </w:r>
    </w:p>
    <w:p>
      <w:pPr>
        <w:spacing w:line="360" w:lineRule="auto" w:before="0" w:after="0"/>
        <w:ind w:firstLine="0"/>
      </w:pPr>
      <w:r>
        <w:rPr>
          <w:rFonts w:ascii="宋体" w:hAnsi="宋体" w:eastAsia="宋体"/>
          <w:b/>
          <w:sz w:val="24"/>
        </w:rPr>
        <w:t>为什么星火不是 Quizlet 式资料学习产品</w:t>
      </w:r>
    </w:p>
    <w:p>
      <w:pPr>
        <w:spacing w:line="360" w:lineRule="auto" w:before="0" w:after="0"/>
        <w:ind w:firstLine="420"/>
      </w:pPr>
      <w:r>
        <w:rPr>
          <w:rFonts w:ascii="宋体" w:hAnsi="宋体" w:eastAsia="宋体"/>
          <w:b w:val="0"/>
          <w:sz w:val="24"/>
        </w:rPr>
        <w:t>Quizlet 当前更强的方向是把资料、笔记和上传内容转化成可学习资源，例如 Study Guides、Ask Quizlet、闪卡等。它提升的是学习资料的可用性与学习入口的便利度。</w:t>
      </w:r>
    </w:p>
    <w:p>
      <w:pPr>
        <w:spacing w:line="360" w:lineRule="auto" w:before="0" w:after="0"/>
        <w:ind w:firstLine="420"/>
      </w:pPr>
      <w:r>
        <w:rPr>
          <w:rFonts w:ascii="宋体" w:hAnsi="宋体" w:eastAsia="宋体"/>
          <w:b w:val="0"/>
          <w:sz w:val="24"/>
        </w:rPr>
        <w:t>星火则进一步强调知识关系、路径推理、执行反馈和成长回流。也就是说，Quizlet 更偏“把资料变成更好学的材料”，而星火更偏“把用户的学习过程变成一个可以持续推进和沉淀的系统”。</w:t>
      </w:r>
    </w:p>
    <w:p>
      <w:pPr>
        <w:spacing w:line="360" w:lineRule="auto" w:before="0" w:after="0"/>
        <w:ind w:firstLine="0"/>
      </w:pPr>
      <w:r>
        <w:rPr>
          <w:rFonts w:ascii="宋体" w:hAnsi="宋体" w:eastAsia="宋体"/>
          <w:b/>
          <w:sz w:val="24"/>
        </w:rPr>
        <w:t>星火的组合式壁垒</w:t>
      </w:r>
    </w:p>
    <w:p>
      <w:pPr>
        <w:spacing w:line="360" w:lineRule="auto" w:before="0" w:after="0"/>
        <w:ind w:firstLine="420"/>
      </w:pPr>
      <w:r>
        <w:rPr>
          <w:rFonts w:ascii="宋体" w:hAnsi="宋体" w:eastAsia="宋体"/>
          <w:b w:val="0"/>
          <w:sz w:val="24"/>
        </w:rPr>
        <w:t>星火真正的竞争优势不是某一项单点能力，而是几项能力的同时存在并彼此联动：</w:t>
      </w:r>
    </w:p>
    <w:p>
      <w:pPr>
        <w:spacing w:line="360" w:lineRule="auto" w:before="0" w:after="0"/>
        <w:ind w:firstLine="0"/>
      </w:pPr>
      <w:r>
        <w:rPr>
          <w:rFonts w:ascii="宋体" w:hAnsi="宋体" w:eastAsia="宋体"/>
          <w:b w:val="0"/>
          <w:sz w:val="24"/>
        </w:rPr>
        <w:t>1. 对长期状态的理解和当前任务推进是打通的。</w:t>
      </w:r>
    </w:p>
    <w:p>
      <w:pPr>
        <w:spacing w:line="360" w:lineRule="auto" w:before="0" w:after="0"/>
        <w:ind w:firstLine="0"/>
      </w:pPr>
      <w:r>
        <w:rPr>
          <w:rFonts w:ascii="宋体" w:hAnsi="宋体" w:eastAsia="宋体"/>
          <w:b w:val="0"/>
          <w:sz w:val="24"/>
        </w:rPr>
        <w:t>2. 知识星图、GraphRAG、多 Agent、OpenClaw、学习报告、学习模拟不是孤立功能，而是围绕同一主链组织。</w:t>
      </w:r>
    </w:p>
    <w:p>
      <w:pPr>
        <w:spacing w:line="360" w:lineRule="auto" w:before="0" w:after="0"/>
        <w:ind w:firstLine="0"/>
      </w:pPr>
      <w:r>
        <w:rPr>
          <w:rFonts w:ascii="宋体" w:hAnsi="宋体" w:eastAsia="宋体"/>
          <w:b w:val="0"/>
          <w:sz w:val="24"/>
        </w:rPr>
        <w:t>3. 产品体验和工程能力同时存在，既有沉浸式成长反馈，也有明确的架构、测试和验证基础。</w:t>
      </w:r>
    </w:p>
    <w:p>
      <w:pPr>
        <w:spacing w:line="360" w:lineRule="auto" w:before="0" w:after="0"/>
        <w:ind w:firstLine="0"/>
      </w:pPr>
      <w:r>
        <w:rPr>
          <w:rFonts w:ascii="宋体" w:hAnsi="宋体" w:eastAsia="宋体"/>
          <w:b w:val="0"/>
          <w:sz w:val="24"/>
        </w:rPr>
        <w:t>4. 对外部执行能力采用治理化接入，而不是无边界调用。</w:t>
      </w:r>
    </w:p>
    <w:p>
      <w:pPr>
        <w:spacing w:line="360" w:lineRule="auto" w:before="0" w:after="0"/>
        <w:ind w:firstLine="420"/>
      </w:pPr>
      <w:r>
        <w:rPr>
          <w:rFonts w:ascii="宋体" w:hAnsi="宋体" w:eastAsia="宋体"/>
          <w:b w:val="0"/>
          <w:sz w:val="24"/>
        </w:rPr>
        <w:t>因此，星火更适合被理解为“下一代 AI 学习成长系统”的参赛项目，而不是某个现有学习 AI 的局部增强版本。</w:t>
      </w:r>
    </w:p>
    <w:p>
      <w:pPr>
        <w:spacing w:line="360" w:lineRule="auto" w:before="0" w:after="0"/>
        <w:ind w:firstLine="420"/>
      </w:pPr>
      <w:r>
        <w:rPr>
          <w:rFonts w:ascii="宋体" w:hAnsi="宋体" w:eastAsia="宋体"/>
          <w:b w:val="0"/>
          <w:sz w:val="24"/>
        </w:rPr>
        <w:t>资料来源说明：本章涉及 ChatGPT Study Mode、Khanmigo、Quizlet、StudyX、Gauth 的公开能力对比，均基于 2026-03-29 前后可核实的官方帮助中心、产品页或发布说明整理，详细链接见《竞品与外部资料来源清单》。</w:t>
      </w:r>
    </w:p>
    <w:p>
      <w:pPr>
        <w:pStyle w:val="3"/>
        <w:ind w:firstLine="480"/>
      </w:pPr>
    </w:p>
    <w:p>
      <w:pPr>
        <w:pStyle w:val="3"/>
        <w:ind w:firstLine="480"/>
      </w:pPr>
    </w:p>
    <w:p>
      <w:pPr>
        <w:pStyle w:val="3"/>
        <w:ind w:firstLine="480"/>
      </w:pPr>
    </w:p>
    <w:sectPr>
      <w:footerReference r:id="rId9" w:type="firs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20T00:06:00Z" w:initials="提示">
    <w:p w14:paraId="044173FD">
      <w:pPr>
        <w:pStyle w:val="16"/>
      </w:pPr>
      <w:r>
        <w:rPr>
          <w:rFonts w:hint="eastAsia"/>
        </w:rPr>
        <w:t>替换中括号内的字段，不保留中括号</w:t>
      </w:r>
    </w:p>
  </w:comment>
  <w:comment w:id="1" w:author="提示" w:date="2020-11-20T00:06:00Z" w:initials="提示">
    <w:p w14:paraId="00F13EFA">
      <w:pPr>
        <w:pStyle w:val="16"/>
      </w:pPr>
      <w:r>
        <w:rPr>
          <w:rFonts w:hint="eastAsia"/>
        </w:rPr>
        <w:t>使用无背景图标（.</w:t>
      </w:r>
      <w:r>
        <w:t>jpg/png</w:t>
      </w:r>
      <w:r>
        <w:rPr>
          <w:rFonts w:hint="eastAsia"/>
        </w:rPr>
        <w:t>）替换括号内的字段，删除括号。</w:t>
      </w:r>
    </w:p>
  </w:comment>
  <w:comment w:id="2" w:author="提示" w:date="2020-11-20T00:06:00Z" w:initials="提示">
    <w:p w14:paraId="6D18069C">
      <w:pPr>
        <w:pStyle w:val="16"/>
      </w:pPr>
      <w:r>
        <w:rPr>
          <w:rFonts w:hint="eastAsia"/>
        </w:rPr>
        <w:t>中文项目名称，删除括号。</w:t>
      </w:r>
    </w:p>
  </w:comment>
  <w:comment w:id="3" w:author="提示" w:date="2020-11-20T00:06:00Z" w:initials="提示">
    <w:p w14:paraId="08DD049B">
      <w:pPr>
        <w:pStyle w:val="16"/>
      </w:pPr>
      <w:r>
        <w:rPr>
          <w:rFonts w:hint="eastAsia"/>
        </w:rPr>
        <w:t>英文项目名称，删除括号。</w:t>
      </w:r>
    </w:p>
  </w:comment>
  <w:comment w:id="4" w:author="提示" w:date="2020-11-20T00:06:00Z" w:initials="提示">
    <w:p w14:paraId="5CC658A8">
      <w:pPr>
        <w:pStyle w:val="16"/>
      </w:pPr>
      <w:r>
        <w:t>#.#.#</w:t>
      </w:r>
      <w:r>
        <w:rPr>
          <w:rFonts w:hint="eastAsia"/>
        </w:rPr>
        <w:t>格式，与记录更改历史一致</w:t>
      </w:r>
    </w:p>
  </w:comment>
  <w:comment w:id="5" w:author="提示" w:date="2020-11-20T00:07:00Z" w:initials="提示">
    <w:p w14:paraId="56631A60">
      <w:pPr>
        <w:pStyle w:val="16"/>
      </w:pPr>
      <w:r>
        <w:rPr>
          <w:rFonts w:hint="eastAsia"/>
        </w:rPr>
        <w:t>使用无背景图标（.</w:t>
      </w:r>
      <w:r>
        <w:t>jpg/png</w:t>
      </w:r>
      <w:r>
        <w:rPr>
          <w:rFonts w:hint="eastAsia"/>
        </w:rPr>
        <w:t>）替换括号内的字段，删除括号。</w:t>
      </w:r>
    </w:p>
  </w:comment>
  <w:comment w:id="6" w:author="提示" w:date="2020-11-20T00:07:00Z" w:initials="提示">
    <w:p w14:paraId="17360BD7">
      <w:pPr>
        <w:pStyle w:val="16"/>
      </w:pPr>
      <w:r>
        <w:rPr>
          <w:rFonts w:hint="eastAsia"/>
        </w:rPr>
        <w:t>与队名一致，删除括号。</w:t>
      </w:r>
    </w:p>
  </w:comment>
  <w:comment w:id="7" w:author="提示" w:date="2020-11-20T00:07:00Z" w:initials="提示">
    <w:p w14:paraId="6FE57958">
      <w:pPr>
        <w:pStyle w:val="16"/>
      </w:pPr>
      <w:r>
        <w:rPr>
          <w:rFonts w:hint="eastAsia"/>
        </w:rPr>
        <w:t>删除括号。</w:t>
      </w:r>
    </w:p>
  </w:comment>
  <w:comment w:id="8" w:author="提示" w:date="2020-11-20T00:07:00Z" w:initials="提示">
    <w:p w14:paraId="11FF7852">
      <w:pPr>
        <w:pStyle w:val="16"/>
      </w:pPr>
      <w:r>
        <w:rPr>
          <w:rFonts w:hint="eastAsia"/>
        </w:rPr>
        <w:t>按照文档结构完成所有章节的内容，且不允许擅自调整文档的组织结构。</w:t>
      </w:r>
    </w:p>
  </w:comment>
  <w:comment w:id="9" w:author="提示" w:date="2020-11-20T00:07:00Z" w:initials="提示">
    <w:p w14:paraId="14D4068D">
      <w:pPr>
        <w:pStyle w:val="16"/>
      </w:pPr>
      <w:r>
        <w:rPr>
          <w:rFonts w:hint="eastAsia"/>
        </w:rPr>
        <w:t>创建/更新</w:t>
      </w:r>
    </w:p>
  </w:comment>
  <w:comment w:id="10" w:author="提示" w:date="2020-11-20T00:07:00Z" w:initials="提示">
    <w:p w14:paraId="0E385417">
      <w:pPr>
        <w:pStyle w:val="16"/>
      </w:pPr>
      <w:r>
        <w:rPr>
          <w:rFonts w:hint="eastAsia"/>
        </w:rPr>
        <w:t>注意版本号的迭代规则</w:t>
      </w:r>
    </w:p>
  </w:comment>
  <w:comment w:id="11" w:author="提示" w:date="2020-11-20T00:07:00Z" w:initials="提示">
    <w:p w14:paraId="46241589">
      <w:pPr>
        <w:pStyle w:val="16"/>
        <w:rPr>
          <w:b/>
        </w:rPr>
      </w:pPr>
      <w:r>
        <w:rPr>
          <w:rFonts w:hint="eastAsia"/>
          <w:b/>
        </w:rPr>
        <w:t>初赛</w:t>
      </w:r>
      <w:r>
        <w:rPr>
          <w:b/>
        </w:rPr>
        <w:t>阶段完成</w:t>
      </w:r>
    </w:p>
  </w:comment>
  <w:comment w:id="12" w:author="提示" w:date="2020-11-20T00:08:00Z" w:initials="提示">
    <w:p w14:paraId="048F699B">
      <w:pPr>
        <w:pStyle w:val="16"/>
      </w:pPr>
      <w:r>
        <w:rPr>
          <w:rFonts w:ascii="Consolas" w:hAnsi="Consolas" w:cs="Consolas"/>
          <w:color w:val="24292E"/>
          <w:kern w:val="0"/>
          <w:sz w:val="18"/>
          <w:szCs w:val="18"/>
          <w:shd w:val="clear" w:color="auto" w:fill="FFFFFF"/>
        </w:rPr>
        <w:t>罗列并简要介绍</w:t>
      </w:r>
      <w:r>
        <w:rPr>
          <w:rFonts w:hint="eastAsia" w:ascii="Consolas" w:hAnsi="Consolas" w:cs="Consolas"/>
          <w:color w:val="24292E"/>
          <w:kern w:val="0"/>
          <w:sz w:val="18"/>
          <w:szCs w:val="18"/>
          <w:shd w:val="clear" w:color="auto" w:fill="FFFFFF"/>
        </w:rPr>
        <w:t>项目中包含的</w:t>
      </w:r>
      <w:r>
        <w:rPr>
          <w:rFonts w:ascii="Consolas" w:hAnsi="Consolas" w:cs="Consolas"/>
          <w:color w:val="24292E"/>
          <w:kern w:val="0"/>
          <w:sz w:val="18"/>
          <w:szCs w:val="18"/>
          <w:shd w:val="clear" w:color="auto" w:fill="FFFFFF"/>
        </w:rPr>
        <w:t>痛点</w:t>
      </w:r>
    </w:p>
  </w:comment>
  <w:comment w:id="13" w:author="提示" w:date="2020-11-20T00:08:00Z" w:initials="提示">
    <w:p w14:paraId="32FD7419">
      <w:pPr>
        <w:widowControl/>
        <w:jc w:val="left"/>
        <w:rPr>
          <w:rFonts w:hint="eastAsia" w:ascii="宋体" w:hAnsi="宋体" w:cs="宋体"/>
          <w:kern w:val="0"/>
          <w:sz w:val="24"/>
        </w:rPr>
      </w:pPr>
      <w:r>
        <w:rPr>
          <w:rFonts w:ascii="Consolas" w:hAnsi="Consolas" w:cs="Consolas"/>
          <w:color w:val="24292E"/>
          <w:kern w:val="0"/>
          <w:sz w:val="18"/>
          <w:szCs w:val="18"/>
          <w:shd w:val="clear" w:color="auto" w:fill="FFFFFF"/>
        </w:rPr>
        <w:t>简要介绍当前已有的对痛点的解决方案，或者一些相关的工作</w:t>
      </w:r>
    </w:p>
  </w:comment>
  <w:comment w:id="14" w:author="提示" w:date="2020-11-20T00:08:00Z" w:initials="提示">
    <w:p w14:paraId="179521B4">
      <w:pPr>
        <w:pStyle w:val="16"/>
        <w:rPr>
          <w:b/>
        </w:rPr>
      </w:pPr>
      <w:r>
        <w:rPr>
          <w:rFonts w:hint="eastAsia"/>
          <w:b/>
        </w:rPr>
        <w:t>初赛</w:t>
      </w:r>
      <w:r>
        <w:rPr>
          <w:b/>
        </w:rPr>
        <w:t>阶段完成</w:t>
      </w:r>
    </w:p>
  </w:comment>
  <w:comment w:id="15" w:author="提示" w:date="2020-11-20T00:08:00Z" w:initials="提示">
    <w:p w14:paraId="5DB46351">
      <w:pPr>
        <w:pStyle w:val="16"/>
      </w:pPr>
      <w:r>
        <w:rPr>
          <w:rFonts w:hint="eastAsia"/>
          <w:b/>
        </w:rPr>
        <w:t>初赛</w:t>
      </w:r>
      <w:r>
        <w:rPr>
          <w:b/>
        </w:rPr>
        <w:t>阶段完成</w:t>
      </w:r>
      <w:r>
        <w:t>，</w:t>
      </w:r>
      <w:r>
        <w:rPr>
          <w:rFonts w:hint="eastAsia"/>
        </w:rPr>
        <w:t>针对能够体现项目创新性的功能点，与现有市场中存在的竞品进行对比。</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4173FD" w15:done="0"/>
  <w15:commentEx w15:paraId="00F13EFA" w15:done="0"/>
  <w15:commentEx w15:paraId="6D18069C" w15:done="0"/>
  <w15:commentEx w15:paraId="08DD049B" w15:done="0"/>
  <w15:commentEx w15:paraId="5CC658A8" w15:done="0"/>
  <w15:commentEx w15:paraId="56631A60" w15:done="0"/>
  <w15:commentEx w15:paraId="17360BD7" w15:done="0"/>
  <w15:commentEx w15:paraId="6FE57958" w15:done="0"/>
  <w15:commentEx w15:paraId="11FF7852" w15:done="0"/>
  <w15:commentEx w15:paraId="14D4068D" w15:done="0"/>
  <w15:commentEx w15:paraId="0E385417" w15:done="0"/>
  <w15:commentEx w15:paraId="46241589" w15:done="0"/>
  <w15:commentEx w15:paraId="048F699B" w15:done="0"/>
  <w15:commentEx w15:paraId="32FD7419" w15:done="0"/>
  <w15:commentEx w15:paraId="179521B4" w15:done="0"/>
  <w15:commentEx w15:paraId="5DB4635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rPr>
        <w:rFonts w:cs="Times New Roman"/>
      </w:rPr>
    </w:pPr>
    <w:r>
      <w:rPr>
        <w:rFonts w:cs="Times New Roman"/>
      </w:rPr>
      <w:t xml:space="preserve">项目名称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-[TEAMNAME]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ljYzUzMWQ4OWI0YzBkYjYzMDRhZTY5ZjZkYmFmYTgifQ=="/>
  </w:docVars>
  <w:rsids>
    <w:rsidRoot w:val="00596229"/>
    <w:rsid w:val="00003F46"/>
    <w:rsid w:val="00006119"/>
    <w:rsid w:val="00027990"/>
    <w:rsid w:val="00030524"/>
    <w:rsid w:val="0003106A"/>
    <w:rsid w:val="00032294"/>
    <w:rsid w:val="00046C66"/>
    <w:rsid w:val="00053968"/>
    <w:rsid w:val="000548EE"/>
    <w:rsid w:val="00067D4F"/>
    <w:rsid w:val="00086465"/>
    <w:rsid w:val="000911FE"/>
    <w:rsid w:val="0009308D"/>
    <w:rsid w:val="00096A21"/>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0263"/>
    <w:rsid w:val="00192EC7"/>
    <w:rsid w:val="00196EB5"/>
    <w:rsid w:val="001E17C8"/>
    <w:rsid w:val="001E525E"/>
    <w:rsid w:val="001F1D44"/>
    <w:rsid w:val="00201BC2"/>
    <w:rsid w:val="00211CB0"/>
    <w:rsid w:val="00222770"/>
    <w:rsid w:val="00222D3D"/>
    <w:rsid w:val="002242C6"/>
    <w:rsid w:val="00240F03"/>
    <w:rsid w:val="002621E2"/>
    <w:rsid w:val="002710B8"/>
    <w:rsid w:val="00280E7C"/>
    <w:rsid w:val="00295AB6"/>
    <w:rsid w:val="002B6C8A"/>
    <w:rsid w:val="002D7068"/>
    <w:rsid w:val="002E65CA"/>
    <w:rsid w:val="00311858"/>
    <w:rsid w:val="00324C0B"/>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20B23"/>
    <w:rsid w:val="00522B4F"/>
    <w:rsid w:val="0058017B"/>
    <w:rsid w:val="005816D0"/>
    <w:rsid w:val="00596229"/>
    <w:rsid w:val="00596548"/>
    <w:rsid w:val="005A6B2D"/>
    <w:rsid w:val="005B4AEA"/>
    <w:rsid w:val="005B5BE5"/>
    <w:rsid w:val="005D068B"/>
    <w:rsid w:val="005D069E"/>
    <w:rsid w:val="005D1F72"/>
    <w:rsid w:val="005D479E"/>
    <w:rsid w:val="005E28E1"/>
    <w:rsid w:val="005E3E79"/>
    <w:rsid w:val="005E78F7"/>
    <w:rsid w:val="005F47C2"/>
    <w:rsid w:val="005F4A49"/>
    <w:rsid w:val="00632DED"/>
    <w:rsid w:val="00644EBB"/>
    <w:rsid w:val="00644FD2"/>
    <w:rsid w:val="00645B33"/>
    <w:rsid w:val="00653613"/>
    <w:rsid w:val="006543F6"/>
    <w:rsid w:val="00660938"/>
    <w:rsid w:val="00665734"/>
    <w:rsid w:val="00682532"/>
    <w:rsid w:val="006919A6"/>
    <w:rsid w:val="006A197C"/>
    <w:rsid w:val="006A6841"/>
    <w:rsid w:val="006C1661"/>
    <w:rsid w:val="006C2EE4"/>
    <w:rsid w:val="006C4997"/>
    <w:rsid w:val="006D45A1"/>
    <w:rsid w:val="006F3270"/>
    <w:rsid w:val="00702DD8"/>
    <w:rsid w:val="00716DF9"/>
    <w:rsid w:val="007347D7"/>
    <w:rsid w:val="00734FA2"/>
    <w:rsid w:val="00763107"/>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E01BD"/>
    <w:rsid w:val="008F347E"/>
    <w:rsid w:val="008F4A88"/>
    <w:rsid w:val="008F7A80"/>
    <w:rsid w:val="009076B9"/>
    <w:rsid w:val="00914CEF"/>
    <w:rsid w:val="00941021"/>
    <w:rsid w:val="00941174"/>
    <w:rsid w:val="0095122C"/>
    <w:rsid w:val="00955853"/>
    <w:rsid w:val="0096658A"/>
    <w:rsid w:val="009915C8"/>
    <w:rsid w:val="00992F99"/>
    <w:rsid w:val="009B54DC"/>
    <w:rsid w:val="009C23FD"/>
    <w:rsid w:val="009D236E"/>
    <w:rsid w:val="009E73FD"/>
    <w:rsid w:val="009F5184"/>
    <w:rsid w:val="009F66A8"/>
    <w:rsid w:val="00A05D00"/>
    <w:rsid w:val="00A05FCD"/>
    <w:rsid w:val="00A25701"/>
    <w:rsid w:val="00A37BC2"/>
    <w:rsid w:val="00A62777"/>
    <w:rsid w:val="00A7756E"/>
    <w:rsid w:val="00A8742A"/>
    <w:rsid w:val="00A91020"/>
    <w:rsid w:val="00A91B7D"/>
    <w:rsid w:val="00A91D20"/>
    <w:rsid w:val="00A91EAF"/>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B50C5"/>
    <w:rsid w:val="00BC39DA"/>
    <w:rsid w:val="00BE29C7"/>
    <w:rsid w:val="00BE6C09"/>
    <w:rsid w:val="00C11105"/>
    <w:rsid w:val="00C1324B"/>
    <w:rsid w:val="00C17F85"/>
    <w:rsid w:val="00C24BA2"/>
    <w:rsid w:val="00C34A2C"/>
    <w:rsid w:val="00C34D30"/>
    <w:rsid w:val="00C43822"/>
    <w:rsid w:val="00C452BE"/>
    <w:rsid w:val="00C86BED"/>
    <w:rsid w:val="00C8710B"/>
    <w:rsid w:val="00C9368B"/>
    <w:rsid w:val="00CA2EF8"/>
    <w:rsid w:val="00CA7A6C"/>
    <w:rsid w:val="00CB40CA"/>
    <w:rsid w:val="00CB4C5A"/>
    <w:rsid w:val="00CB541E"/>
    <w:rsid w:val="00CC6493"/>
    <w:rsid w:val="00CD5B54"/>
    <w:rsid w:val="00CF64C6"/>
    <w:rsid w:val="00D0172C"/>
    <w:rsid w:val="00D01DC2"/>
    <w:rsid w:val="00D052E6"/>
    <w:rsid w:val="00D254CA"/>
    <w:rsid w:val="00D341C2"/>
    <w:rsid w:val="00D479D9"/>
    <w:rsid w:val="00D5128C"/>
    <w:rsid w:val="00D5774B"/>
    <w:rsid w:val="00D679E8"/>
    <w:rsid w:val="00D712D6"/>
    <w:rsid w:val="00D8209D"/>
    <w:rsid w:val="00D84B7D"/>
    <w:rsid w:val="00D940ED"/>
    <w:rsid w:val="00D945AE"/>
    <w:rsid w:val="00D95E20"/>
    <w:rsid w:val="00DD1576"/>
    <w:rsid w:val="00DE662E"/>
    <w:rsid w:val="00DF2056"/>
    <w:rsid w:val="00DF54DC"/>
    <w:rsid w:val="00DF63F5"/>
    <w:rsid w:val="00E009B9"/>
    <w:rsid w:val="00E01DD9"/>
    <w:rsid w:val="00E030D8"/>
    <w:rsid w:val="00E1187F"/>
    <w:rsid w:val="00E16A1D"/>
    <w:rsid w:val="00E1790E"/>
    <w:rsid w:val="00E207C7"/>
    <w:rsid w:val="00E30F27"/>
    <w:rsid w:val="00E51EA8"/>
    <w:rsid w:val="00E56E00"/>
    <w:rsid w:val="00E72F02"/>
    <w:rsid w:val="00E8066A"/>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613F6"/>
    <w:rsid w:val="00F6541F"/>
    <w:rsid w:val="00F85D32"/>
    <w:rsid w:val="00F91C72"/>
    <w:rsid w:val="00F94865"/>
    <w:rsid w:val="00F9660A"/>
    <w:rsid w:val="00FA7078"/>
    <w:rsid w:val="00FB34B3"/>
    <w:rsid w:val="00FB7627"/>
    <w:rsid w:val="00FD7BAA"/>
    <w:rsid w:val="00FE5527"/>
    <w:rsid w:val="00FE5CA8"/>
    <w:rsid w:val="00FF7387"/>
    <w:rsid w:val="054662BE"/>
    <w:rsid w:val="35BA2068"/>
    <w:rsid w:val="7704004B"/>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qFormat/>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b/>
      <w:bCs/>
      <w:sz w:val="24"/>
      <w:szCs w:val="32"/>
    </w:rPr>
  </w:style>
  <w:style w:type="character" w:customStyle="1" w:styleId="71">
    <w:name w:val="标题 4 字符"/>
    <w:basedOn w:val="58"/>
    <w:link w:val="6"/>
    <w:qFormat/>
    <w:uiPriority w:val="9"/>
    <w:rPr>
      <w:rFonts w:asciiTheme="majorHAnsi" w:hAnsiTheme="majorHAnsi" w:eastAsiaTheme="majorEastAsia" w:cstheme="majorBidi"/>
      <w:b/>
      <w:bCs/>
      <w:sz w:val="28"/>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qFormat/>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qFormat/>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uiPriority w:val="0"/>
    <w:rPr>
      <w:szCs w:val="24"/>
      <w:shd w:val="clear" w:color="auto" w:fill="000080"/>
    </w:rPr>
  </w:style>
  <w:style w:type="paragraph" w:customStyle="1" w:styleId="114">
    <w:name w:val="文档结构图1"/>
    <w:basedOn w:val="1"/>
    <w:link w:val="113"/>
    <w:uiPriority w:val="0"/>
    <w:pPr>
      <w:shd w:val="clear" w:color="auto" w:fill="000080"/>
    </w:pPr>
    <w:rPr>
      <w:rFonts w:asciiTheme="minorHAnsi" w:hAnsiTheme="minorHAnsi"/>
      <w:shd w:val="clear" w:color="auto" w:fill="000080"/>
    </w:rPr>
  </w:style>
  <w:style w:type="character" w:customStyle="1" w:styleId="115">
    <w:name w:val="Comment Text Char1"/>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qFormat/>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uiPriority w:val="0"/>
    <w:rPr>
      <w:i/>
    </w:rPr>
  </w:style>
  <w:style w:type="paragraph" w:customStyle="1" w:styleId="154">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uiPriority w:val="0"/>
    <w:pPr>
      <w:spacing w:line="312" w:lineRule="auto"/>
      <w:ind w:firstLine="420" w:firstLineChars="200"/>
    </w:pPr>
    <w:rPr>
      <w:rFonts w:ascii="Arial" w:hAnsi="Arial" w:eastAsia="幼圆"/>
    </w:rPr>
  </w:style>
  <w:style w:type="paragraph" w:customStyle="1" w:styleId="175">
    <w:name w:val="pic-info"/>
    <w:basedOn w:val="1"/>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6"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6</Pages>
  <Words>156</Words>
  <Characters>895</Characters>
  <Lines>7</Lines>
  <Paragraphs>2</Paragraphs>
  <TotalTime>2</TotalTime>
  <ScaleCrop>false</ScaleCrop>
  <LinksUpToDate>false</LinksUpToDate>
  <CharactersWithSpaces>1049</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邓博仁</dc:creator>
  <dc:description>第十四届全国大学生软件创新大赛</dc:description>
  <cp:lastModifiedBy>辉崽真的想退休</cp:lastModifiedBy>
  <dcterms:modified xsi:type="dcterms:W3CDTF">2025-11-27T14:21:52Z</dcterms:modified>
  <dc:title>星火-设计及创新性分析报告</dc:title>
  <cp:revision>11</cp:revision>
  <dc:subject>第十九届全国大学生软件创新大赛参赛文档</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C7B93967374B4180AB61C4323AAC32AE_12</vt:lpwstr>
  </property>
</Properties>
</file>