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32" w:name="_GoBack"/>
            <w:bookmarkEnd w:id="32"/>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设计及创新性分析报告</w:t>
      </w:r>
    </w:p>
    <w:p>
      <w:pPr>
        <w:spacing w:line="360" w:lineRule="auto" w:before="0" w:after="0"/>
        <w:ind w:firstLine="0"/>
        <w:jc w:val="center"/>
      </w:pPr>
      <w:r>
        <w:rPr>
          <w:rFonts w:ascii="宋体" w:hAnsi="宋体" w:eastAsia="宋体"/>
          <w:b w:val="0"/>
          <w:sz w:val="24"/>
        </w:rPr>
        <w:t>Version: 0.3.0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4"/>
          <w:rFonts w:asciiTheme="minorHAnsi" w:hAnsiTheme="minorHAnsi"/>
          <w:b w:val="0"/>
        </w:rPr>
        <w:commentReference w:id="8"/>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"_Toc56720942"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痛点分析</w:t>
      </w:r>
      <w:r>
        <w:tab/>
      </w:r>
      <w:r>
        <w:fldChar w:fldCharType="begin"/>
      </w:r>
      <w:r>
        <w:instrText xml:space="preserve"> PAGEREF _Toc56720942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"_Toc56720943" </w:instrText>
      </w:r>
      <w:r>
        <w:fldChar w:fldCharType="separate"/>
      </w:r>
      <w:r>
        <w:rPr>
          <w:rStyle w:val="63"/>
          <w:rFonts w:cs="Times New Roman"/>
        </w:rPr>
        <w:t>1.1</w:t>
      </w:r>
      <w:r>
        <w:rPr>
          <w:rFonts w:asciiTheme="minorHAnsi" w:hAnsiTheme="minorHAnsi" w:cstheme="minorBidi"/>
          <w:b w:val="0"/>
          <w:bCs w:val="0"/>
          <w:sz w:val="21"/>
        </w:rPr>
        <w:tab/>
      </w:r>
      <w:r>
        <w:rPr>
          <w:rStyle w:val="63"/>
        </w:rPr>
        <w:t>痛点概述</w:t>
      </w:r>
      <w:r>
        <w:tab/>
      </w:r>
      <w:r>
        <w:fldChar w:fldCharType="begin"/>
      </w:r>
      <w:r>
        <w:instrText xml:space="preserve"> PAGEREF _Toc56720943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"_Toc56720944" </w:instrText>
      </w:r>
      <w:r>
        <w:fldChar w:fldCharType="separate"/>
      </w:r>
      <w:r>
        <w:rPr>
          <w:rStyle w:val="63"/>
          <w:rFonts w:cs="Times New Roman"/>
        </w:rPr>
        <w:t>1.2</w:t>
      </w:r>
      <w:r>
        <w:rPr>
          <w:rFonts w:asciiTheme="minorHAnsi" w:hAnsiTheme="minorHAnsi" w:cstheme="minorBidi"/>
          <w:b w:val="0"/>
          <w:bCs w:val="0"/>
          <w:sz w:val="21"/>
        </w:rPr>
        <w:tab/>
      </w:r>
      <w:r>
        <w:rPr>
          <w:rStyle w:val="63"/>
        </w:rPr>
        <w:t>相关工作</w:t>
      </w:r>
      <w:r>
        <w:tab/>
      </w:r>
      <w:r>
        <w:fldChar w:fldCharType="begin"/>
      </w:r>
      <w:r>
        <w:instrText xml:space="preserve"> PAGEREF _Toc56720944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"_Toc56720945"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项目创新点</w:t>
      </w:r>
      <w:r>
        <w:tab/>
      </w:r>
      <w:r>
        <w:fldChar w:fldCharType="begin"/>
      </w:r>
      <w:r>
        <w:instrText xml:space="preserve"> PAGEREF _Toc56720945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"_Toc56720946" </w:instrText>
      </w:r>
      <w:r>
        <w:fldChar w:fldCharType="separate"/>
      </w:r>
      <w:r>
        <w:rPr>
          <w:rStyle w:val="63"/>
          <w:rFonts w:cs="Times New Roman"/>
        </w:rPr>
        <w:t>2.1</w:t>
      </w:r>
      <w:r>
        <w:rPr>
          <w:rFonts w:asciiTheme="minorHAnsi" w:hAnsiTheme="minorHAnsi" w:cstheme="minorBidi"/>
          <w:b w:val="0"/>
          <w:bCs w:val="0"/>
          <w:sz w:val="21"/>
        </w:rPr>
        <w:tab/>
      </w:r>
      <w:r>
        <w:rPr>
          <w:rStyle w:val="63"/>
        </w:rPr>
        <w:t>技术性创新点</w:t>
      </w:r>
      <w:r>
        <w:tab/>
      </w:r>
      <w:r>
        <w:fldChar w:fldCharType="begin"/>
      </w:r>
      <w:r>
        <w:instrText xml:space="preserve"> PAGEREF _Toc56720946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"_Toc56720947" </w:instrText>
      </w:r>
      <w:r>
        <w:fldChar w:fldCharType="separate"/>
      </w:r>
      <w:r>
        <w:rPr>
          <w:rStyle w:val="63"/>
          <w:rFonts w:cs="Times New Roman"/>
        </w:rPr>
        <w:t>2.2</w:t>
      </w:r>
      <w:r>
        <w:rPr>
          <w:rFonts w:asciiTheme="minorHAnsi" w:hAnsiTheme="minorHAnsi" w:cstheme="minorBidi"/>
          <w:b w:val="0"/>
          <w:bCs w:val="0"/>
          <w:sz w:val="21"/>
        </w:rPr>
        <w:tab/>
      </w:r>
      <w:r>
        <w:rPr>
          <w:rStyle w:val="63"/>
        </w:rPr>
        <w:t>功能性创新点</w:t>
      </w:r>
      <w:r>
        <w:tab/>
      </w:r>
      <w:r>
        <w:fldChar w:fldCharType="begin"/>
      </w:r>
      <w:r>
        <w:instrText xml:space="preserve"> PAGEREF _Toc56720947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"_Toc56720948" </w:instrText>
      </w:r>
      <w:r>
        <w:fldChar w:fldCharType="separate"/>
      </w:r>
      <w:r>
        <w:rPr>
          <w:rStyle w:val="63"/>
          <w:rFonts w:cs="Times New Roman"/>
        </w:rPr>
        <w:t>2.3</w:t>
      </w:r>
      <w:r>
        <w:rPr>
          <w:rFonts w:asciiTheme="minorHAnsi" w:hAnsiTheme="minorHAnsi" w:cstheme="minorBidi"/>
          <w:b w:val="0"/>
          <w:bCs w:val="0"/>
          <w:sz w:val="21"/>
        </w:rPr>
        <w:tab/>
      </w:r>
      <w:r>
        <w:rPr>
          <w:rStyle w:val="63"/>
        </w:rPr>
        <w:t>其他创新点</w:t>
      </w:r>
      <w:r>
        <w:tab/>
      </w:r>
      <w:r>
        <w:fldChar w:fldCharType="begin"/>
      </w:r>
      <w:r>
        <w:instrText xml:space="preserve"> PAGEREF _Toc56720948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"_Toc56720949"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竞品分析</w:t>
      </w:r>
      <w:r>
        <w:tab/>
      </w:r>
      <w:r>
        <w:fldChar w:fldCharType="begin"/>
      </w:r>
      <w:r>
        <w:instrText xml:space="preserve"> PAGEREF _Toc56720949 \h </w:instrText>
      </w:r>
      <w:r>
        <w:fldChar w:fldCharType="separate"/>
      </w:r>
      <w:r>
        <w:t>3</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commentRangeStart w:id="9"/>
            <w:r>
              <w:rPr>
                <w:rFonts w:hint="eastAsia" w:ascii="宋体" w:hAnsi="宋体" w:eastAsia="宋体"/>
                <w:b/>
                <w:color w:val="000000"/>
                <w:sz w:val="21"/>
              </w:rPr>
              <w:t>修订</w:t>
            </w:r>
            <w:r>
              <w:rPr>
                <w:rFonts w:ascii="宋体" w:hAnsi="宋体" w:eastAsia="宋体"/>
                <w:b/>
                <w:color w:val="000000"/>
                <w:sz w:val="21"/>
              </w:rPr>
              <w:t>原因</w:t>
            </w:r>
            <w:commentRangeEnd w:id="9"/>
            <w:r>
              <w:rPr>
                <w:rStyle w:val="64"/>
                <w:rFonts w:asciiTheme="minorHAnsi" w:hAnsiTheme="minorHAnsi" w:eastAsiaTheme="minorEastAsia"/>
              </w:rPr>
              <w:commentReference w:id="9"/>
            </w:r>
          </w:p>
        </w:tc>
        <w:tc>
          <w:tcPr>
            <w:tcW w:w="1279" w:type="dxa"/>
            <w:vAlign w:val="center"/>
          </w:tcPr>
          <w:p>
            <w:pPr>
              <w:pStyle w:val="155"/>
              <w:rPr>
                <w:rFonts w:hint="eastAsia" w:ascii="宋体" w:hAnsi="宋体" w:eastAsia="宋体"/>
                <w:b/>
                <w:color w:val="000000"/>
                <w:sz w:val="21"/>
              </w:rPr>
            </w:pPr>
            <w:commentRangeStart w:id="10"/>
            <w:r>
              <w:rPr>
                <w:rFonts w:ascii="宋体" w:hAnsi="宋体" w:eastAsia="宋体"/>
                <w:b/>
                <w:color w:val="000000"/>
                <w:sz w:val="21"/>
              </w:rPr>
              <w:t>版本</w:t>
            </w:r>
            <w:r>
              <w:rPr>
                <w:rFonts w:hint="eastAsia" w:ascii="宋体" w:hAnsi="宋体" w:eastAsia="宋体"/>
                <w:b/>
                <w:color w:val="000000"/>
                <w:sz w:val="21"/>
              </w:rPr>
              <w:t>号</w:t>
            </w:r>
            <w:commentRangeEnd w:id="10"/>
            <w:r>
              <w:rPr>
                <w:rStyle w:val="64"/>
                <w:rFonts w:asciiTheme="minorHAnsi" w:hAnsiTheme="minorHAnsi" w:eastAsiaTheme="minorEastAsia"/>
              </w:rPr>
              <w:commentReference w:id="10"/>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20942"/>
      <w:bookmarkStart w:id="1" w:name="_Toc331238830"/>
      <w:bookmarkStart w:id="2" w:name="_Toc331238769"/>
      <w:bookmarkStart w:id="3" w:name="_Toc331545160"/>
      <w:bookmarkStart w:id="4" w:name="_Toc331243782"/>
      <w:bookmarkStart w:id="5" w:name="_Toc331243882"/>
      <w:bookmarkStart w:id="6" w:name="_Toc331243603"/>
      <w:bookmarkStart w:id="7" w:name="_Toc331243703"/>
      <w:commentRangeStart w:id="11"/>
      <w:r>
        <w:rPr>
          <w:rFonts w:hint="eastAsia"/>
        </w:rPr>
        <w:t>痛点分析</w:t>
      </w:r>
      <w:commentRangeEnd w:id="11"/>
      <w:r>
        <w:rPr>
          <w:rStyle w:val="64"/>
          <w:rFonts w:asciiTheme="minorHAnsi" w:hAnsiTheme="minorHAnsi" w:eastAsiaTheme="minorEastAsia"/>
          <w:b w:val="0"/>
          <w:bCs w:val="0"/>
          <w:kern w:val="2"/>
        </w:rPr>
        <w:commentReference w:id="11"/>
      </w:r>
      <w:bookmarkEnd w:id="0"/>
    </w:p>
    <w:p>
      <w:pPr>
        <w:spacing w:line="360" w:lineRule="auto" w:before="0" w:after="0"/>
        <w:ind w:firstLine="0"/>
      </w:pPr>
      <w:r>
        <w:rPr>
          <w:rFonts w:ascii="宋体" w:hAnsi="宋体" w:eastAsia="宋体"/>
          <w:b/>
          <w:sz w:val="28"/>
        </w:rPr>
        <w:t>痛点概述</w:t>
      </w:r>
    </w:p>
    <w:p>
      <w:pPr>
        <w:spacing w:line="360" w:lineRule="auto" w:before="0" w:after="0"/>
        <w:ind w:firstLine="420"/>
      </w:pPr>
      <w:r>
        <w:rPr>
          <w:rFonts w:ascii="宋体" w:hAnsi="宋体" w:eastAsia="宋体"/>
          <w:b w:val="0"/>
          <w:sz w:val="24"/>
        </w:rPr>
        <w:t>星火聚焦的不是某个功能缺口，而是大学生学习过程中的**系统性失效**。</w:t>
      </w:r>
    </w:p>
    <w:p>
      <w:pPr>
        <w:spacing w:line="360" w:lineRule="auto" w:before="0" w:after="0"/>
        <w:ind w:firstLine="420"/>
      </w:pPr>
      <w:r>
        <w:rPr>
          <w:rFonts w:ascii="宋体" w:hAnsi="宋体" w:eastAsia="宋体"/>
          <w:b w:val="0"/>
          <w:sz w:val="24"/>
        </w:rPr>
        <w:t>根据教育心理学中的自我调节学习理论（Zimmerman, 2002），有效学习要求学习者具备目标设定、策略选择、过程监控和结果反思四项元认知能力。然而大量研究表明，即使在高等教育阶段，大多数学生仍然缺乏自主调节学习的能力。在 AI 时代，学生并不缺课程资源、搜题入口或大模型问答能力——真正缺的是一套能持续推动自己前进的学习系统。</w:t>
      </w:r>
    </w:p>
    <w:p>
      <w:pPr>
        <w:spacing w:line="360" w:lineRule="auto" w:before="0" w:after="0"/>
        <w:ind w:firstLine="420"/>
      </w:pPr>
      <w:r>
        <w:rPr>
          <w:rFonts w:ascii="宋体" w:hAnsi="宋体" w:eastAsia="宋体"/>
          <w:b w:val="0"/>
          <w:sz w:val="24"/>
        </w:rPr>
        <w:t>我们将这种系统性失效归纳为四类核心痛点：</w:t>
      </w:r>
    </w:p>
    <w:p>
      <w:pPr>
        <w:spacing w:line="360" w:lineRule="auto" w:before="0" w:after="0"/>
        <w:ind w:firstLine="0"/>
      </w:pPr>
      <w:r>
        <w:rPr>
          <w:rFonts w:ascii="宋体" w:hAnsi="宋体" w:eastAsia="宋体"/>
          <w:b/>
          <w:sz w:val="24"/>
        </w:rPr>
        <w:t>痛点一：目标过大，难以启动——执行失败</w:t>
      </w:r>
    </w:p>
    <w:p>
      <w:pPr>
        <w:spacing w:line="360" w:lineRule="auto" w:before="0" w:after="0"/>
        <w:ind w:firstLine="420"/>
      </w:pPr>
      <w:r>
        <w:rPr>
          <w:rFonts w:ascii="宋体" w:hAnsi="宋体" w:eastAsia="宋体"/>
          <w:b w:val="0"/>
          <w:sz w:val="24"/>
        </w:rPr>
        <w:t>大学生面对的学习目标通常不是一句题目或一张卷子，而是"补完一整门课""准备期末""完成竞赛项目""建立长期知识体系"这类跨天、跨周、跨模块的任务。目标越大，行动越容易失真。用户往往知道自己应该努力，却不知道此刻应该从哪一步开始。</w:t>
      </w:r>
    </w:p>
    <w:p>
      <w:pPr>
        <w:spacing w:line="360" w:lineRule="auto" w:before="0" w:after="0"/>
        <w:ind w:firstLine="420"/>
      </w:pPr>
      <w:r>
        <w:rPr>
          <w:rFonts w:ascii="宋体" w:hAnsi="宋体" w:eastAsia="宋体"/>
          <w:b w:val="0"/>
          <w:sz w:val="24"/>
        </w:rPr>
        <w:t>这类问题的本质不是"缺提醒"，而是缺一条**从自然语言目标到可执行下一步的转化链路**。很多工具把学习管理停留在待办层，要求用户自己拆解、自己追踪、自己纠偏，实际门槛仍然很高。认知负荷理论（Sweller, 1988）指出，当元任务本身消耗过多认知资源时，学习者用于核心学习的心智带宽将显著下降。</w:t>
      </w:r>
    </w:p>
    <w:p>
      <w:pPr>
        <w:spacing w:line="360" w:lineRule="auto" w:before="0" w:after="0"/>
        <w:ind w:firstLine="0"/>
      </w:pPr>
      <w:r>
        <w:rPr>
          <w:rFonts w:ascii="宋体" w:hAnsi="宋体" w:eastAsia="宋体"/>
          <w:b/>
          <w:sz w:val="24"/>
        </w:rPr>
        <w:t>痛点二：知识碎片化，缺少结构感——认知失败</w:t>
      </w:r>
    </w:p>
    <w:p>
      <w:pPr>
        <w:spacing w:line="360" w:lineRule="auto" w:before="0" w:after="0"/>
        <w:ind w:firstLine="420"/>
      </w:pPr>
      <w:r>
        <w:rPr>
          <w:rFonts w:ascii="宋体" w:hAnsi="宋体" w:eastAsia="宋体"/>
          <w:b w:val="0"/>
          <w:sz w:val="24"/>
        </w:rPr>
        <w:t>学习不是信息收集，而是结构形成。很多学生会出现"学过很多，但串不起来""会做题，但不知道知识之间的关系""做错了，但说不清是概念没懂还是路径没建立"的情况。</w:t>
      </w:r>
    </w:p>
    <w:p>
      <w:pPr>
        <w:spacing w:line="360" w:lineRule="auto" w:before="0" w:after="0"/>
        <w:ind w:firstLine="420"/>
      </w:pPr>
      <w:r>
        <w:rPr>
          <w:rFonts w:ascii="宋体" w:hAnsi="宋体" w:eastAsia="宋体"/>
          <w:b w:val="0"/>
          <w:sz w:val="24"/>
        </w:rPr>
        <w:t>知识组织理论（Ausubel, 1968）强调，有意义学习发生在新知识与已有认知结构之间建立非任意联系的时刻。传统内容平台更多解决"我能看什么"，不太解决"我到底掌握了什么、缺了什么、该先补什么"。从产品视角看，用户需要的不只是答案，而是知识关系、前置路径、掌握度变化和复习节奏的**长期可视化表达**。</w:t>
      </w:r>
    </w:p>
    <w:p>
      <w:pPr>
        <w:spacing w:line="360" w:lineRule="auto" w:before="0" w:after="0"/>
        <w:ind w:firstLine="0"/>
      </w:pPr>
      <w:r>
        <w:rPr>
          <w:rFonts w:ascii="宋体" w:hAnsi="宋体" w:eastAsia="宋体"/>
          <w:b/>
          <w:sz w:val="24"/>
        </w:rPr>
        <w:t>痛点三：反馈滞后，成长不可感——动力失败</w:t>
      </w:r>
    </w:p>
    <w:p>
      <w:pPr>
        <w:spacing w:line="360" w:lineRule="auto" w:before="0" w:after="0"/>
        <w:ind w:firstLine="420"/>
      </w:pPr>
      <w:r>
        <w:rPr>
          <w:rFonts w:ascii="宋体" w:hAnsi="宋体" w:eastAsia="宋体"/>
          <w:b w:val="0"/>
          <w:sz w:val="24"/>
        </w:rPr>
        <w:t>学习的反馈周期天然偏长。用户今天背单词、做题、复盘，未必能马上看到成果；而在没有可视化成长反馈的情况下，动力往往先于能力耗尽。</w:t>
      </w:r>
    </w:p>
    <w:p>
      <w:pPr>
        <w:spacing w:line="360" w:lineRule="auto" w:before="0" w:after="0"/>
        <w:ind w:firstLine="420"/>
      </w:pPr>
      <w:r>
        <w:rPr>
          <w:rFonts w:ascii="宋体" w:hAnsi="宋体" w:eastAsia="宋体"/>
          <w:b w:val="0"/>
          <w:sz w:val="24"/>
        </w:rPr>
        <w:t>自我效能理论（Bandura, 1977）指出，个体对自身能力的信念直接影响其行为选择和坚持程度。现有打卡类产品多数只记录"做没做"，却很难让用户感受到"我到底在往哪里成长，我这段时间的努力是否真的在积累"。这使得大量学习行为停留在短时冲刺，而难以变成长期自驱。</w:t>
      </w:r>
    </w:p>
    <w:p>
      <w:pPr>
        <w:spacing w:line="360" w:lineRule="auto" w:before="0" w:after="0"/>
        <w:ind w:firstLine="0"/>
      </w:pPr>
      <w:r>
        <w:rPr>
          <w:rFonts w:ascii="宋体" w:hAnsi="宋体" w:eastAsia="宋体"/>
          <w:b/>
          <w:sz w:val="24"/>
        </w:rPr>
        <w:t>痛点四：执行断裂，AI 只停留在建议层——闭环失败</w:t>
      </w:r>
    </w:p>
    <w:p>
      <w:pPr>
        <w:spacing w:line="360" w:lineRule="auto" w:before="0" w:after="0"/>
        <w:ind w:firstLine="420"/>
      </w:pPr>
      <w:r>
        <w:rPr>
          <w:rFonts w:ascii="宋体" w:hAnsi="宋体" w:eastAsia="宋体"/>
          <w:b w:val="0"/>
          <w:sz w:val="24"/>
        </w:rPr>
        <w:t>即使今天的大模型已经可以给出学习建议、知识解释、复习方案，很多产品依然停留在"告诉你应该做什么"的层面，而没有继续帮助用户进入执行、验证和反馈闭环。对于用户来说，真正困难的往往不是听懂建议，而是把建议落实为一系列可以推进、可以追踪、可以修正的动作。</w:t>
      </w:r>
    </w:p>
    <w:p>
      <w:pPr>
        <w:spacing w:line="360" w:lineRule="auto" w:before="0" w:after="0"/>
        <w:ind w:firstLine="420"/>
      </w:pPr>
      <w:r>
        <w:rPr>
          <w:rFonts w:ascii="宋体" w:hAnsi="宋体" w:eastAsia="宋体"/>
          <w:b w:val="0"/>
          <w:sz w:val="24"/>
        </w:rPr>
        <w:t>因此，大学生真正缺的不是又一个"会回答问题"的 AI，也不是又一个"能记待办"的效率工具，而是一套能把**理解、规划、执行、反馈和成长沉淀**连接起来的学习成长系统。</w:t>
      </w:r>
    </w:p>
    <w:p>
      <w:pPr>
        <w:spacing w:line="360" w:lineRule="auto" w:before="0" w:after="0"/>
        <w:ind w:firstLine="420"/>
      </w:pPr>
      <w:r>
        <w:rPr>
          <w:rFonts w:ascii="宋体" w:hAnsi="宋体" w:eastAsia="宋体"/>
          <w:b w:val="0"/>
          <w:sz w:val="24"/>
        </w:rPr>
        <w:t>**[图 A1]** 大学生学习链路的四重断裂 *AI 生图提示词：A clean infographic showing four broken chain links labeled "Execution Failure", "Cognitive Failure", "Motivation Failure", and "Loop Failure". Each link has an icon: a fragmented plan, scattered puzzle pieces, a dimming flame, and a disconnected circuit. Use a modern dark-blue gradient background with glowing orange accent lines. Flat design, no text, professional competition poster style. 16:9 ratio.*</w:t>
      </w:r>
    </w:p>
    <w:p>
      <w:pPr>
        <w:pStyle w:val="4"/>
      </w:pPr>
      <w:bookmarkStart w:id="13" w:name="_Toc56720944"/>
      <w:commentRangeStart w:id="13"/>
      <w:r>
        <w:rPr>
          <w:rFonts w:hint="eastAsia"/>
        </w:rPr>
        <w:t>相关工作</w:t>
      </w:r>
      <w:bookmarkEnd w:id="13"/>
      <w:commentRangeEnd w:id="13"/>
      <w:r>
        <w:rPr>
          <w:rStyle w:val="64"/>
          <w:rFonts w:asciiTheme="minorHAnsi" w:hAnsiTheme="minorHAnsi" w:eastAsiaTheme="minorEastAsia"/>
          <w:b w:val="0"/>
          <w:bCs w:val="0"/>
        </w:rPr>
        <w:commentReference w:id="13"/>
      </w:r>
    </w:p>
    <w:p>
      <w:pPr>
        <w:spacing w:line="360" w:lineRule="auto" w:before="0" w:after="0"/>
        <w:ind w:firstLine="420"/>
      </w:pPr>
      <w:r>
        <w:rPr>
          <w:rFonts w:ascii="宋体" w:hAnsi="宋体" w:eastAsia="宋体"/>
          <w:b w:val="0"/>
          <w:sz w:val="24"/>
        </w:rPr>
        <w:t>当前和"学习"相关的数字化产品大体可以分为三类，每一类都有价值，但也都存在明显边界。</w:t>
      </w:r>
    </w:p>
    <w:p>
      <w:pPr>
        <w:spacing w:line="360" w:lineRule="auto" w:before="0" w:after="0"/>
        <w:ind w:firstLine="0"/>
      </w:pPr>
      <w:r>
        <w:rPr>
          <w:rFonts w:ascii="宋体" w:hAnsi="宋体" w:eastAsia="宋体"/>
          <w:b/>
          <w:sz w:val="24"/>
        </w:rPr>
        <w:t>第一类：通用学习对话型 AI</w:t>
      </w:r>
    </w:p>
    <w:p>
      <w:pPr>
        <w:spacing w:line="360" w:lineRule="auto" w:before="0" w:after="0"/>
        <w:ind w:firstLine="420"/>
      </w:pPr>
      <w:r>
        <w:rPr>
          <w:rFonts w:ascii="宋体" w:hAnsi="宋体" w:eastAsia="宋体"/>
          <w:b w:val="0"/>
          <w:sz w:val="24"/>
        </w:rPr>
        <w:t>以 **ChatGPT Study Mode** 和 **Khanmigo** 为代表。ChatGPT Study Mode 于 2025 年推出，核心能力包括 Socratic 式引导提问、分步解释、基于 Memory 的个性化记忆和材料上传（支持文档与图片）。Khanmigo 依托 Khan Academy 内容库，提供结合课程体系的启发式辅导。</w:t>
      </w:r>
    </w:p>
    <w:p>
      <w:pPr>
        <w:spacing w:line="360" w:lineRule="auto" w:before="0" w:after="0"/>
        <w:ind w:firstLine="420"/>
      </w:pPr>
      <w:r>
        <w:rPr>
          <w:rFonts w:ascii="宋体" w:hAnsi="宋体" w:eastAsia="宋体"/>
          <w:b w:val="0"/>
          <w:sz w:val="24"/>
        </w:rPr>
        <w:t>**核心价值**：它们比普通聊天机器人更像"学习中的对话伙伴"，能够帮助用户理解一个概念、拆开一道题、通过提问把思路慢慢引出来。</w:t>
      </w:r>
    </w:p>
    <w:p>
      <w:pPr>
        <w:spacing w:line="360" w:lineRule="auto" w:before="0" w:after="0"/>
        <w:ind w:firstLine="420"/>
      </w:pPr>
      <w:r>
        <w:rPr>
          <w:rFonts w:ascii="宋体" w:hAnsi="宋体" w:eastAsia="宋体"/>
          <w:b w:val="0"/>
          <w:sz w:val="24"/>
        </w:rPr>
        <w:t>**边界**：这类产品的核心仍然是"学习对话体验升级"，强项在讲解与引导，弱项在执行闭环、知识结构外显和长期成长沉淀。它们更像"更会教你的 AI"，而不一定是"更会陪你完成长期学习工程的系统"。Khanmigo 虽有课程路径，但其结构化程度受限于 Khan Academy 自身内容库。</w:t>
      </w:r>
    </w:p>
    <w:p>
      <w:pPr>
        <w:spacing w:line="360" w:lineRule="auto" w:before="0" w:after="0"/>
        <w:ind w:firstLine="0"/>
      </w:pPr>
      <w:r>
        <w:rPr>
          <w:rFonts w:ascii="宋体" w:hAnsi="宋体" w:eastAsia="宋体"/>
          <w:b/>
          <w:sz w:val="24"/>
        </w:rPr>
        <w:t>第二类：作业/解题辅助型 AI</w:t>
      </w:r>
    </w:p>
    <w:p>
      <w:pPr>
        <w:spacing w:line="360" w:lineRule="auto" w:before="0" w:after="0"/>
        <w:ind w:firstLine="420"/>
      </w:pPr>
      <w:r>
        <w:rPr>
          <w:rFonts w:ascii="宋体" w:hAnsi="宋体" w:eastAsia="宋体"/>
          <w:b w:val="0"/>
          <w:sz w:val="24"/>
        </w:rPr>
        <w:t>以 **StudyX** 和 **Gauth** 为代表。这类产品强调输入门槛低（拍照识别、OCR）、响应速度快（即时解答）、步骤拆解清晰、学科覆盖广，非常适合"遇到一道不会做的题"时获得快速帮助。StudyX 进一步整合了题库、资源推荐和专家服务入口。</w:t>
      </w:r>
    </w:p>
    <w:p>
      <w:pPr>
        <w:spacing w:line="360" w:lineRule="auto" w:before="0" w:after="0"/>
        <w:ind w:firstLine="420"/>
      </w:pPr>
      <w:r>
        <w:rPr>
          <w:rFonts w:ascii="宋体" w:hAnsi="宋体" w:eastAsia="宋体"/>
          <w:b w:val="0"/>
          <w:sz w:val="24"/>
        </w:rPr>
        <w:t>**核心价值**：在"点状问题求解"上极其高效，用户几乎不需要组织语言就能获得帮助。</w:t>
      </w:r>
    </w:p>
    <w:p>
      <w:pPr>
        <w:spacing w:line="360" w:lineRule="auto" w:before="0" w:after="0"/>
        <w:ind w:firstLine="420"/>
      </w:pPr>
      <w:r>
        <w:rPr>
          <w:rFonts w:ascii="宋体" w:hAnsi="宋体" w:eastAsia="宋体"/>
          <w:b w:val="0"/>
          <w:sz w:val="24"/>
        </w:rPr>
        <w:t>**边界**：典型的"点状求解"模式——擅长"当前题目"而非"长期知识结构"，擅长"帮你解"而非"帮你持续构建自己的学习系统"。解题行为本身极少被转化为长期的知识组织和成长反馈。</w:t>
      </w:r>
    </w:p>
    <w:p>
      <w:pPr>
        <w:spacing w:line="360" w:lineRule="auto" w:before="0" w:after="0"/>
        <w:ind w:firstLine="0"/>
      </w:pPr>
      <w:r>
        <w:rPr>
          <w:rFonts w:ascii="宋体" w:hAnsi="宋体" w:eastAsia="宋体"/>
          <w:b/>
          <w:sz w:val="24"/>
        </w:rPr>
        <w:t>第三类：资料学习与知识组织型工具</w:t>
      </w:r>
    </w:p>
    <w:p>
      <w:pPr>
        <w:spacing w:line="360" w:lineRule="auto" w:before="0" w:after="0"/>
        <w:ind w:firstLine="420"/>
      </w:pPr>
      <w:r>
        <w:rPr>
          <w:rFonts w:ascii="宋体" w:hAnsi="宋体" w:eastAsia="宋体"/>
          <w:b w:val="0"/>
          <w:sz w:val="24"/>
        </w:rPr>
        <w:t>以 **Quizlet** 的 Study Guides、Ask Quizlet 等能力为代表。这类产品擅长把已有材料转化成可学资源——生成学习指南、抽取闪卡、围绕资料做解释、帮用户快速整理学习内容。Quizlet 2025 年新增的 AI 辅助能力进一步强化了"材料 → 学习资源"的转化效率。</w:t>
      </w:r>
    </w:p>
    <w:p>
      <w:pPr>
        <w:spacing w:line="360" w:lineRule="auto" w:before="0" w:after="0"/>
        <w:ind w:firstLine="420"/>
      </w:pPr>
      <w:r>
        <w:rPr>
          <w:rFonts w:ascii="宋体" w:hAnsi="宋体" w:eastAsia="宋体"/>
          <w:b w:val="0"/>
          <w:sz w:val="24"/>
        </w:rPr>
        <w:t>**核心价值**：解决"把资料变成更容易学的形式"，非常适合复习、资料整理和短周期备考。</w:t>
      </w:r>
    </w:p>
    <w:p>
      <w:pPr>
        <w:spacing w:line="360" w:lineRule="auto" w:before="0" w:after="0"/>
        <w:ind w:firstLine="420"/>
      </w:pPr>
      <w:r>
        <w:rPr>
          <w:rFonts w:ascii="宋体" w:hAnsi="宋体" w:eastAsia="宋体"/>
          <w:b w:val="0"/>
          <w:sz w:val="24"/>
        </w:rPr>
        <w:t>**边界**：通常仍围绕"资料组织"或"学习材料加工"展开，对于执行推进、任务回流、行为留痕、长期成长反馈的关注相对不足。</w:t>
      </w:r>
    </w:p>
    <w:p>
      <w:pPr>
        <w:spacing w:line="360" w:lineRule="auto" w:before="0" w:after="0"/>
        <w:ind w:firstLine="0"/>
      </w:pPr>
      <w:r>
        <w:rPr>
          <w:rFonts w:ascii="宋体" w:hAnsi="宋体" w:eastAsia="宋体"/>
          <w:b/>
          <w:sz w:val="24"/>
        </w:rPr>
        <w:t>星火的切入点</w:t>
      </w:r>
    </w:p>
    <w:p>
      <w:pPr>
        <w:spacing w:line="360" w:lineRule="auto" w:before="0" w:after="0"/>
        <w:ind w:firstLine="420"/>
      </w:pPr>
      <w:r>
        <w:rPr>
          <w:rFonts w:ascii="宋体" w:hAnsi="宋体" w:eastAsia="宋体"/>
          <w:b w:val="0"/>
          <w:sz w:val="24"/>
        </w:rPr>
        <w:t>星火并不是要和上述产品在单一能力上逐项竞争，而是要解决一个更系统的问题：**当用户的学习目标是长期的、跨知识点的、带有执行成本和动力波动的，系统如何持续感知用户状态、帮助用户厘清问题、生成路径、推进执行，并把结果继续沉淀成后续成长资产。**</w:t>
      </w:r>
    </w:p>
    <w:p>
      <w:pPr>
        <w:spacing w:line="360" w:lineRule="auto" w:before="0" w:after="0"/>
        <w:ind w:firstLine="420"/>
      </w:pPr>
      <w:r>
        <w:rPr>
          <w:rFonts w:ascii="宋体" w:hAnsi="宋体" w:eastAsia="宋体"/>
          <w:b w:val="0"/>
          <w:sz w:val="24"/>
        </w:rPr>
        <w:t>这也是星火选择"成长系统"而不是"答题工具""学习资料工具"或"单轮学习对话工具"作为核心定位的原因。</w:t>
      </w:r>
    </w:p>
    <w:p>
      <w:pPr>
        <w:spacing w:line="360" w:lineRule="auto" w:before="0" w:after="0"/>
        <w:ind w:firstLine="420"/>
      </w:pPr>
      <w:r>
        <w:rPr>
          <w:rFonts w:ascii="宋体" w:hAnsi="宋体" w:eastAsia="宋体"/>
          <w:b w:val="0"/>
          <w:sz w:val="24"/>
        </w:rPr>
        <w:t>**[图 A2]** 学习产品演进坐标 *AI 生图提示词：A 2D scatter plot chart on dark background. X-axis labeled "Understanding of Long-term User State" (low to high), Y-axis labeled "Execution Loop Support" (low to high). Four product clusters as glowing dots: bottom-left "StudyX/Gauth" (blue), middle-left "Quizlet" (green), middle "ChatGPT Study Mode / Khanmigo" (yellow), top-right "Sparkle" (bright orange star icon). Dotted arrows show the evolution trajectory. Clean, data-viz style, no Chinese text. 16:9 ratio.*</w:t>
      </w:r>
    </w:p>
    <w:p>
      <w:pPr>
        <w:pStyle w:val="3"/>
        <w:ind w:firstLine="480"/>
      </w:pP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4" w:name="_Toc56711141"/>
      <w:bookmarkStart w:id="15" w:name="_Toc56710843"/>
      <w:bookmarkStart w:id="16" w:name="_Toc56711388"/>
      <w:bookmarkStart w:id="17" w:name="_Toc56710950"/>
      <w:bookmarkStart w:id="18" w:name="_Toc56720945"/>
      <w:commentRangeStart w:id="14"/>
      <w:r>
        <w:rPr>
          <w:rFonts w:hint="eastAsia"/>
        </w:rPr>
        <w:t>项目创新点</w:t>
      </w:r>
      <w:commentRangeEnd w:id="14"/>
      <w:r>
        <w:rPr>
          <w:rStyle w:val="64"/>
          <w:rFonts w:asciiTheme="minorHAnsi" w:hAnsiTheme="minorHAnsi" w:eastAsiaTheme="minorEastAsia"/>
          <w:b w:val="0"/>
          <w:bCs w:val="0"/>
          <w:kern w:val="2"/>
        </w:rPr>
        <w:commentReference w:id="14"/>
      </w:r>
      <w:bookmarkEnd w:id="14"/>
      <w:bookmarkEnd w:id="15"/>
      <w:bookmarkEnd w:id="16"/>
      <w:bookmarkEnd w:id="17"/>
      <w:bookmarkEnd w:id="18"/>
    </w:p>
    <w:p>
      <w:pPr>
        <w:pStyle w:val="4"/>
      </w:pPr>
      <w:bookmarkStart w:id="19" w:name="_Toc56720946"/>
      <w:bookmarkStart w:id="20" w:name="_Toc56711142"/>
      <w:bookmarkStart w:id="21" w:name="_Toc56710844"/>
      <w:bookmarkStart w:id="22" w:name="_Toc56710951"/>
      <w:bookmarkStart w:id="23" w:name="_Toc56711389"/>
      <w:r>
        <w:rPr>
          <w:rFonts w:hint="eastAsia"/>
        </w:rPr>
        <w:t>技术性创新点</w:t>
      </w:r>
      <w:bookmarkEnd w:id="19"/>
      <w:bookmarkEnd w:id="20"/>
      <w:bookmarkEnd w:id="21"/>
      <w:bookmarkEnd w:id="22"/>
      <w:bookmarkEnd w:id="23"/>
    </w:p>
    <w:p>
      <w:pPr>
        <w:spacing w:line="360" w:lineRule="auto" w:before="0" w:after="0"/>
        <w:ind w:firstLine="0"/>
      </w:pPr>
      <w:r>
        <w:rPr>
          <w:rFonts w:ascii="宋体" w:hAnsi="宋体" w:eastAsia="宋体"/>
          <w:b/>
          <w:sz w:val="24"/>
        </w:rPr>
        <w:t>创新点一：OpenClaw 执行闭环——把学习系统从建议层推进到执行层</w:t>
      </w:r>
    </w:p>
    <w:p>
      <w:pPr>
        <w:spacing w:line="360" w:lineRule="auto" w:before="0" w:after="0"/>
        <w:ind w:firstLine="420"/>
      </w:pPr>
      <w:r>
        <w:rPr>
          <w:rFonts w:ascii="宋体" w:hAnsi="宋体" w:eastAsia="宋体"/>
          <w:b w:val="0"/>
          <w:sz w:val="24"/>
        </w:rPr>
        <w:t>星火最具代表性的技术创新，是将 OpenClaw 执行引擎接入学习主链，构建了一条带有结构化意图、执行路由、安全边界、信任评估和结果回流的**完整执行闭环**。</w:t>
      </w:r>
    </w:p>
    <w:p>
      <w:pPr>
        <w:spacing w:line="360" w:lineRule="auto" w:before="0" w:after="0"/>
        <w:ind w:firstLine="420"/>
      </w:pPr>
      <w:r>
        <w:rPr>
          <w:rFonts w:ascii="宋体" w:hAnsi="宋体" w:eastAsia="宋体"/>
          <w:b w:val="0"/>
          <w:sz w:val="24"/>
        </w:rPr>
        <w:t>**技术实现深度**：系统先通过 `ExecutionIntent` 模型对任务进行结构化表达（包含 execution_mode、target_env、trust_level、policy 等字段），再由 `ExecutionRouter` 根据任务属性自动决策——运动、付款、密码等 HUMAN_ONLY 任务绝不自动执行，而规划、社交、OCR 等 AGENT_ELIGIBLE 任务才进入执行路由。执行完成后，`ResultParser` 解析结果，`ExecutionIngestor` 摄取数据，最终由 `TrustEngine` 进行三级信任评估（RAW → VALIDATED → TRUSTED），只有达到 TRUSTED 级别的结果才能触发后续行为信号和知识图谱更新。</w:t>
      </w:r>
    </w:p>
    <w:p>
      <w:pPr>
        <w:spacing w:line="360" w:lineRule="auto" w:before="0" w:after="0"/>
        <w:ind w:firstLine="420"/>
      </w:pPr>
      <w:r>
        <w:rPr>
          <w:rFonts w:ascii="宋体" w:hAnsi="宋体" w:eastAsia="宋体"/>
          <w:b w:val="0"/>
          <w:sz w:val="24"/>
        </w:rPr>
        <w:t>**信任晋升机制**：自动晋升需同时满足 5 次成功执行 + 85% 以上成功率 + 质量分数 ≥ 0.7 三个条件。质量分数计算公式为 `quality_score = (validation_ratio × 0.4) + (criteria_met × 0.4) + (completeness × 0.2)`，并自动过滤 password、secret、api_key、token 等敏感字段。</w:t>
      </w:r>
    </w:p>
    <w:p>
      <w:pPr>
        <w:spacing w:line="360" w:lineRule="auto" w:before="0" w:after="0"/>
        <w:ind w:firstLine="420"/>
      </w:pPr>
      <w:r>
        <w:rPr>
          <w:rFonts w:ascii="宋体" w:hAnsi="宋体" w:eastAsia="宋体"/>
          <w:b w:val="0"/>
          <w:sz w:val="24"/>
        </w:rPr>
        <w:t>**创新本质**：星火不是在"调用一个外部工具"，而是在"用一套学习语境下的治理机制去管理外部执行能力"。这让它从学习建议产品，走向了具备行动推进能力的学习成长系统。</w:t>
      </w:r>
    </w:p>
    <w:p>
      <w:pPr>
        <w:spacing w:line="360" w:lineRule="auto" w:before="0" w:after="0"/>
        <w:ind w:firstLine="0"/>
      </w:pPr>
      <w:r>
        <w:rPr>
          <w:rFonts w:ascii="宋体" w:hAnsi="宋体" w:eastAsia="宋体"/>
          <w:b/>
          <w:sz w:val="24"/>
        </w:rPr>
        <w:t>创新点二：Mirofish 多 Agent 协作——把复杂学习问题从单点回答升级为专家协作</w:t>
      </w:r>
    </w:p>
    <w:p>
      <w:pPr>
        <w:spacing w:line="360" w:lineRule="auto" w:before="0" w:after="0"/>
        <w:ind w:firstLine="420"/>
      </w:pPr>
      <w:r>
        <w:rPr>
          <w:rFonts w:ascii="宋体" w:hAnsi="宋体" w:eastAsia="宋体"/>
          <w:b w:val="0"/>
          <w:sz w:val="24"/>
        </w:rPr>
        <w:t>复杂学习任务往往天然跨多个能力域。例如一个期末备考问题同时涉及知识诊断、时间规划、错题复盘、学习路径安排和短期激励。单一大模型人格处理全部问题，很容易在深度、解释性和可控性上出现瓶颈。</w:t>
      </w:r>
    </w:p>
    <w:p>
      <w:pPr>
        <w:spacing w:line="360" w:lineRule="auto" w:before="0" w:after="0"/>
        <w:ind w:firstLine="420"/>
      </w:pPr>
      <w:r>
        <w:rPr>
          <w:rFonts w:ascii="宋体" w:hAnsi="宋体" w:eastAsia="宋体"/>
          <w:b w:val="0"/>
          <w:sz w:val="24"/>
        </w:rPr>
        <w:t>**技术实现深度**：Mirofish 基于 LangGraph StateGraph 构建，包含 **11 个专家节点**——galaxy_guide（知识星图导航）、exam_oracle（考试预测）、time_tutor（时间管理）、deep_analyst（深度分析）、error_analyst（错误诊断）、study_buddy（通用伙伴）、math_agent（数学）、code_agent（编程）、writing_agent（写作）、science_agent（理科）、search_agent（搜索）。每个专家通过 `GraphExpertSpec` 数据类注册，拥有独立的 system_prompt、planning_prompt 和 toolset，新专家注册即可自动加入路由器（插件化热插拔）。</w:t>
      </w:r>
    </w:p>
    <w:p>
      <w:pPr>
        <w:spacing w:line="360" w:lineRule="auto" w:before="0" w:after="0"/>
        <w:ind w:firstLine="420"/>
      </w:pPr>
      <w:r>
        <w:rPr>
          <w:rFonts w:ascii="宋体" w:hAnsi="宋体" w:eastAsia="宋体"/>
          <w:b w:val="0"/>
          <w:sz w:val="24"/>
        </w:rPr>
        <w:t>**五种协作模式**：</w:t>
      </w:r>
    </w:p>
    <w:p>
      <w:pPr>
        <w:spacing w:line="360" w:lineRule="auto" w:before="0" w:after="0"/>
        <w:ind w:firstLine="0"/>
      </w:pPr>
      <w:r>
        <w:rPr>
          <w:rFonts w:ascii="宋体" w:hAnsi="宋体" w:eastAsia="宋体"/>
          <w:b w:val="0"/>
          <w:sz w:val="24"/>
        </w:rPr>
        <w:t>**single**：单专家直接响应简单问题</w:t>
      </w:r>
    </w:p>
    <w:p>
      <w:pPr>
        <w:spacing w:line="360" w:lineRule="auto" w:before="0" w:after="0"/>
        <w:ind w:firstLine="0"/>
      </w:pPr>
      <w:r>
        <w:rPr>
          <w:rFonts w:ascii="宋体" w:hAnsi="宋体" w:eastAsia="宋体"/>
          <w:b w:val="0"/>
          <w:sz w:val="24"/>
        </w:rPr>
        <w:t>**sequential**：多专家串行执行，结果依次传递（如：先诊断再规划）</w:t>
      </w:r>
    </w:p>
    <w:p>
      <w:pPr>
        <w:spacing w:line="360" w:lineRule="auto" w:before="0" w:after="0"/>
        <w:ind w:firstLine="0"/>
      </w:pPr>
      <w:r>
        <w:rPr>
          <w:rFonts w:ascii="宋体" w:hAnsi="宋体" w:eastAsia="宋体"/>
          <w:b w:val="0"/>
          <w:sz w:val="24"/>
        </w:rPr>
        <w:t>**parallel**：多专家并行执行，由 aggregator 自动合并结果</w:t>
      </w:r>
    </w:p>
    <w:p>
      <w:pPr>
        <w:spacing w:line="360" w:lineRule="auto" w:before="0" w:after="0"/>
        <w:ind w:firstLine="0"/>
      </w:pPr>
      <w:r>
        <w:rPr>
          <w:rFonts w:ascii="宋体" w:hAnsi="宋体" w:eastAsia="宋体"/>
          <w:b w:val="0"/>
          <w:sz w:val="24"/>
        </w:rPr>
        <w:t>**debate**：正反方辩论式推演，最终由 aggregator 综合裁决</w:t>
      </w:r>
    </w:p>
    <w:p>
      <w:pPr>
        <w:spacing w:line="360" w:lineRule="auto" w:before="0" w:after="0"/>
        <w:ind w:firstLine="0"/>
      </w:pPr>
      <w:r>
        <w:rPr>
          <w:rFonts w:ascii="宋体" w:hAnsi="宋体" w:eastAsia="宋体"/>
          <w:b w:val="0"/>
          <w:sz w:val="24"/>
        </w:rPr>
        <w:t>**delegation**：主专家委托子专家执行子任务，主专家做最终决策</w:t>
      </w:r>
    </w:p>
    <w:p>
      <w:pPr>
        <w:spacing w:line="360" w:lineRule="auto" w:before="0" w:after="0"/>
        <w:ind w:firstLine="420"/>
      </w:pPr>
      <w:r>
        <w:rPr>
          <w:rFonts w:ascii="宋体" w:hAnsi="宋体" w:eastAsia="宋体"/>
          <w:b w:val="0"/>
          <w:sz w:val="24"/>
        </w:rPr>
        <w:t>**创新本质**：Mirofish 不是"多起几个模型实例"，而是把学习问题从黑盒回答改造成可组织、可拆分、可协作、可重规划的工作流问题，让复杂问题不再依赖单次提示词质量，而依赖一套结构化协作机制。协作引擎核心代码量达 922 行（`collaboration.py`），专家注册表 203 行（`expert_registry.py`），图编译 318 行（`workflow.py`）。</w:t>
      </w:r>
    </w:p>
    <w:p>
      <w:pPr>
        <w:spacing w:line="360" w:lineRule="auto" w:before="0" w:after="0"/>
        <w:ind w:firstLine="0"/>
      </w:pPr>
      <w:r>
        <w:rPr>
          <w:rFonts w:ascii="宋体" w:hAnsi="宋体" w:eastAsia="宋体"/>
          <w:b/>
          <w:sz w:val="24"/>
        </w:rPr>
        <w:t>创新点三：GraphRAG + 知识星图——让学习不再停留在语义匹配</w:t>
      </w:r>
    </w:p>
    <w:p>
      <w:pPr>
        <w:spacing w:line="360" w:lineRule="auto" w:before="0" w:after="0"/>
        <w:ind w:firstLine="420"/>
      </w:pPr>
      <w:r>
        <w:rPr>
          <w:rFonts w:ascii="宋体" w:hAnsi="宋体" w:eastAsia="宋体"/>
          <w:b w:val="0"/>
          <w:sz w:val="24"/>
        </w:rPr>
        <w:t>教育场景中的知识关系不是简单的"文本相似"，而是"前置-递进-应用-易混-迁移"等多种结构关系。</w:t>
      </w:r>
    </w:p>
    <w:p>
      <w:pPr>
        <w:spacing w:line="360" w:lineRule="auto" w:before="0" w:after="0"/>
        <w:ind w:firstLine="420"/>
      </w:pPr>
      <w:r>
        <w:rPr>
          <w:rFonts w:ascii="宋体" w:hAnsi="宋体" w:eastAsia="宋体"/>
          <w:b w:val="0"/>
          <w:sz w:val="24"/>
        </w:rPr>
        <w:t>**技术实现深度**：星火采用 GraphRAG 双模检索架构——pgvector HNSW 索引实现高效向量语义检索（1000 次余弦相似度计算 &lt; 100ms），同时通过 Apache AGE 图数据库客户端（394 行，支持 Cypher 查询构建器和异步连接池）和 NetworkX 图结构实现知识路径推理。`GraphReasoningService`（436 行）使用 Dijkstra 变体算法融合节点掌握度权重，进行循环检测预处理和个性化路径生成。图结构通过 Redis 缓存（pickle protocol 5，TTL 300s）实现热加载。</w:t>
      </w:r>
    </w:p>
    <w:p>
      <w:pPr>
        <w:spacing w:line="360" w:lineRule="auto" w:before="0" w:after="0"/>
        <w:ind w:firstLine="420"/>
      </w:pPr>
      <w:r>
        <w:rPr>
          <w:rFonts w:ascii="宋体" w:hAnsi="宋体" w:eastAsia="宋体"/>
          <w:b w:val="0"/>
          <w:sz w:val="24"/>
        </w:rPr>
        <w:t>**知识星图 6+1 星域体系**：COSMOS（理性/数理逻辑）、TECH（造物/工程 AI）、ART（灵感/设计文学）、CIVILIZATION（文明/历史经济）、LIFE（生活/健身心理）、WISDOM（智慧/哲学方法论）和 VOID（暗物质区/跨领域新兴概念）。采用 GLSL Shader 实现星图可视化渲染，支持渐进式揭示（从混沌到点亮）、有机生长（随学习自动拓展）和遗忘可视化（长期不复习的知识逐渐暗淡）。</w:t>
      </w:r>
    </w:p>
    <w:p>
      <w:pPr>
        <w:spacing w:line="360" w:lineRule="auto" w:before="0" w:after="0"/>
        <w:ind w:firstLine="420"/>
      </w:pPr>
      <w:r>
        <w:rPr>
          <w:rFonts w:ascii="宋体" w:hAnsi="宋体" w:eastAsia="宋体"/>
          <w:b w:val="0"/>
          <w:sz w:val="24"/>
        </w:rPr>
        <w:t>**检索追踪**：通过 `RetrievalTrace` 记录每次检索的节点信息、关系信息、检索方法详情和性能指标，实现检索过程完全可解释。</w:t>
      </w:r>
    </w:p>
    <w:p>
      <w:pPr>
        <w:spacing w:line="360" w:lineRule="auto" w:before="0" w:after="0"/>
        <w:ind w:firstLine="420"/>
      </w:pPr>
      <w:r>
        <w:rPr>
          <w:rFonts w:ascii="宋体" w:hAnsi="宋体" w:eastAsia="宋体"/>
          <w:b w:val="0"/>
          <w:sz w:val="24"/>
        </w:rPr>
        <w:t>**创新本质**：GraphRAG 让系统不仅能找到"像什么"，还能理解"为什么相关""路径怎么走""哪里断了"。这不是一般意义上的 AI 检索增强，而是面向真实学习路径的知识组织创新。</w:t>
      </w:r>
    </w:p>
    <w:p>
      <w:pPr>
        <w:spacing w:line="360" w:lineRule="auto" w:before="0" w:after="0"/>
        <w:ind w:firstLine="0"/>
      </w:pPr>
      <w:r>
        <w:rPr>
          <w:rFonts w:ascii="宋体" w:hAnsi="宋体" w:eastAsia="宋体"/>
          <w:b/>
          <w:sz w:val="24"/>
        </w:rPr>
        <w:t>创新点四：双核编排——让认知理解和执行推进协同而非混杂</w:t>
      </w:r>
    </w:p>
    <w:p>
      <w:pPr>
        <w:spacing w:line="360" w:lineRule="auto" w:before="0" w:after="0"/>
        <w:ind w:firstLine="420"/>
      </w:pPr>
      <w:r>
        <w:rPr>
          <w:rFonts w:ascii="宋体" w:hAnsi="宋体" w:eastAsia="宋体"/>
          <w:b w:val="0"/>
          <w:sz w:val="24"/>
        </w:rPr>
        <w:t>很多 AI 产品把画像、理解、规划、工具调用、输出结果全部堆进同一个推理管线中，导致个性化、执行性和安全性相互牵扯。</w:t>
      </w:r>
    </w:p>
    <w:p>
      <w:pPr>
        <w:spacing w:line="360" w:lineRule="auto" w:before="0" w:after="0"/>
        <w:ind w:firstLine="420"/>
      </w:pPr>
      <w:r>
        <w:rPr>
          <w:rFonts w:ascii="宋体" w:hAnsi="宋体" w:eastAsia="宋体"/>
          <w:b w:val="0"/>
          <w:sz w:val="24"/>
        </w:rPr>
        <w:t>**技术实现深度**：星火将系统划分为**认知核**与**执行核**。认知核负责贝叶斯用户画像（`PersistentBayesianLearner`，追踪逻辑偏好、记忆强度、好奇心、语言习惯四个维度）、多维能力图谱（`MultiDimensionalLearner`）、认知棱镜（`CognitivePrism`）、情绪与动机感知。执行核负责充分性检查（`SufficiencyChecker`，意图驱动的字段要求矩阵：required / clarify_if_missing / can_infer）、LangGraph 规划（规划阶段不执行工具，生成 `ExecutablePlan` 后交由执行层）、执行路由与结果回流。</w:t>
      </w:r>
    </w:p>
    <w:p>
      <w:pPr>
        <w:spacing w:line="360" w:lineRule="auto" w:before="0" w:after="0"/>
        <w:ind w:firstLine="420"/>
      </w:pPr>
      <w:r>
        <w:rPr>
          <w:rFonts w:ascii="宋体" w:hAnsi="宋体" w:eastAsia="宋体"/>
          <w:b w:val="0"/>
          <w:sz w:val="24"/>
        </w:rPr>
        <w:t>主编排器 `ChatOrchestrator`（1619 行）采用模块化 Mixin 架构，由 8 个 Mixin 组合——ContextBuilderMixin、RoutingEngineMixin、ValidationEngineMixin、SessionStateMixin、ExecutionEngineMixin、ResponseBuilderMixin、PersistenceLayerMixin、ObservabilityMixin，实现关注点彻底分离。</w:t>
      </w:r>
    </w:p>
    <w:p>
      <w:pPr>
        <w:spacing w:line="360" w:lineRule="auto" w:before="0" w:after="0"/>
        <w:ind w:firstLine="420"/>
      </w:pPr>
      <w:r>
        <w:rPr>
          <w:rFonts w:ascii="宋体" w:hAnsi="宋体" w:eastAsia="宋体"/>
          <w:b w:val="0"/>
          <w:sz w:val="24"/>
        </w:rPr>
        <w:t>**创新本质**：双核设计让系统同时具备长期个性化和当前任务执行力，不必在"会理解你"和"能推进事情"之间做二选一。</w:t>
      </w:r>
    </w:p>
    <w:p>
      <w:pPr>
        <w:spacing w:line="360" w:lineRule="auto" w:before="0" w:after="0"/>
        <w:ind w:firstLine="420"/>
      </w:pPr>
      <w:r>
        <w:rPr>
          <w:rFonts w:ascii="宋体" w:hAnsi="宋体" w:eastAsia="宋体"/>
          <w:b w:val="0"/>
          <w:sz w:val="24"/>
        </w:rPr>
        <w:t>**[图 A3]** 星火四项核心技术创新 *AI 生图提示词：A central hub diagram with "Sparkle" as a glowing star in the center. Four branches radiate outward: top-left "OpenClaw Execution Loop" with a circular arrow icon, top-right "Mirofish Multi-Agent" with connected nodes icon, bottom-left "GraphRAG Knowledge Galaxy" with constellation icon, bottom-right "Dual-Core Orchestration" with brain+gear icon. Each branch has 2-3 keyword bubbles. Dark space theme with vibrant gradients. Professional, clean layout. 16:9 ratio.*</w:t>
      </w:r>
    </w:p>
    <w:p>
      <w:pPr>
        <w:pStyle w:val="4"/>
      </w:pPr>
      <w:bookmarkStart w:id="24" w:name="_Toc56720947"/>
      <w:r>
        <w:rPr>
          <w:rFonts w:hint="eastAsia"/>
        </w:rPr>
        <w:t>功能性创新点</w:t>
      </w:r>
      <w:bookmarkEnd w:id="24"/>
    </w:p>
    <w:p>
      <w:pPr>
        <w:spacing w:line="360" w:lineRule="auto" w:before="0" w:after="0"/>
        <w:ind w:firstLine="0"/>
      </w:pPr>
      <w:r>
        <w:rPr>
          <w:rFonts w:ascii="宋体" w:hAnsi="宋体" w:eastAsia="宋体"/>
          <w:b/>
          <w:sz w:val="24"/>
        </w:rPr>
        <w:t>创新点一：学习成长闭环产品化——七阶段增长飞轮</w:t>
      </w:r>
    </w:p>
    <w:p>
      <w:pPr>
        <w:spacing w:line="360" w:lineRule="auto" w:before="0" w:after="0"/>
        <w:ind w:firstLine="420"/>
      </w:pPr>
      <w:r>
        <w:rPr>
          <w:rFonts w:ascii="宋体" w:hAnsi="宋体" w:eastAsia="宋体"/>
          <w:b w:val="0"/>
          <w:sz w:val="24"/>
        </w:rPr>
        <w:t>星火真正想做的不是"多几个功能页面"，而是把用户学习过程拆成连续阶段并通过产品体验串起来：**感知（Sense）→ 厘清（Clarify）→ 规划（Plan）→ 执行（Execute）→ 反思（Reflect）→ 强化（Reinforce）→ 适应（Adapt）**。</w:t>
      </w:r>
    </w:p>
    <w:p>
      <w:pPr>
        <w:spacing w:line="360" w:lineRule="auto" w:before="0" w:after="0"/>
        <w:ind w:firstLine="420"/>
      </w:pPr>
      <w:r>
        <w:rPr>
          <w:rFonts w:ascii="宋体" w:hAnsi="宋体" w:eastAsia="宋体"/>
          <w:b w:val="0"/>
          <w:sz w:val="24"/>
        </w:rPr>
        <w:t>每一个阶段都有对应的系统能力支撑：感知阶段由认知核的画像与状态感知驱动；厘清阶段通过对话澄清和充分性检查降低启动门槛；规划阶段由 LangGraph 规划器生成结构化计划和任务；执行阶段可选择 Mirofish 多 Agent 协作或 OpenClaw 外部执行；反思阶段由学习报告和知识剧场提供结构化回顾；强化阶段通过成就系统和多感官反馈巩固动力；适应阶段由自动调优器（`auto_optimizer.py`）根据用户采纳率调整后续策略。</w:t>
      </w:r>
    </w:p>
    <w:p>
      <w:pPr>
        <w:spacing w:line="360" w:lineRule="auto" w:before="0" w:after="0"/>
        <w:ind w:firstLine="420"/>
      </w:pPr>
      <w:r>
        <w:rPr>
          <w:rFonts w:ascii="宋体" w:hAnsi="宋体" w:eastAsia="宋体"/>
          <w:b w:val="0"/>
          <w:sz w:val="24"/>
        </w:rPr>
        <w:t>这意味着系统的核心设计单位不再是"一个页面"或"一个按钮"，而是"一个能被持续推进的成长链条"。</w:t>
      </w:r>
    </w:p>
    <w:p>
      <w:pPr>
        <w:spacing w:line="360" w:lineRule="auto" w:before="0" w:after="0"/>
        <w:ind w:firstLine="0"/>
      </w:pPr>
      <w:r>
        <w:rPr>
          <w:rFonts w:ascii="宋体" w:hAnsi="宋体" w:eastAsia="宋体"/>
          <w:b/>
          <w:sz w:val="24"/>
        </w:rPr>
        <w:t>创新点二：知识星图——把成长从抽象概念变成可见资产</w:t>
      </w:r>
    </w:p>
    <w:p>
      <w:pPr>
        <w:spacing w:line="360" w:lineRule="auto" w:before="0" w:after="0"/>
        <w:ind w:firstLine="420"/>
      </w:pPr>
      <w:r>
        <w:rPr>
          <w:rFonts w:ascii="宋体" w:hAnsi="宋体" w:eastAsia="宋体"/>
          <w:b w:val="0"/>
          <w:sz w:val="24"/>
        </w:rPr>
        <w:t>在传统学习产品中，成长往往是隐形的。知识星图将学习结构、掌握度变化、前置关系和遗忘趋势可视化，让成长从"我感觉我进步了"变成"我能看到我在哪里变强了"。</w:t>
      </w:r>
    </w:p>
    <w:p>
      <w:pPr>
        <w:spacing w:line="360" w:lineRule="auto" w:before="0" w:after="0"/>
        <w:ind w:firstLine="420"/>
      </w:pPr>
      <w:r>
        <w:rPr>
          <w:rFonts w:ascii="宋体" w:hAnsi="宋体" w:eastAsia="宋体"/>
          <w:b w:val="0"/>
          <w:sz w:val="24"/>
        </w:rPr>
        <w:t>星图采用"能量源（Flame）→ 飞升（Ascension）→ 星辰（Star）→ 星座涌现（Constellation Emergence）"的成长隐喻，用 GLSL Shader 实现天体级视觉效果。每颗知识星承载学习记忆，长期不复习的星逐渐暗淡——遗忘可视化通过 `DecayService` 与任务系统联动，将艾宾浩斯遗忘曲线直接映射为视觉反馈。</w:t>
      </w:r>
    </w:p>
    <w:p>
      <w:pPr>
        <w:spacing w:line="360" w:lineRule="auto" w:before="0" w:after="0"/>
        <w:ind w:firstLine="420"/>
      </w:pPr>
      <w:r>
        <w:rPr>
          <w:rFonts w:ascii="宋体" w:hAnsi="宋体" w:eastAsia="宋体"/>
          <w:b w:val="0"/>
          <w:sz w:val="24"/>
        </w:rPr>
        <w:t>这类可视化不是装饰，它直接作用于动力系统——把反馈周期从结果发生之后，提前到了成长过程本身。</w:t>
      </w:r>
    </w:p>
    <w:p>
      <w:pPr>
        <w:spacing w:line="360" w:lineRule="auto" w:before="0" w:after="0"/>
        <w:ind w:firstLine="0"/>
      </w:pPr>
      <w:r>
        <w:rPr>
          <w:rFonts w:ascii="宋体" w:hAnsi="宋体" w:eastAsia="宋体"/>
          <w:b/>
          <w:sz w:val="24"/>
        </w:rPr>
        <w:t>创新点三：知识剧场与学习模拟——系统具备"反思"和"预演"能力</w:t>
      </w:r>
    </w:p>
    <w:p>
      <w:pPr>
        <w:spacing w:line="360" w:lineRule="auto" w:before="0" w:after="0"/>
        <w:ind w:firstLine="420"/>
      </w:pPr>
      <w:r>
        <w:rPr>
          <w:rFonts w:ascii="宋体" w:hAnsi="宋体" w:eastAsia="宋体"/>
          <w:b w:val="0"/>
          <w:sz w:val="24"/>
        </w:rPr>
        <w:t>**知识剧场**（Prediction Theater）：输入用户话题，基于知识图谱推理生成多条学习路径预测，配备 `PredictionAccuracyTracker` 持续追踪预测准确度。当目标节点查找失败时，`free_mode` 降级策略仍能生成推演结果，保证用户体验连续性。</w:t>
      </w:r>
    </w:p>
    <w:p>
      <w:pPr>
        <w:spacing w:line="360" w:lineRule="auto" w:before="0" w:after="0"/>
        <w:ind w:firstLine="420"/>
      </w:pPr>
      <w:r>
        <w:rPr>
          <w:rFonts w:ascii="宋体" w:hAnsi="宋体" w:eastAsia="宋体"/>
          <w:b w:val="0"/>
          <w:sz w:val="24"/>
        </w:rPr>
        <w:t>**学习模拟**（Simulation Engine）：支持 **8 种场景模板**——knowledge_debate（正反方辩论）、historical_roleplay（历史角色扮演，参与者来自知识图谱）、study_group（虚拟学习小组，不同理解层次）、socratic_dialogue（苏格拉底式对话）、case_analysis（案例拆解决策）、what_if_path（学习路径 What-If 推演）、concept_map_build（协作构建概念图）、error_diagnosis（从错误现象倒推根因）。</w:t>
      </w:r>
    </w:p>
    <w:p>
      <w:pPr>
        <w:spacing w:line="360" w:lineRule="auto" w:before="0" w:after="0"/>
        <w:ind w:firstLine="420"/>
      </w:pPr>
      <w:r>
        <w:rPr>
          <w:rFonts w:ascii="宋体" w:hAnsi="宋体" w:eastAsia="宋体"/>
          <w:b w:val="0"/>
          <w:sz w:val="24"/>
        </w:rPr>
        <w:t>每个模拟参与者（`AgentParticipant`）拥有独立记忆（最近 8 条）、策略、立场和角色，由 `ModeratorDecision` 智能控制谁发言、是否暂停、是否结束，并通过 `UserInteractionPoint` 提供用户参与机会。</w:t>
      </w:r>
    </w:p>
    <w:p>
      <w:pPr>
        <w:spacing w:line="360" w:lineRule="auto" w:before="0" w:after="0"/>
        <w:ind w:firstLine="420"/>
      </w:pPr>
      <w:r>
        <w:rPr>
          <w:rFonts w:ascii="宋体" w:hAnsi="宋体" w:eastAsia="宋体"/>
          <w:b w:val="0"/>
          <w:sz w:val="24"/>
        </w:rPr>
        <w:t>**创新本质**：让星火不只是"帮你做今天的事"，而是"帮你看清你为什么在这样学，以及下一步可能怎么学得更好"。</w:t>
      </w:r>
    </w:p>
    <w:p>
      <w:pPr>
        <w:spacing w:line="360" w:lineRule="auto" w:before="0" w:after="0"/>
        <w:ind w:firstLine="0"/>
      </w:pPr>
      <w:r>
        <w:rPr>
          <w:rFonts w:ascii="宋体" w:hAnsi="宋体" w:eastAsia="宋体"/>
          <w:b/>
          <w:sz w:val="24"/>
        </w:rPr>
        <w:t>创新点四：多感官成长反馈——提升情绪连接和使用黏性</w:t>
      </w:r>
    </w:p>
    <w:p>
      <w:pPr>
        <w:spacing w:line="360" w:lineRule="auto" w:before="0" w:after="0"/>
        <w:ind w:firstLine="420"/>
      </w:pPr>
      <w:r>
        <w:rPr>
          <w:rFonts w:ascii="宋体" w:hAnsi="宋体" w:eastAsia="宋体"/>
          <w:b w:val="0"/>
          <w:sz w:val="24"/>
        </w:rPr>
        <w:t>**路由级 BGM 系统**：`BgmService` 实现路由感知的背景音乐切换，覆盖 20+ 场景 track（dashboard、chat、galaxy、focus、celebration 等），支持 5 种音色调性（adaptive、classical、piano、airy、warm），3 种播放模式（adaptive、focusOnly、silent），采用 route &gt; stage &gt; component 三级优先级机制。精选古典音乐库包含 Mozart、Chopin、Beethoven、久石让等大师作品。</w:t>
      </w:r>
    </w:p>
    <w:p>
      <w:pPr>
        <w:spacing w:line="360" w:lineRule="auto" w:before="0" w:after="0"/>
        <w:ind w:firstLine="420"/>
      </w:pPr>
      <w:r>
        <w:rPr>
          <w:rFonts w:ascii="宋体" w:hAnsi="宋体" w:eastAsia="宋体"/>
          <w:b w:val="0"/>
          <w:sz w:val="24"/>
        </w:rPr>
        <w:t>**触觉反馈与视觉系统**：`SensoryFeedbackService` 管理触觉与音效的预算和策略；Design System V2 提供 SparkleMaterial / NeoGlass / Ceramic 三种材质体系；`SparkleMotionPrimitives` 统一共享动画原语；`SparkleConfetti` 实现庆祝粒子效果；成就解锁时 `achievement_unlock_dialog.dart` 触发全方位的视觉 + 音频 + 触觉庆祝。</w:t>
      </w:r>
    </w:p>
    <w:p>
      <w:pPr>
        <w:spacing w:line="360" w:lineRule="auto" w:before="0" w:after="0"/>
        <w:ind w:firstLine="420"/>
      </w:pPr>
      <w:r>
        <w:rPr>
          <w:rFonts w:ascii="宋体" w:hAnsi="宋体" w:eastAsia="宋体"/>
          <w:b w:val="0"/>
          <w:sz w:val="24"/>
        </w:rPr>
        <w:t>**创新本质**：对于长期学习产品而言，真正的竞争力不只是准确率，也包括用户愿不愿意长期留下来。多感官反馈让成长变得可感知、可记忆、可持续。</w:t>
      </w:r>
    </w:p>
    <w:p>
      <w:pPr>
        <w:spacing w:line="360" w:lineRule="auto" w:before="0" w:after="0"/>
        <w:ind w:firstLine="420"/>
      </w:pPr>
      <w:r>
        <w:rPr>
          <w:rFonts w:ascii="宋体" w:hAnsi="宋体" w:eastAsia="宋体"/>
          <w:b w:val="0"/>
          <w:sz w:val="24"/>
        </w:rPr>
        <w:t>**[图 A4]** 星火学习成长飞轮 *AI 生图提示词：A circular flywheel diagram with 7 stages arranged clockwise: "Sense" (eye icon), "Clarify" (magnifying glass), "Plan" (map), "Execute" (rocket), "Reflect" (mirror), "Reinforce" (trophy), "Adapt" (refresh arrows). Center shows a glowing "Sparkle" star logo. Connecting arrows between stages glow progressively brighter. Dark space theme with warm orange and cool blue gradients. Clean infographic style. 1:1 ratio.*</w:t>
      </w:r>
    </w:p>
    <w:p>
      <w:pPr>
        <w:pStyle w:val="4"/>
      </w:pPr>
      <w:bookmarkStart w:id="25" w:name="_Toc56720948"/>
      <w:r>
        <w:rPr>
          <w:rFonts w:hint="eastAsia"/>
        </w:rPr>
        <w:t>其他创新点</w:t>
      </w:r>
      <w:bookmarkEnd w:id="25"/>
    </w:p>
    <w:p>
      <w:pPr>
        <w:spacing w:line="360" w:lineRule="auto" w:before="0" w:after="0"/>
        <w:ind w:firstLine="0"/>
      </w:pPr>
      <w:r>
        <w:rPr>
          <w:rFonts w:ascii="宋体" w:hAnsi="宋体" w:eastAsia="宋体"/>
          <w:b/>
          <w:sz w:val="24"/>
        </w:rPr>
        <w:t>其他创新点一：三明治异构混合架构——面向真实落地的系统级拆分</w:t>
      </w:r>
    </w:p>
    <w:p>
      <w:pPr>
        <w:spacing w:line="360" w:lineRule="auto" w:before="0" w:after="0"/>
        <w:ind w:firstLine="420"/>
      </w:pPr>
      <w:r>
        <w:rPr>
          <w:rFonts w:ascii="宋体" w:hAnsi="宋体" w:eastAsia="宋体"/>
          <w:b w:val="0"/>
          <w:sz w:val="24"/>
        </w:rPr>
        <w:t>Flutter + Go Gateway + Python AI Engine 的三层异构架构不是为了"看起来复杂"，而是基于职责差异做出的系统级拆分：</w:t>
      </w:r>
    </w:p>
    <w:p>
      <w:pPr>
        <w:spacing w:line="360" w:lineRule="auto" w:before="0" w:after="0"/>
        <w:ind w:firstLine="420"/>
      </w:pPr>
      <w:r>
        <w:rPr>
          <w:rFonts w:ascii="宋体" w:hAnsi="宋体" w:eastAsia="宋体"/>
          <w:b w:val="0"/>
          <w:sz w:val="24"/>
        </w:rPr>
        <w:t>**代码规模**：Python AI Engine 约 21.9 万行，Go Gateway 约 5.9 万行，Flutter Mobile 约 39.7 万行，**总计约 67.5 万行**。</w:t>
      </w:r>
    </w:p>
    <w:p>
      <w:pPr>
        <w:spacing w:line="360" w:lineRule="auto" w:before="0" w:after="0"/>
        <w:ind w:firstLine="420"/>
      </w:pPr>
      <w:r>
        <w:rPr>
          <w:rFonts w:ascii="宋体" w:hAnsi="宋体" w:eastAsia="宋体"/>
          <w:b w:val="0"/>
          <w:sz w:val="24"/>
        </w:rPr>
        <w:t>通信协议采用 Protobuf 跨语言类型安全传输（buf.build 工具链），确保三端 API 契约一致。这意味着星火的创新不只停留在算法或页面上，也体现在系统工程设计本身。</w:t>
      </w:r>
    </w:p>
    <w:p>
      <w:pPr>
        <w:spacing w:line="360" w:lineRule="auto" w:before="0" w:after="0"/>
        <w:ind w:firstLine="0"/>
      </w:pPr>
      <w:r>
        <w:rPr>
          <w:rFonts w:ascii="宋体" w:hAnsi="宋体" w:eastAsia="宋体"/>
          <w:b/>
          <w:sz w:val="24"/>
        </w:rPr>
        <w:t>其他创新点二：全链路可观测性——工程可解释与可审查</w:t>
      </w:r>
    </w:p>
    <w:p>
      <w:pPr>
        <w:spacing w:line="360" w:lineRule="auto" w:before="0" w:after="0"/>
        <w:ind w:firstLine="420"/>
      </w:pPr>
      <w:r>
        <w:rPr>
          <w:rFonts w:ascii="宋体" w:hAnsi="宋体" w:eastAsia="宋体"/>
          <w:b w:val="0"/>
          <w:sz w:val="24"/>
        </w:rPr>
        <w:t>星火的高级能力都采用显式建模而不是黑盒化做法：</w:t>
      </w:r>
    </w:p>
    <w:p>
      <w:pPr>
        <w:spacing w:line="360" w:lineRule="auto" w:before="0" w:after="0"/>
        <w:ind w:firstLine="0"/>
      </w:pPr>
      <w:r>
        <w:rPr>
          <w:rFonts w:ascii="宋体" w:hAnsi="宋体" w:eastAsia="宋体"/>
          <w:b w:val="0"/>
          <w:sz w:val="24"/>
        </w:rPr>
        <w:t>**RunLedger**：Redis 后端的统一控制塔，trace_id 粒度追踪每个请求的完整生命周期，记录每个服务节点的输入/输出/耗时</w:t>
      </w:r>
    </w:p>
    <w:p>
      <w:pPr>
        <w:spacing w:line="360" w:lineRule="auto" w:before="0" w:after="0"/>
        <w:ind w:firstLine="0"/>
      </w:pPr>
      <w:r>
        <w:rPr>
          <w:rFonts w:ascii="宋体" w:hAnsi="宋体" w:eastAsia="宋体"/>
          <w:b w:val="0"/>
          <w:sz w:val="24"/>
        </w:rPr>
        <w:t>**Prometheus 指标暴露**：TOKEN_USAGE（模型 Token 消耗）、UX_STAGE_DETECTED_TOTAL（UX 阶段检测）、execution_mode_decisions（执行模式决策分布）等</w:t>
      </w:r>
    </w:p>
    <w:p>
      <w:pPr>
        <w:spacing w:line="360" w:lineRule="auto" w:before="0" w:after="0"/>
        <w:ind w:firstLine="0"/>
      </w:pPr>
      <w:r>
        <w:rPr>
          <w:rFonts w:ascii="宋体" w:hAnsi="宋体" w:eastAsia="宋体"/>
          <w:b w:val="0"/>
          <w:sz w:val="24"/>
        </w:rPr>
        <w:t>**OpenTelemetry 集成**：自动注入 trace_id、gRPC 拦截器记录方法调用、数据库查询耗时追踪、WebSocket 消息延迟监控</w:t>
      </w:r>
    </w:p>
    <w:p>
      <w:pPr>
        <w:spacing w:line="360" w:lineRule="auto" w:before="0" w:after="0"/>
        <w:ind w:firstLine="0"/>
      </w:pPr>
      <w:r>
        <w:rPr>
          <w:rFonts w:ascii="宋体" w:hAnsi="宋体" w:eastAsia="宋体"/>
          <w:b w:val="0"/>
          <w:sz w:val="24"/>
        </w:rPr>
        <w:t>**熔断机制**（CircuitBreaker）：Python Engine 无响应时自动熔断，Gateway 直接返回"服务繁忙"，防止 Goroutine/请求积压引发雪崩</w:t>
      </w:r>
    </w:p>
    <w:p>
      <w:pPr>
        <w:spacing w:line="360" w:lineRule="auto" w:before="0" w:after="0"/>
        <w:ind w:firstLine="0"/>
      </w:pPr>
      <w:r>
        <w:rPr>
          <w:rFonts w:ascii="宋体" w:hAnsi="宋体" w:eastAsia="宋体"/>
          <w:b w:val="0"/>
          <w:sz w:val="24"/>
        </w:rPr>
        <w:t>**灰度验证**（ShadowPrediction）：新算法影子预测，线上 A/B 测试不直接影响用户</w:t>
      </w:r>
    </w:p>
    <w:p>
      <w:pPr>
        <w:spacing w:line="360" w:lineRule="auto" w:before="0" w:after="0"/>
        <w:ind w:firstLine="420"/>
      </w:pPr>
      <w:r>
        <w:rPr>
          <w:rFonts w:ascii="宋体" w:hAnsi="宋体" w:eastAsia="宋体"/>
          <w:b w:val="0"/>
          <w:sz w:val="24"/>
        </w:rPr>
        <w:t>在比赛场景下这一点尤其重要——评委不仅要看"做出来了什么"，还要看"你们是否真正理解了系统为什么这样工作"。</w:t>
      </w:r>
    </w:p>
    <w:p>
      <w:pPr>
        <w:spacing w:line="360" w:lineRule="auto" w:before="0" w:after="0"/>
        <w:ind w:firstLine="0"/>
      </w:pPr>
      <w:r>
        <w:rPr>
          <w:rFonts w:ascii="宋体" w:hAnsi="宋体" w:eastAsia="宋体"/>
          <w:b/>
          <w:sz w:val="24"/>
        </w:rPr>
        <w:t>其他创新点三：将责任边界显式写入系统</w:t>
      </w:r>
    </w:p>
    <w:p>
      <w:pPr>
        <w:spacing w:line="360" w:lineRule="auto" w:before="0" w:after="0"/>
        <w:ind w:firstLine="420"/>
      </w:pPr>
      <w:r>
        <w:rPr>
          <w:rFonts w:ascii="宋体" w:hAnsi="宋体" w:eastAsia="宋体"/>
          <w:b w:val="0"/>
          <w:sz w:val="24"/>
        </w:rPr>
        <w:t>星火对高风险能力采用保守治理：ExecutionRouter 的 HUMAN_ONLY 分类、TrustEngine 的三级信任晋升、审批节点、执行边界和结果回流条件，这使得系统在拥抱 Agent 能力的同时，也尽量避免"什么都能做、但谁都无法解释"的失控状态。</w:t>
      </w:r>
    </w:p>
    <w:p>
      <w:pPr>
        <w:spacing w:line="360" w:lineRule="auto" w:before="0" w:after="0"/>
        <w:ind w:firstLine="420"/>
      </w:pPr>
      <w:r>
        <w:rPr>
          <w:rFonts w:ascii="宋体" w:hAnsi="宋体" w:eastAsia="宋体"/>
          <w:b w:val="0"/>
          <w:sz w:val="24"/>
        </w:rPr>
        <w:t>全链路幂等性设计（`idempotency_key`）防止重复执行，`ContextPruner` 自动剪枝对话历史保留关键实体和结论，`RedisCheckpointer` 支持长会话中断恢复——这种责任边界意识本身就是项目成熟度的重要体现。</w:t>
      </w:r>
    </w:p>
    <w:p>
      <w:pPr>
        <w:spacing w:line="360" w:lineRule="auto" w:before="0" w:after="0"/>
        <w:ind w:firstLine="420"/>
      </w:pPr>
      <w:r>
        <w:rPr>
          <w:rFonts w:ascii="宋体" w:hAnsi="宋体" w:eastAsia="宋体"/>
          <w:b w:val="0"/>
          <w:sz w:val="24"/>
        </w:rPr>
        <w:t>**[图 A5]** 星火异构架构与责任边界图 *AI 生图提示词：A three-layer architecture diagram. Top layer "Flutter Mobile" (coral color) with UI icons. Middle layer "Go Gateway" (teal color) with lock, websocket, and routing icons. Bottom layer "Python AI Engine" (purple color) with brain, graph, and agent icons. Side panel shows "OpenClaw" connected with a guarded bridge (trust shield icon). Data stores (PostgreSQL, Redis, MinIO) at the bottom. Arrows show data flow with security checkpoints marked as shield icons. Clean technical diagram style, dark background. 16:9 ratio.*</w:t>
      </w:r>
    </w:p>
    <w:p>
      <w:pPr>
        <w:pStyle w:val="3"/>
        <w:ind w:firstLine="480"/>
      </w:pPr>
    </w:p>
    <w:p>
      <w:pPr>
        <w:pStyle w:val="3"/>
        <w:ind w:firstLine="480"/>
      </w:pPr>
    </w:p>
    <w:p>
      <w:pPr>
        <w:pStyle w:val="3"/>
        <w:ind w:firstLine="480"/>
      </w:pPr>
    </w:p>
    <w:p>
      <w:pPr>
        <w:pStyle w:val="3"/>
        <w:ind w:firstLine="480"/>
      </w:pP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commentRangeStart w:id="15"/>
      <w:bookmarkStart w:id="26" w:name="_Toc56720949"/>
      <w:bookmarkStart w:id="27" w:name="_Toc56710855"/>
      <w:bookmarkStart w:id="28" w:name="_Toc56710962"/>
      <w:bookmarkStart w:id="29" w:name="_Toc56711153"/>
      <w:bookmarkStart w:id="30" w:name="_Toc56711400"/>
      <w:r>
        <w:rPr>
          <w:rFonts w:hint="eastAsia"/>
        </w:rPr>
        <w:t>竞品分析</w:t>
      </w:r>
      <w:bookmarkEnd w:id="1"/>
      <w:bookmarkEnd w:id="2"/>
      <w:bookmarkEnd w:id="3"/>
      <w:bookmarkEnd w:id="4"/>
      <w:bookmarkEnd w:id="5"/>
      <w:bookmarkEnd w:id="6"/>
      <w:bookmarkEnd w:id="7"/>
      <w:bookmarkEnd w:id="26"/>
      <w:bookmarkEnd w:id="27"/>
      <w:bookmarkEnd w:id="28"/>
      <w:bookmarkEnd w:id="29"/>
      <w:bookmarkEnd w:id="30"/>
      <w:commentRangeEnd w:id="15"/>
      <w:r>
        <w:rPr>
          <w:rStyle w:val="64"/>
          <w:rFonts w:asciiTheme="minorHAnsi" w:hAnsiTheme="minorHAnsi" w:eastAsiaTheme="minorEastAsia"/>
          <w:b w:val="0"/>
          <w:bCs w:val="0"/>
          <w:kern w:val="2"/>
        </w:rPr>
        <w:commentReference w:id="15"/>
      </w:r>
      <w:bookmarkStart w:id="31" w:name="_Toc255826542"/>
      <w:bookmarkEnd w:id="31"/>
    </w:p>
    <w:p>
      <w:pPr>
        <w:spacing w:line="360" w:lineRule="auto" w:before="0" w:after="0"/>
        <w:ind w:firstLine="420"/>
      </w:pPr>
      <w:r>
        <w:rPr>
          <w:rFonts w:ascii="宋体" w:hAnsi="宋体" w:eastAsia="宋体"/>
          <w:b w:val="0"/>
          <w:sz w:val="24"/>
        </w:rPr>
        <w:t>为了避免只比较"有没有某个功能"，本报告从评委最容易看懂且最能体现差异化的**六个维度**比较星火与当前典型产品：</w:t>
      </w:r>
    </w:p>
    <w:p>
      <w:pPr>
        <w:spacing w:line="360" w:lineRule="auto" w:before="0" w:after="0"/>
        <w:ind w:firstLine="0"/>
      </w:pPr>
      <w:r>
        <w:rPr>
          <w:rFonts w:ascii="宋体" w:hAnsi="宋体" w:eastAsia="宋体"/>
          <w:b w:val="0"/>
          <w:sz w:val="24"/>
        </w:rPr>
        <w:t>1. **长期状态理解**：是否理解用户长期学习状态，而非只响应单次输入。</w:t>
      </w:r>
    </w:p>
    <w:p>
      <w:pPr>
        <w:spacing w:line="360" w:lineRule="auto" w:before="0" w:after="0"/>
        <w:ind w:firstLine="0"/>
      </w:pPr>
      <w:r>
        <w:rPr>
          <w:rFonts w:ascii="宋体" w:hAnsi="宋体" w:eastAsia="宋体"/>
          <w:b w:val="0"/>
          <w:sz w:val="24"/>
        </w:rPr>
        <w:t>2. **知识结构化**：是否具备知识结构化能力，而非只做答案返回或资料加工。</w:t>
      </w:r>
    </w:p>
    <w:p>
      <w:pPr>
        <w:spacing w:line="360" w:lineRule="auto" w:before="0" w:after="0"/>
        <w:ind w:firstLine="0"/>
      </w:pPr>
      <w:r>
        <w:rPr>
          <w:rFonts w:ascii="宋体" w:hAnsi="宋体" w:eastAsia="宋体"/>
          <w:b w:val="0"/>
          <w:sz w:val="24"/>
        </w:rPr>
        <w:t>3. **执行闭环**：是否支持从建议走向执行推进，而非停留在讲解层。</w:t>
      </w:r>
    </w:p>
    <w:p>
      <w:pPr>
        <w:spacing w:line="360" w:lineRule="auto" w:before="0" w:after="0"/>
        <w:ind w:firstLine="0"/>
      </w:pPr>
      <w:r>
        <w:rPr>
          <w:rFonts w:ascii="宋体" w:hAnsi="宋体" w:eastAsia="宋体"/>
          <w:b w:val="0"/>
          <w:sz w:val="24"/>
        </w:rPr>
        <w:t>4. **成长沉淀**：是否具备长期成长反馈机制，而非只强调即时帮助。</w:t>
      </w:r>
    </w:p>
    <w:p>
      <w:pPr>
        <w:spacing w:line="360" w:lineRule="auto" w:before="0" w:after="0"/>
        <w:ind w:firstLine="0"/>
      </w:pPr>
      <w:r>
        <w:rPr>
          <w:rFonts w:ascii="宋体" w:hAnsi="宋体" w:eastAsia="宋体"/>
          <w:b w:val="0"/>
          <w:sz w:val="24"/>
        </w:rPr>
        <w:t>5. **沉浸体验**：是否在体验层兼顾沉浸感、可视化和持续激励。</w:t>
      </w:r>
    </w:p>
    <w:p>
      <w:pPr>
        <w:spacing w:line="360" w:lineRule="auto" w:before="0" w:after="0"/>
        <w:ind w:firstLine="0"/>
      </w:pPr>
      <w:r>
        <w:rPr>
          <w:rFonts w:ascii="宋体" w:hAnsi="宋体" w:eastAsia="宋体"/>
          <w:b w:val="0"/>
          <w:sz w:val="24"/>
        </w:rPr>
        <w:t>6. **系统闭环**：是否在技术和工程层具备系统级闭环，而非单点功能增强。</w:t>
      </w:r>
    </w:p>
    <w:p>
      <w:pPr>
        <w:spacing w:line="360" w:lineRule="auto" w:before="0" w:after="0"/>
        <w:ind w:firstLine="420"/>
      </w:pPr>
      <w:r>
        <w:rPr>
          <w:rFonts w:ascii="宋体" w:hAnsi="宋体" w:eastAsia="宋体"/>
          <w:b w:val="0"/>
          <w:sz w:val="24"/>
        </w:rPr>
        <w:t>以下对比对象分为三层：</w:t>
      </w:r>
    </w:p>
    <w:p>
      <w:pPr>
        <w:spacing w:line="360" w:lineRule="auto" w:before="0" w:after="0"/>
        <w:ind w:firstLine="0"/>
      </w:pPr>
      <w:r>
        <w:rPr>
          <w:rFonts w:ascii="宋体" w:hAnsi="宋体" w:eastAsia="宋体"/>
          <w:b w:val="0"/>
          <w:sz w:val="24"/>
        </w:rPr>
        <w:t>**第一层**，通用学习对话型：ChatGPT Study Mode、Khanmigo</w:t>
      </w:r>
    </w:p>
    <w:p>
      <w:pPr>
        <w:spacing w:line="360" w:lineRule="auto" w:before="0" w:after="0"/>
        <w:ind w:firstLine="0"/>
      </w:pPr>
      <w:r>
        <w:rPr>
          <w:rFonts w:ascii="宋体" w:hAnsi="宋体" w:eastAsia="宋体"/>
          <w:b w:val="0"/>
          <w:sz w:val="24"/>
        </w:rPr>
        <w:t>**第二层**，作业/解题辅助型：StudyX、Gauth</w:t>
      </w:r>
    </w:p>
    <w:p>
      <w:pPr>
        <w:spacing w:line="360" w:lineRule="auto" w:before="0" w:after="0"/>
        <w:ind w:firstLine="0"/>
      </w:pPr>
      <w:r>
        <w:rPr>
          <w:rFonts w:ascii="宋体" w:hAnsi="宋体" w:eastAsia="宋体"/>
          <w:b w:val="0"/>
          <w:sz w:val="24"/>
        </w:rPr>
        <w:t>**第三层**，资料学习型：Quizlet Study Tools</w:t>
      </w:r>
    </w:p>
    <w:p>
      <w:pPr>
        <w:spacing w:line="360" w:lineRule="auto" w:before="0" w:after="0"/>
        <w:ind w:firstLine="420"/>
      </w:pPr>
      <w:r>
        <w:rPr>
          <w:rFonts w:ascii="宋体" w:hAnsi="宋体" w:eastAsia="宋体"/>
          <w:b w:val="0"/>
          <w:sz w:val="24"/>
        </w:rPr>
        <w:t>**[图 A6]** 竞品定位矩阵 *AI 生图提示词：A quadrant chart on dark background. X-axis "Long-term State Understanding" (low→high), Y-axis "Execution Loop Capability" (low→high). Bottom-left quadrant: "StudyX/Gauth" as blue dots. Bottom-center: "Quizlet" as green dot. Center: "ChatGPT Study Mode" and "Khanmigo" as yellow dots. Top-right: "Sparkle" as a large glowing orange star with radiating lines. Each product labeled with clean sans-serif font. Minimal grid lines. Professional data visualization style. 16:9 ratio.*</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19"/>
              </w:rPr>
              <w:t>维度</w:t>
            </w:r>
          </w:p>
        </w:tc>
        <w:tc>
          <w:tcPr>
            <w:tcW w:type="dxa" w:w="1512"/>
          </w:tcPr>
          <w:p>
            <w:pPr>
              <w:spacing w:line="360" w:lineRule="auto" w:before="0" w:after="0"/>
              <w:ind w:firstLine="0"/>
            </w:pPr>
            <w:r>
              <w:rPr>
                <w:rFonts w:ascii="宋体" w:hAnsi="宋体" w:eastAsia="宋体"/>
                <w:b/>
                <w:sz w:val="19"/>
              </w:rPr>
              <w:t>ChatGPT</w:t>
              <w:br/>
              <w:t>Study Mode</w:t>
            </w:r>
          </w:p>
        </w:tc>
        <w:tc>
          <w:tcPr>
            <w:tcW w:type="dxa" w:w="1512"/>
          </w:tcPr>
          <w:p>
            <w:pPr>
              <w:spacing w:line="360" w:lineRule="auto" w:before="0" w:after="0"/>
              <w:ind w:firstLine="0"/>
            </w:pPr>
            <w:r>
              <w:rPr>
                <w:rFonts w:ascii="宋体" w:hAnsi="宋体" w:eastAsia="宋体"/>
                <w:b/>
                <w:sz w:val="19"/>
              </w:rPr>
              <w:t>Khanmigo</w:t>
            </w:r>
          </w:p>
        </w:tc>
        <w:tc>
          <w:tcPr>
            <w:tcW w:type="dxa" w:w="1512"/>
          </w:tcPr>
          <w:p>
            <w:pPr>
              <w:spacing w:line="360" w:lineRule="auto" w:before="0" w:after="0"/>
              <w:ind w:firstLine="0"/>
            </w:pPr>
            <w:r>
              <w:rPr>
                <w:rFonts w:ascii="宋体" w:hAnsi="宋体" w:eastAsia="宋体"/>
                <w:b/>
                <w:sz w:val="19"/>
              </w:rPr>
              <w:t>StudyX /</w:t>
              <w:br/>
              <w:t>Gauth</w:t>
            </w:r>
          </w:p>
        </w:tc>
        <w:tc>
          <w:tcPr>
            <w:tcW w:type="dxa" w:w="1512"/>
          </w:tcPr>
          <w:p>
            <w:pPr>
              <w:spacing w:line="360" w:lineRule="auto" w:before="0" w:after="0"/>
              <w:ind w:firstLine="0"/>
            </w:pPr>
            <w:r>
              <w:rPr>
                <w:rFonts w:ascii="宋体" w:hAnsi="宋体" w:eastAsia="宋体"/>
                <w:b/>
                <w:sz w:val="19"/>
              </w:rPr>
              <w:t>Quizlet</w:t>
              <w:br/>
              <w:t>Study Tools</w:t>
            </w:r>
          </w:p>
        </w:tc>
        <w:tc>
          <w:tcPr>
            <w:tcW w:type="dxa" w:w="1512"/>
          </w:tcPr>
          <w:p>
            <w:pPr>
              <w:spacing w:line="360" w:lineRule="auto" w:before="0" w:after="0"/>
              <w:ind w:firstLine="0"/>
            </w:pPr>
            <w:r>
              <w:rPr>
                <w:rFonts w:ascii="宋体" w:hAnsi="宋体" w:eastAsia="宋体"/>
                <w:b/>
                <w:sz w:val="19"/>
              </w:rPr>
              <w:t>星火</w:t>
            </w:r>
          </w:p>
        </w:tc>
      </w:tr>
      <w:tr>
        <w:tc>
          <w:tcPr>
            <w:tcW w:type="dxa" w:w="1512"/>
          </w:tcPr>
          <w:p>
            <w:pPr>
              <w:spacing w:line="360" w:lineRule="auto" w:before="0" w:after="0"/>
              <w:ind w:firstLine="0"/>
            </w:pPr>
            <w:r>
              <w:rPr>
                <w:rFonts w:ascii="宋体" w:hAnsi="宋体" w:eastAsia="宋体"/>
                <w:b w:val="0"/>
                <w:sz w:val="19"/>
              </w:rPr>
              <w:t>长期状态理解</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中-强</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知识结构化</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执行闭环</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成长沉淀</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资料与题目支持</w:t>
            </w:r>
          </w:p>
        </w:tc>
        <w:tc>
          <w:tcPr>
            <w:tcW w:type="dxa" w:w="1512"/>
          </w:tcPr>
          <w:p>
            <w:pPr>
              <w:spacing w:line="360" w:lineRule="auto" w:before="0" w:after="0"/>
              <w:ind w:firstLine="0"/>
            </w:pPr>
            <w:r>
              <w:rPr>
                <w:rFonts w:ascii="宋体" w:hAnsi="宋体" w:eastAsia="宋体"/>
                <w:b w:val="0"/>
                <w:sz w:val="19"/>
              </w:rPr>
              <w:t>支持上传材料</w:t>
            </w:r>
          </w:p>
        </w:tc>
        <w:tc>
          <w:tcPr>
            <w:tcW w:type="dxa" w:w="1512"/>
          </w:tcPr>
          <w:p>
            <w:pPr>
              <w:spacing w:line="360" w:lineRule="auto" w:before="0" w:after="0"/>
              <w:ind w:firstLine="0"/>
            </w:pPr>
            <w:r>
              <w:rPr>
                <w:rFonts w:ascii="宋体" w:hAnsi="宋体" w:eastAsia="宋体"/>
                <w:b w:val="0"/>
                <w:sz w:val="19"/>
              </w:rPr>
              <w:t>依托内容库</w:t>
            </w:r>
          </w:p>
        </w:tc>
        <w:tc>
          <w:tcPr>
            <w:tcW w:type="dxa" w:w="1512"/>
          </w:tcPr>
          <w:p>
            <w:pPr>
              <w:spacing w:line="360" w:lineRule="auto" w:before="0" w:after="0"/>
              <w:ind w:firstLine="0"/>
            </w:pPr>
            <w:r>
              <w:rPr>
                <w:rFonts w:ascii="宋体" w:hAnsi="宋体" w:eastAsia="宋体"/>
                <w:b w:val="0"/>
                <w:sz w:val="19"/>
              </w:rPr>
              <w:t>题目/资料强</w:t>
            </w:r>
          </w:p>
        </w:tc>
        <w:tc>
          <w:tcPr>
            <w:tcW w:type="dxa" w:w="1512"/>
          </w:tcPr>
          <w:p>
            <w:pPr>
              <w:spacing w:line="360" w:lineRule="auto" w:before="0" w:after="0"/>
              <w:ind w:firstLine="0"/>
            </w:pPr>
            <w:r>
              <w:rPr>
                <w:rFonts w:ascii="宋体" w:hAnsi="宋体" w:eastAsia="宋体"/>
                <w:b w:val="0"/>
                <w:sz w:val="19"/>
              </w:rPr>
              <w:t>资料生成强</w:t>
            </w:r>
          </w:p>
        </w:tc>
        <w:tc>
          <w:tcPr>
            <w:tcW w:type="dxa" w:w="1512"/>
          </w:tcPr>
          <w:p>
            <w:pPr>
              <w:spacing w:line="360" w:lineRule="auto" w:before="0" w:after="0"/>
              <w:ind w:firstLine="0"/>
            </w:pPr>
            <w:r>
              <w:rPr>
                <w:rFonts w:ascii="宋体" w:hAnsi="宋体" w:eastAsia="宋体"/>
                <w:b w:val="0"/>
                <w:sz w:val="19"/>
              </w:rPr>
              <w:t>主链式整合</w:t>
            </w:r>
          </w:p>
        </w:tc>
      </w:tr>
      <w:tr>
        <w:tc>
          <w:tcPr>
            <w:tcW w:type="dxa" w:w="1512"/>
          </w:tcPr>
          <w:p>
            <w:pPr>
              <w:spacing w:line="360" w:lineRule="auto" w:before="0" w:after="0"/>
              <w:ind w:firstLine="0"/>
            </w:pPr>
            <w:r>
              <w:rPr>
                <w:rFonts w:ascii="宋体" w:hAnsi="宋体" w:eastAsia="宋体"/>
                <w:b w:val="0"/>
                <w:sz w:val="19"/>
              </w:rPr>
              <w:t>产品主重心</w:t>
            </w:r>
          </w:p>
        </w:tc>
        <w:tc>
          <w:tcPr>
            <w:tcW w:type="dxa" w:w="1512"/>
          </w:tcPr>
          <w:p>
            <w:pPr>
              <w:spacing w:line="360" w:lineRule="auto" w:before="0" w:after="0"/>
              <w:ind w:firstLine="0"/>
            </w:pPr>
            <w:r>
              <w:rPr>
                <w:rFonts w:ascii="宋体" w:hAnsi="宋体" w:eastAsia="宋体"/>
                <w:b w:val="0"/>
                <w:sz w:val="19"/>
              </w:rPr>
              <w:t>学习对话体验</w:t>
            </w:r>
          </w:p>
        </w:tc>
        <w:tc>
          <w:tcPr>
            <w:tcW w:type="dxa" w:w="1512"/>
          </w:tcPr>
          <w:p>
            <w:pPr>
              <w:spacing w:line="360" w:lineRule="auto" w:before="0" w:after="0"/>
              <w:ind w:firstLine="0"/>
            </w:pPr>
            <w:r>
              <w:rPr>
                <w:rFonts w:ascii="宋体" w:hAnsi="宋体" w:eastAsia="宋体"/>
                <w:b w:val="0"/>
                <w:sz w:val="19"/>
              </w:rPr>
              <w:t>启发式辅导</w:t>
            </w:r>
          </w:p>
        </w:tc>
        <w:tc>
          <w:tcPr>
            <w:tcW w:type="dxa" w:w="1512"/>
          </w:tcPr>
          <w:p>
            <w:pPr>
              <w:spacing w:line="360" w:lineRule="auto" w:before="0" w:after="0"/>
              <w:ind w:firstLine="0"/>
            </w:pPr>
            <w:r>
              <w:rPr>
                <w:rFonts w:ascii="宋体" w:hAnsi="宋体" w:eastAsia="宋体"/>
                <w:b w:val="0"/>
                <w:sz w:val="19"/>
              </w:rPr>
              <w:t>作业辅助</w:t>
            </w:r>
          </w:p>
        </w:tc>
        <w:tc>
          <w:tcPr>
            <w:tcW w:type="dxa" w:w="1512"/>
          </w:tcPr>
          <w:p>
            <w:pPr>
              <w:spacing w:line="360" w:lineRule="auto" w:before="0" w:after="0"/>
              <w:ind w:firstLine="0"/>
            </w:pPr>
            <w:r>
              <w:rPr>
                <w:rFonts w:ascii="宋体" w:hAnsi="宋体" w:eastAsia="宋体"/>
                <w:b w:val="0"/>
                <w:sz w:val="19"/>
              </w:rPr>
              <w:t>资料学习</w:t>
            </w:r>
          </w:p>
        </w:tc>
        <w:tc>
          <w:tcPr>
            <w:tcW w:type="dxa" w:w="1512"/>
          </w:tcPr>
          <w:p>
            <w:pPr>
              <w:spacing w:line="360" w:lineRule="auto" w:before="0" w:after="0"/>
              <w:ind w:firstLine="0"/>
            </w:pPr>
            <w:r>
              <w:rPr>
                <w:rFonts w:ascii="宋体" w:hAnsi="宋体" w:eastAsia="宋体"/>
                <w:b w:val="0"/>
                <w:sz w:val="19"/>
              </w:rPr>
              <w:t>成长系统</w:t>
            </w:r>
          </w:p>
        </w:tc>
      </w:tr>
    </w:tbl>
    <w:p>
      <w:pPr>
        <w:spacing w:line="360" w:lineRule="auto" w:before="0" w:after="0"/>
        <w:ind w:firstLine="420"/>
      </w:pPr>
    </w:p>
    <w:p>
      <w:pPr>
        <w:spacing w:line="360" w:lineRule="auto" w:before="0" w:after="0"/>
        <w:ind w:firstLine="0"/>
      </w:pPr>
      <w:r>
        <w:rPr>
          <w:rFonts w:ascii="宋体" w:hAnsi="宋体" w:eastAsia="宋体"/>
          <w:b/>
          <w:sz w:val="24"/>
        </w:rPr>
        <w:t>为什么星火不是 ChatGPT 学习模式的简单变体</w:t>
      </w:r>
    </w:p>
    <w:p>
      <w:pPr>
        <w:spacing w:line="360" w:lineRule="auto" w:before="0" w:after="0"/>
        <w:ind w:firstLine="420"/>
      </w:pPr>
      <w:r>
        <w:rPr>
          <w:rFonts w:ascii="宋体" w:hAnsi="宋体" w:eastAsia="宋体"/>
          <w:b w:val="0"/>
          <w:sz w:val="24"/>
        </w:rPr>
        <w:t>ChatGPT Study Mode 的核心价值在于通过 Socratic 式提问、分步骤讲解、基于 Memory 的个性化与材料上传能力，帮助用户"更好地学会一个问题"。这是一种以学习过程引导为核心的交互增强。</w:t>
      </w:r>
    </w:p>
    <w:p>
      <w:pPr>
        <w:spacing w:line="360" w:lineRule="auto" w:before="0" w:after="0"/>
        <w:ind w:firstLine="420"/>
      </w:pPr>
      <w:r>
        <w:rPr>
          <w:rFonts w:ascii="宋体" w:hAnsi="宋体" w:eastAsia="宋体"/>
          <w:b w:val="0"/>
          <w:sz w:val="24"/>
        </w:rPr>
        <w:t>星火则进一步把问题从"对话怎么更适合学习"推进到了"学习如何形成长期闭环"：它不仅做引导，还做计划、任务、图谱、报告、剧场、模拟、执行回流和成长沉淀。ChatGPT Study Mode 更像是学习对话层的强化，而星火更像是把学习过程拆成**多个可持续运行的子系统**。</w:t>
      </w:r>
    </w:p>
    <w:p>
      <w:pPr>
        <w:spacing w:line="360" w:lineRule="auto" w:before="0" w:after="0"/>
        <w:ind w:firstLine="420"/>
      </w:pPr>
      <w:r>
        <w:rPr>
          <w:rFonts w:ascii="宋体" w:hAnsi="宋体" w:eastAsia="宋体"/>
          <w:b w:val="0"/>
          <w:sz w:val="24"/>
        </w:rPr>
        <w:t>具体差异：星火拥有 11 个专家 Agent 协作（而非单一对话角色）、结构化执行闭环（而非纯建议）、知识星图可视化（而非纯文本记忆）、8 种学习模拟场景（而非纯 Socratic 对话）。</w:t>
      </w:r>
    </w:p>
    <w:p>
      <w:pPr>
        <w:spacing w:line="360" w:lineRule="auto" w:before="0" w:after="0"/>
        <w:ind w:firstLine="0"/>
      </w:pPr>
      <w:r>
        <w:rPr>
          <w:rFonts w:ascii="宋体" w:hAnsi="宋体" w:eastAsia="宋体"/>
          <w:b/>
          <w:sz w:val="24"/>
        </w:rPr>
        <w:t>为什么星火不是 StudyX / Gauth 的延长线</w:t>
      </w:r>
    </w:p>
    <w:p>
      <w:pPr>
        <w:spacing w:line="360" w:lineRule="auto" w:before="0" w:after="0"/>
        <w:ind w:firstLine="420"/>
      </w:pPr>
      <w:r>
        <w:rPr>
          <w:rFonts w:ascii="宋体" w:hAnsi="宋体" w:eastAsia="宋体"/>
          <w:b w:val="0"/>
          <w:sz w:val="24"/>
        </w:rPr>
        <w:t>StudyX 和 Gauth 在"遇到一道不会的问题时立刻获得帮助"这件事上非常高效，但这类产品的强项恰好也定义了它们的边界——更适合点状问题解决，而非长期成长工程。</w:t>
      </w:r>
    </w:p>
    <w:p>
      <w:pPr>
        <w:spacing w:line="360" w:lineRule="auto" w:before="0" w:after="0"/>
        <w:ind w:firstLine="420"/>
      </w:pPr>
      <w:r>
        <w:rPr>
          <w:rFonts w:ascii="宋体" w:hAnsi="宋体" w:eastAsia="宋体"/>
          <w:b w:val="0"/>
          <w:sz w:val="24"/>
        </w:rPr>
        <w:t>星火要解决的不是"这一题怎么做"，而是"这门课怎么持续学下去、当前为什么卡住、下一段路径怎么组织、执行之后如何继续反馈到成长系统"。两者的设计出发点从根本上就不同。</w:t>
      </w:r>
    </w:p>
    <w:p>
      <w:pPr>
        <w:spacing w:line="360" w:lineRule="auto" w:before="0" w:after="0"/>
        <w:ind w:firstLine="0"/>
      </w:pPr>
      <w:r>
        <w:rPr>
          <w:rFonts w:ascii="宋体" w:hAnsi="宋体" w:eastAsia="宋体"/>
          <w:b/>
          <w:sz w:val="24"/>
        </w:rPr>
        <w:t>为什么星火不是 Quizlet 式资料学习产品</w:t>
      </w:r>
    </w:p>
    <w:p>
      <w:pPr>
        <w:spacing w:line="360" w:lineRule="auto" w:before="0" w:after="0"/>
        <w:ind w:firstLine="420"/>
      </w:pPr>
      <w:r>
        <w:rPr>
          <w:rFonts w:ascii="宋体" w:hAnsi="宋体" w:eastAsia="宋体"/>
          <w:b w:val="0"/>
          <w:sz w:val="24"/>
        </w:rPr>
        <w:t>Quizlet 提升的是学习资料的可用性与学习入口的便利度。星火则进一步强调知识关系（GraphRAG 不只找相似内容，更理解前置依赖和路径推理）、路径推理（GraphReasoningService 基于 Dijkstra 变体生成个性化路径）、执行反馈和成长回流。Quizlet 更偏"把资料变成更好学的材料"，星火更偏"把用户的学习过程变成一个可以持续推进和沉淀的系统"。</w:t>
      </w:r>
    </w:p>
    <w:p>
      <w:pPr>
        <w:spacing w:line="360" w:lineRule="auto" w:before="0" w:after="0"/>
        <w:ind w:firstLine="0"/>
      </w:pPr>
      <w:r>
        <w:rPr>
          <w:rFonts w:ascii="宋体" w:hAnsi="宋体" w:eastAsia="宋体"/>
          <w:b/>
          <w:sz w:val="24"/>
        </w:rPr>
        <w:t>星火的组合式壁垒</w:t>
      </w:r>
    </w:p>
    <w:p>
      <w:pPr>
        <w:spacing w:line="360" w:lineRule="auto" w:before="0" w:after="0"/>
        <w:ind w:firstLine="420"/>
      </w:pPr>
      <w:r>
        <w:rPr>
          <w:rFonts w:ascii="宋体" w:hAnsi="宋体" w:eastAsia="宋体"/>
          <w:b w:val="0"/>
          <w:sz w:val="24"/>
        </w:rPr>
        <w:t>星火真正的竞争优势不是某一项单点能力，而是几项能力的**同时存在并彼此联动**：</w:t>
      </w:r>
    </w:p>
    <w:p>
      <w:pPr>
        <w:spacing w:line="360" w:lineRule="auto" w:before="0" w:after="0"/>
        <w:ind w:firstLine="0"/>
      </w:pPr>
      <w:r>
        <w:rPr>
          <w:rFonts w:ascii="宋体" w:hAnsi="宋体" w:eastAsia="宋体"/>
          <w:b w:val="0"/>
          <w:sz w:val="24"/>
        </w:rPr>
        <w:t>1. **认知-执行打通**：对长期状态的理解（认知核）和当前任务推进（执行核）是在同一主编排器中协同的。</w:t>
      </w:r>
    </w:p>
    <w:p>
      <w:pPr>
        <w:spacing w:line="360" w:lineRule="auto" w:before="0" w:after="0"/>
        <w:ind w:firstLine="0"/>
      </w:pPr>
      <w:r>
        <w:rPr>
          <w:rFonts w:ascii="宋体" w:hAnsi="宋体" w:eastAsia="宋体"/>
          <w:b w:val="0"/>
          <w:sz w:val="24"/>
        </w:rPr>
        <w:t>2. **模块围绕主链组织**：知识星图、GraphRAG、多 Agent、OpenClaw、学习报告、学习模拟不是孤立功能，而是围绕"感知→厘清→规划→执行→反思→强化→适应"的同一主链组织。</w:t>
      </w:r>
    </w:p>
    <w:p>
      <w:pPr>
        <w:spacing w:line="360" w:lineRule="auto" w:before="0" w:after="0"/>
        <w:ind w:firstLine="0"/>
      </w:pPr>
      <w:r>
        <w:rPr>
          <w:rFonts w:ascii="宋体" w:hAnsi="宋体" w:eastAsia="宋体"/>
          <w:b w:val="0"/>
          <w:sz w:val="24"/>
        </w:rPr>
        <w:t>3. **产品与工程同时存在**：既有沉浸式成长反馈（BGM、Shader、触觉、成就），也有明确的架构设计（三层异构）、测试体系（100+ 测试文件，Phase 0-4 分阶段回归）和工程闸门（from-zero rebuild、smoke、benchmark）。</w:t>
      </w:r>
    </w:p>
    <w:p>
      <w:pPr>
        <w:spacing w:line="360" w:lineRule="auto" w:before="0" w:after="0"/>
        <w:ind w:firstLine="0"/>
      </w:pPr>
      <w:r>
        <w:rPr>
          <w:rFonts w:ascii="宋体" w:hAnsi="宋体" w:eastAsia="宋体"/>
          <w:b w:val="0"/>
          <w:sz w:val="24"/>
        </w:rPr>
        <w:t>4. **治理化接入外部能力**：对 OpenClaw 执行能力采用 TrustEngine 信任评估和审批机制治理，而不是无边界调用。</w:t>
      </w:r>
    </w:p>
    <w:p>
      <w:pPr>
        <w:spacing w:line="360" w:lineRule="auto" w:before="0" w:after="0"/>
        <w:ind w:firstLine="420"/>
      </w:pPr>
      <w:r>
        <w:rPr>
          <w:rFonts w:ascii="宋体" w:hAnsi="宋体" w:eastAsia="宋体"/>
          <w:b w:val="0"/>
          <w:sz w:val="24"/>
        </w:rPr>
        <w:t>因此，星火更适合被理解为**"下一代 AI 学习成长系统"**的参赛项目，而不是某个现有学习 AI 的局部增强版本。</w:t>
      </w:r>
    </w:p>
    <w:p>
      <w:pPr>
        <w:spacing w:line="360" w:lineRule="auto" w:before="0" w:after="0"/>
        <w:ind w:firstLine="420"/>
      </w:pPr>
      <w:r>
        <w:rPr>
          <w:rFonts w:ascii="宋体" w:hAnsi="宋体" w:eastAsia="宋体"/>
          <w:b w:val="0"/>
          <w:sz w:val="24"/>
        </w:rPr>
        <w:t>*资料来源说明：本文涉及 ChatGPT Study Mode、Khanmigo、Quizlet、StudyX、Gauth 的公开能力对比，均基于 2026-03-29 前后可核实的官方帮助中心、产品页或发布说明整理。Zimmerman（2002）、Sweller（1988）、Ausubel（1968）、Bandura（1977）等学术引用用于支撑痛点分析的理论基础。*</w:t>
      </w:r>
    </w:p>
    <w:p>
      <w:pPr>
        <w:pStyle w:val="3"/>
        <w:ind w:firstLine="480"/>
      </w:pPr>
    </w:p>
    <w:p>
      <w:pPr>
        <w:pStyle w:val="3"/>
        <w:ind w:firstLine="480"/>
      </w:pPr>
    </w:p>
    <w:p>
      <w:pPr>
        <w:pStyle w:val="3"/>
        <w:ind w:firstLine="480"/>
      </w:pPr>
    </w:p>
    <w:sectPr>
      <w:footerReference r:id="rId9"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044173FD">
      <w:pPr>
        <w:pStyle w:val="16"/>
      </w:pPr>
      <w:r>
        <w:rPr>
          <w:rFonts w:hint="eastAsia"/>
        </w:rPr>
        <w:t>替换中括号内的字段，不保留中括号</w:t>
      </w:r>
    </w:p>
  </w:comment>
  <w:comment w:id="1" w:author="提示" w:date="2020-11-20T00:06:00Z" w:initials="提示">
    <w:p w14:paraId="00F13EFA">
      <w:pPr>
        <w:pStyle w:val="16"/>
      </w:pPr>
      <w:r>
        <w:rPr>
          <w:rFonts w:hint="eastAsia"/>
        </w:rPr>
        <w:t>使用无背景图标（.</w:t>
      </w:r>
      <w:r>
        <w:t>jpg/png</w:t>
      </w:r>
      <w:r>
        <w:rPr>
          <w:rFonts w:hint="eastAsia"/>
        </w:rPr>
        <w:t>）替换括号内的字段，删除括号。</w:t>
      </w:r>
    </w:p>
  </w:comment>
  <w:comment w:id="2" w:author="提示" w:date="2020-11-20T00:06:00Z" w:initials="提示">
    <w:p w14:paraId="6D18069C">
      <w:pPr>
        <w:pStyle w:val="16"/>
      </w:pPr>
      <w:r>
        <w:rPr>
          <w:rFonts w:hint="eastAsia"/>
        </w:rPr>
        <w:t>中文项目名称，删除括号。</w:t>
      </w:r>
    </w:p>
  </w:comment>
  <w:comment w:id="3" w:author="提示" w:date="2020-11-20T00:06:00Z" w:initials="提示">
    <w:p w14:paraId="08DD049B">
      <w:pPr>
        <w:pStyle w:val="16"/>
      </w:pPr>
      <w:r>
        <w:rPr>
          <w:rFonts w:hint="eastAsia"/>
        </w:rPr>
        <w:t>英文项目名称，删除括号。</w:t>
      </w:r>
    </w:p>
  </w:comment>
  <w:comment w:id="4" w:author="提示" w:date="2020-11-20T00:06:00Z" w:initials="提示">
    <w:p w14:paraId="5CC658A8">
      <w:pPr>
        <w:pStyle w:val="16"/>
      </w:pPr>
      <w:r>
        <w:t>#.#.#</w:t>
      </w:r>
      <w:r>
        <w:rPr>
          <w:rFonts w:hint="eastAsia"/>
        </w:rPr>
        <w:t>格式，与记录更改历史一致</w:t>
      </w:r>
    </w:p>
  </w:comment>
  <w:comment w:id="5" w:author="提示" w:date="2020-11-20T00:07:00Z" w:initials="提示">
    <w:p w14:paraId="56631A60">
      <w:pPr>
        <w:pStyle w:val="16"/>
      </w:pPr>
      <w:r>
        <w:rPr>
          <w:rFonts w:hint="eastAsia"/>
        </w:rPr>
        <w:t>使用无背景图标（.</w:t>
      </w:r>
      <w:r>
        <w:t>jpg/png</w:t>
      </w:r>
      <w:r>
        <w:rPr>
          <w:rFonts w:hint="eastAsia"/>
        </w:rPr>
        <w:t>）替换括号内的字段，删除括号。</w:t>
      </w:r>
    </w:p>
  </w:comment>
  <w:comment w:id="6" w:author="提示" w:date="2020-11-20T00:07:00Z" w:initials="提示">
    <w:p w14:paraId="17360BD7">
      <w:pPr>
        <w:pStyle w:val="16"/>
      </w:pPr>
      <w:r>
        <w:rPr>
          <w:rFonts w:hint="eastAsia"/>
        </w:rPr>
        <w:t>与队名一致，删除括号。</w:t>
      </w:r>
    </w:p>
  </w:comment>
  <w:comment w:id="7" w:author="提示" w:date="2020-11-20T00:07:00Z" w:initials="提示">
    <w:p w14:paraId="6FE57958">
      <w:pPr>
        <w:pStyle w:val="16"/>
      </w:pPr>
      <w:r>
        <w:rPr>
          <w:rFonts w:hint="eastAsia"/>
        </w:rPr>
        <w:t>删除括号。</w:t>
      </w:r>
    </w:p>
  </w:comment>
  <w:comment w:id="8" w:author="提示" w:date="2020-11-20T00:07:00Z" w:initials="提示">
    <w:p w14:paraId="11FF7852">
      <w:pPr>
        <w:pStyle w:val="16"/>
      </w:pPr>
      <w:r>
        <w:rPr>
          <w:rFonts w:hint="eastAsia"/>
        </w:rPr>
        <w:t>按照文档结构完成所有章节的内容，且不允许擅自调整文档的组织结构。</w:t>
      </w:r>
    </w:p>
  </w:comment>
  <w:comment w:id="9" w:author="提示" w:date="2020-11-20T00:07:00Z" w:initials="提示">
    <w:p w14:paraId="14D4068D">
      <w:pPr>
        <w:pStyle w:val="16"/>
      </w:pPr>
      <w:r>
        <w:rPr>
          <w:rFonts w:hint="eastAsia"/>
        </w:rPr>
        <w:t>创建/更新</w:t>
      </w:r>
    </w:p>
  </w:comment>
  <w:comment w:id="10" w:author="提示" w:date="2020-11-20T00:07:00Z" w:initials="提示">
    <w:p w14:paraId="0E385417">
      <w:pPr>
        <w:pStyle w:val="16"/>
      </w:pPr>
      <w:r>
        <w:rPr>
          <w:rFonts w:hint="eastAsia"/>
        </w:rPr>
        <w:t>注意版本号的迭代规则</w:t>
      </w:r>
    </w:p>
  </w:comment>
  <w:comment w:id="11" w:author="提示" w:date="2020-11-20T00:07:00Z" w:initials="提示">
    <w:p w14:paraId="46241589">
      <w:pPr>
        <w:pStyle w:val="16"/>
        <w:rPr>
          <w:b/>
        </w:rPr>
      </w:pPr>
      <w:r>
        <w:rPr>
          <w:rFonts w:hint="eastAsia"/>
          <w:b/>
        </w:rPr>
        <w:t>初赛</w:t>
      </w:r>
      <w:r>
        <w:rPr>
          <w:b/>
        </w:rPr>
        <w:t>阶段完成</w:t>
      </w:r>
    </w:p>
  </w:comment>
  <w:comment w:id="12" w:author="提示" w:date="2020-11-20T00:08:00Z" w:initials="提示">
    <w:p w14:paraId="048F699B">
      <w:pPr>
        <w:pStyle w:val="16"/>
      </w:pPr>
      <w:r>
        <w:rPr>
          <w:rFonts w:ascii="Consolas" w:hAnsi="Consolas" w:cs="Consolas"/>
          <w:color w:val="24292E"/>
          <w:kern w:val="0"/>
          <w:sz w:val="18"/>
          <w:szCs w:val="18"/>
          <w:shd w:val="clear" w:color="auto" w:fill="FFFFFF"/>
        </w:rPr>
        <w:t>罗列并简要介绍</w:t>
      </w:r>
      <w:r>
        <w:rPr>
          <w:rFonts w:hint="eastAsia" w:ascii="Consolas" w:hAnsi="Consolas" w:cs="Consolas"/>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13" w:author="提示" w:date="2020-11-20T00:08:00Z" w:initials="提示">
    <w:p w14:paraId="32FD7419">
      <w:pPr>
        <w:widowControl/>
        <w:jc w:val="left"/>
        <w:rPr>
          <w:rFonts w:hint="eastAsia" w:ascii="宋体" w:hAnsi="宋体" w:cs="宋体"/>
          <w:kern w:val="0"/>
          <w:sz w:val="24"/>
        </w:rPr>
      </w:pPr>
      <w:r>
        <w:rPr>
          <w:rFonts w:ascii="Consolas" w:hAnsi="Consolas" w:cs="Consolas"/>
          <w:color w:val="24292E"/>
          <w:kern w:val="0"/>
          <w:sz w:val="18"/>
          <w:szCs w:val="18"/>
          <w:shd w:val="clear" w:color="auto" w:fill="FFFFFF"/>
        </w:rPr>
        <w:t>简要介绍当前已有的对痛点的解决方案，或者一些相关的工作</w:t>
      </w:r>
    </w:p>
  </w:comment>
  <w:comment w:id="14" w:author="提示" w:date="2020-11-20T00:08:00Z" w:initials="提示">
    <w:p w14:paraId="179521B4">
      <w:pPr>
        <w:pStyle w:val="16"/>
        <w:rPr>
          <w:b/>
        </w:rPr>
      </w:pPr>
      <w:r>
        <w:rPr>
          <w:rFonts w:hint="eastAsia"/>
          <w:b/>
        </w:rPr>
        <w:t>初赛</w:t>
      </w:r>
      <w:r>
        <w:rPr>
          <w:b/>
        </w:rPr>
        <w:t>阶段完成</w:t>
      </w:r>
    </w:p>
  </w:comment>
  <w:comment w:id="15" w:author="提示" w:date="2020-11-20T00:08:00Z" w:initials="提示">
    <w:p w14:paraId="5DB46351">
      <w:pPr>
        <w:pStyle w:val="16"/>
      </w:pP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4173FD" w15:done="0"/>
  <w15:commentEx w15:paraId="00F13EFA" w15:done="0"/>
  <w15:commentEx w15:paraId="6D18069C" w15:done="0"/>
  <w15:commentEx w15:paraId="08DD049B" w15:done="0"/>
  <w15:commentEx w15:paraId="5CC658A8" w15:done="0"/>
  <w15:commentEx w15:paraId="56631A60" w15:done="0"/>
  <w15:commentEx w15:paraId="17360BD7" w15:done="0"/>
  <w15:commentEx w15:paraId="6FE57958" w15:done="0"/>
  <w15:commentEx w15:paraId="11FF7852" w15:done="0"/>
  <w15:commentEx w15:paraId="14D4068D" w15:done="0"/>
  <w15:commentEx w15:paraId="0E385417" w15:done="0"/>
  <w15:commentEx w15:paraId="46241589" w15:done="0"/>
  <w15:commentEx w15:paraId="048F699B" w15:done="0"/>
  <w15:commentEx w15:paraId="32FD7419" w15:done="0"/>
  <w15:commentEx w15:paraId="179521B4" w15:done="0"/>
  <w15:commentEx w15:paraId="5DB463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0263"/>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311858"/>
    <w:rsid w:val="00324C0B"/>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2EE4"/>
    <w:rsid w:val="006C4997"/>
    <w:rsid w:val="006D45A1"/>
    <w:rsid w:val="006F3270"/>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368B"/>
    <w:rsid w:val="00CA2EF8"/>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D1576"/>
    <w:rsid w:val="00DE662E"/>
    <w:rsid w:val="00DF2056"/>
    <w:rsid w:val="00DF54DC"/>
    <w:rsid w:val="00DF63F5"/>
    <w:rsid w:val="00E009B9"/>
    <w:rsid w:val="00E01DD9"/>
    <w:rsid w:val="00E030D8"/>
    <w:rsid w:val="00E1187F"/>
    <w:rsid w:val="00E16A1D"/>
    <w:rsid w:val="00E1790E"/>
    <w:rsid w:val="00E207C7"/>
    <w:rsid w:val="00E30F27"/>
    <w:rsid w:val="00E51EA8"/>
    <w:rsid w:val="00E56E00"/>
    <w:rsid w:val="00E72F02"/>
    <w:rsid w:val="00E8066A"/>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34B3"/>
    <w:rsid w:val="00FB7627"/>
    <w:rsid w:val="00FD7BAA"/>
    <w:rsid w:val="00FE5527"/>
    <w:rsid w:val="00FE5CA8"/>
    <w:rsid w:val="00FF7387"/>
    <w:rsid w:val="054662BE"/>
    <w:rsid w:val="35BA2068"/>
    <w:rsid w:val="7704004B"/>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uiPriority w:val="0"/>
    <w:rPr>
      <w:szCs w:val="24"/>
      <w:shd w:val="clear" w:color="auto" w:fill="000080"/>
    </w:rPr>
  </w:style>
  <w:style w:type="paragraph" w:customStyle="1" w:styleId="114">
    <w:name w:val="文档结构图1"/>
    <w:basedOn w:val="1"/>
    <w:link w:val="113"/>
    <w:uiPriority w:val="0"/>
    <w:pPr>
      <w:shd w:val="clear" w:color="auto" w:fill="000080"/>
    </w:pPr>
    <w:rPr>
      <w:rFonts w:asciiTheme="minorHAnsi" w:hAnsiTheme="minorHAnsi"/>
      <w:shd w:val="clear" w:color="auto" w:fill="000080"/>
    </w:rPr>
  </w:style>
  <w:style w:type="character" w:customStyle="1" w:styleId="115">
    <w:name w:val="Comment Text Char1"/>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uiPriority w:val="0"/>
    <w:pPr>
      <w:spacing w:line="312" w:lineRule="auto"/>
      <w:ind w:firstLine="420" w:firstLineChars="200"/>
    </w:pPr>
    <w:rPr>
      <w:rFonts w:ascii="Arial" w:hAnsi="Arial" w:eastAsia="幼圆"/>
    </w:rPr>
  </w:style>
  <w:style w:type="paragraph" w:customStyle="1" w:styleId="175">
    <w:name w:val="pic-info"/>
    <w:basedOn w:val="1"/>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Pages>
  <Words>156</Words>
  <Characters>895</Characters>
  <Lines>7</Lines>
  <Paragraphs>2</Paragraphs>
  <TotalTime>2</TotalTime>
  <ScaleCrop>false</ScaleCrop>
  <LinksUpToDate>false</LinksUpToDate>
  <CharactersWithSpaces>1049</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2025-11-27T14:21:52Z</dcterms:modified>
  <dc:title>星火-设计及创新性分析报告</dc:title>
  <cp:revision>11</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C7B93967374B4180AB61C4323AAC32AE_12</vt:lpwstr>
  </property>
</Properties>
</file>