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23" w:name="_GoBack"/>
            <w:bookmarkEnd w:id="23"/>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pPr>
        <w:spacing w:line="360" w:lineRule="auto" w:before="0" w:after="0"/>
        <w:ind w:firstLine="0"/>
        <w:jc w:val="center"/>
      </w:pPr>
      <w:r>
        <w:rPr>
          <w:rFonts w:ascii="宋体" w:hAnsi="宋体" w:eastAsia="宋体"/>
          <w:b w:val="0"/>
          <w:sz w:val="24"/>
        </w:rPr>
        <w:t>Version: 0.6.0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3</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4</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5</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升级</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按总决赛标准重构，恢复并增强0.4内容，China-first打磨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7</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0.6.0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全模块完成、语言精炼、章节内容饱满、版本引用消除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19301"/>
      <w:bookmarkStart w:id="1" w:name="_Toc331243603"/>
      <w:bookmarkStart w:id="2" w:name="_Toc331243882"/>
      <w:bookmarkStart w:id="3" w:name="_Toc331238769"/>
      <w:bookmarkStart w:id="4" w:name="_Toc331545160"/>
      <w:bookmarkStart w:id="5" w:name="_Toc331238830"/>
      <w:bookmarkStart w:id="6" w:name="_Toc331243703"/>
      <w:bookmarkStart w:id="7" w:name="_Toc331243782"/>
      <w:r>
        <w:rPr>
          <w:rFonts w:hint="eastAsia"/>
        </w:rPr>
        <w:t>问题聚焦</w:t>
      </w:r>
      <w:r>
        <w:rPr>
          <w:rStyle w:val="64"/>
          <w:rFonts w:asciiTheme="minorHAnsi" w:hAnsiTheme="minorHAnsi" w:eastAsiaTheme="minorEastAsia"/>
          <w:b w:val="0"/>
          <w:bCs w:val="0"/>
          <w:kern w:val="2"/>
        </w:rPr>
      </w:r>
      <w:bookmarkEnd w:id="0"/>
    </w:p>
    <w:p>
      <w:pPr>
        <w:pStyle w:val="4"/>
      </w:pPr>
      <w:bookmarkStart w:id="8" w:name="_Toc56719302"/>
      <w:r>
        <w:rPr>
          <w:rFonts w:hint="eastAsia"/>
        </w:rPr>
        <w:t>问题描述</w:t>
      </w:r>
      <w:bookmarkEnd w:id="8"/>
    </w:p>
    <w:p>
      <w:pPr>
        <w:spacing w:line="360" w:lineRule="auto" w:before="0" w:after="0"/>
        <w:ind w:firstLine="420"/>
      </w:pPr>
      <w:r>
        <w:rPr>
          <w:rFonts w:ascii="宋体" w:hAnsi="宋体" w:eastAsia="宋体"/>
          <w:b w:val="0"/>
          <w:sz w:val="24"/>
        </w:rPr>
        <w:t>星火要解决的问题，不是“如何把一个聊天机器人包装成学习助手”，而是“如何构建一套能够持续理解大学生学习状态、组织知识结构、规划行动路径、推动任务执行并把结果沉淀回成长主链的 AI 学习成长系统”。</w:t>
      </w:r>
    </w:p>
    <w:p>
      <w:pPr>
        <w:spacing w:line="360" w:lineRule="auto" w:before="0" w:after="0"/>
        <w:ind w:firstLine="420"/>
      </w:pPr>
      <w:r>
        <w:rPr>
          <w:rFonts w:ascii="宋体" w:hAnsi="宋体" w:eastAsia="宋体"/>
          <w:b w:val="0"/>
          <w:sz w:val="24"/>
        </w:rPr>
        <w:t>在中国大陆高校场景中，学生已经拥有大量数字化工具：课程平台可以提供课件与作业入口，搜题和 AI 问答产品可以提供即时解释，专注和待办产品可以提供时间管理。但这些工具大多分工明确、彼此割裂。学生常常一边在课程平台找资料，一边在 AI 工具里提问，一边在待办或专注工具里记录计划，最后仍然会遇到三个核心问题：</w:t>
      </w:r>
    </w:p>
    <w:p>
      <w:pPr>
        <w:spacing w:line="360" w:lineRule="auto" w:before="0" w:after="0"/>
        <w:ind w:firstLine="0"/>
      </w:pPr>
      <w:r>
        <w:rPr>
          <w:rFonts w:ascii="宋体" w:hAnsi="宋体" w:eastAsia="宋体"/>
          <w:b w:val="0"/>
          <w:sz w:val="24"/>
        </w:rPr>
        <w:t>1. 学习目标跨度大，系统很难把“补完一门课”“准备一场比赛”“完成一个项目”稳定拆成可执行路径。</w:t>
      </w:r>
    </w:p>
    <w:p>
      <w:pPr>
        <w:spacing w:line="360" w:lineRule="auto" w:before="0" w:after="0"/>
        <w:ind w:firstLine="0"/>
      </w:pPr>
      <w:r>
        <w:rPr>
          <w:rFonts w:ascii="宋体" w:hAnsi="宋体" w:eastAsia="宋体"/>
          <w:b w:val="0"/>
          <w:sz w:val="24"/>
        </w:rPr>
        <w:t>2. 学习过程结构性强，系统不仅要回答问题，还要理解前置关系、掌握度变化和路径依赖。</w:t>
      </w:r>
    </w:p>
    <w:p>
      <w:pPr>
        <w:spacing w:line="360" w:lineRule="auto" w:before="0" w:after="0"/>
        <w:ind w:firstLine="0"/>
      </w:pPr>
      <w:r>
        <w:rPr>
          <w:rFonts w:ascii="宋体" w:hAnsi="宋体" w:eastAsia="宋体"/>
          <w:b w:val="0"/>
          <w:sz w:val="24"/>
        </w:rPr>
        <w:t>3. 成长反馈周期慢，系统必须把一次次局部行为重新组织回长期状态，而不是让每一次交互都彼此孤立。</w:t>
      </w:r>
    </w:p>
    <w:p>
      <w:pPr>
        <w:spacing w:line="360" w:lineRule="auto" w:before="0" w:after="0"/>
        <w:ind w:firstLine="420"/>
      </w:pPr>
      <w:r>
        <w:rPr>
          <w:rFonts w:ascii="宋体" w:hAnsi="宋体" w:eastAsia="宋体"/>
          <w:b w:val="0"/>
          <w:sz w:val="24"/>
        </w:rPr>
        <w:t>因此，星火面对的是一个典型的系统级问题，而不是单一算法问题。</w:t>
      </w:r>
    </w:p>
    <w:p>
      <w:pPr>
        <w:pStyle w:val="4"/>
      </w:pPr>
      <w:bookmarkStart w:id="9" w:name="_Toc56719303"/>
      <w:r>
        <w:rPr>
          <w:rFonts w:hint="eastAsia"/>
        </w:rPr>
        <w:t>问题抽象</w:t>
      </w:r>
      <w:bookmarkEnd w:id="9"/>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从技术视角看，星火需要同时解决五层连续问题：</w:t>
      </w:r>
    </w:p>
    <w:p>
      <w:pPr>
        <w:spacing w:line="360" w:lineRule="auto" w:before="0" w:after="0"/>
        <w:ind w:firstLine="0"/>
      </w:pPr>
      <w:r>
        <w:rPr>
          <w:rFonts w:ascii="宋体" w:hAnsi="宋体" w:eastAsia="宋体"/>
          <w:b w:val="0"/>
          <w:sz w:val="24"/>
        </w:rPr>
        <w:t>1. 感知层问题：系统如何识别用户当前目标、上下文、偏好、学习节奏和知识薄弱点。</w:t>
      </w:r>
    </w:p>
    <w:p>
      <w:pPr>
        <w:spacing w:line="360" w:lineRule="auto" w:before="0" w:after="0"/>
        <w:ind w:firstLine="0"/>
      </w:pPr>
      <w:r>
        <w:rPr>
          <w:rFonts w:ascii="宋体" w:hAnsi="宋体" w:eastAsia="宋体"/>
          <w:b w:val="0"/>
          <w:sz w:val="24"/>
        </w:rPr>
        <w:t>2. 规划层问题：系统如何把模糊目标规范化，并转化为阶段计划、任务清单和下一步动作。</w:t>
      </w:r>
    </w:p>
    <w:p>
      <w:pPr>
        <w:spacing w:line="360" w:lineRule="auto" w:before="0" w:after="0"/>
        <w:ind w:firstLine="0"/>
      </w:pPr>
      <w:r>
        <w:rPr>
          <w:rFonts w:ascii="宋体" w:hAnsi="宋体" w:eastAsia="宋体"/>
          <w:b w:val="0"/>
          <w:sz w:val="24"/>
        </w:rPr>
        <w:t>3. 知识层问题：系统如何把学习内容组织成可检索、可解释、可推理的结构，而不是散落在聊天记录中。</w:t>
      </w:r>
    </w:p>
    <w:p>
      <w:pPr>
        <w:spacing w:line="360" w:lineRule="auto" w:before="0" w:after="0"/>
        <w:ind w:firstLine="0"/>
      </w:pPr>
      <w:r>
        <w:rPr>
          <w:rFonts w:ascii="宋体" w:hAnsi="宋体" w:eastAsia="宋体"/>
          <w:b w:val="0"/>
          <w:sz w:val="24"/>
        </w:rPr>
        <w:t>4. 协作层问题：系统如何在复杂任务下调度多个专家角色，并保证协作结果可聚合、可重规划。</w:t>
      </w:r>
    </w:p>
    <w:p>
      <w:pPr>
        <w:spacing w:line="360" w:lineRule="auto" w:before="0" w:after="0"/>
        <w:ind w:firstLine="0"/>
      </w:pPr>
      <w:r>
        <w:rPr>
          <w:rFonts w:ascii="宋体" w:hAnsi="宋体" w:eastAsia="宋体"/>
          <w:b w:val="0"/>
          <w:sz w:val="24"/>
        </w:rPr>
        <w:t>5. 执行层问题：系统如何在可治理前提下把建议推进到执行，并把结果可信地回流到主链。</w:t>
      </w:r>
    </w:p>
    <w:p>
      <w:pPr>
        <w:spacing w:line="360" w:lineRule="auto" w:before="0" w:after="0"/>
        <w:ind w:firstLine="420"/>
      </w:pPr>
      <w:r>
        <w:rPr>
          <w:rFonts w:ascii="宋体" w:hAnsi="宋体" w:eastAsia="宋体"/>
          <w:b w:val="0"/>
          <w:sz w:val="24"/>
        </w:rPr>
        <w:t>这五层并不是独立模块的简单串联，而是强依赖关系：状态理解失真，规划就会失真；知识结构不成立，路径推荐和薄弱点判断就会失真；执行回流做不好，前面的理解与规划就无法形成长期闭环。</w:t>
      </w:r>
    </w:p>
    <w:p>
      <w:pPr>
        <w:pStyle w:val="4"/>
      </w:pPr>
      <w:bookmarkStart w:id="10" w:name="_Toc56719304"/>
      <w:r>
        <w:rPr>
          <w:rFonts w:hint="eastAsia"/>
        </w:rPr>
        <w:t>问题定位</w:t>
      </w:r>
      <w:bookmarkEnd w:id="10"/>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从研究对象上看，星火位于教育科技、AI-native 应用、知识组织系统与 Agent 系统交叉地带；从工程形态上看，它不是单一脚本或单端原型，而是一套由 Flutter 移动端、Go 接入层和 Python 智能层共同支撑的异构系统。</w:t>
      </w:r>
    </w:p>
    <w:p>
      <w:pPr>
        <w:spacing w:line="360" w:lineRule="auto" w:before="0" w:after="0"/>
        <w:ind w:firstLine="420"/>
      </w:pPr>
      <w:r>
        <w:rPr>
          <w:rFonts w:ascii="宋体" w:hAnsi="宋体" w:eastAsia="宋体"/>
          <w:b w:val="0"/>
          <w:sz w:val="24"/>
        </w:rPr>
        <w:t>当前项目的真实工程规模如下：</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工程维度</w:t>
            </w:r>
          </w:p>
        </w:tc>
        <w:tc>
          <w:tcPr>
            <w:tcW w:type="dxa" w:w="4535"/>
          </w:tcPr>
          <w:p>
            <w:pPr>
              <w:spacing w:line="360" w:lineRule="auto" w:before="0" w:after="0"/>
              <w:ind w:firstLine="0"/>
            </w:pPr>
            <w:r>
              <w:rPr>
                <w:rFonts w:ascii="宋体" w:hAnsi="宋体" w:eastAsia="宋体"/>
                <w:b/>
                <w:sz w:val="20"/>
              </w:rPr>
              <w:t>当前规模</w:t>
            </w:r>
          </w:p>
        </w:tc>
      </w:tr>
      <w:tr>
        <w:tc>
          <w:tcPr>
            <w:tcW w:type="dxa" w:w="4535"/>
          </w:tcPr>
          <w:p>
            <w:pPr>
              <w:spacing w:line="360" w:lineRule="auto" w:before="0" w:after="0"/>
              <w:ind w:firstLine="0"/>
            </w:pPr>
            <w:r>
              <w:rPr>
                <w:rFonts w:ascii="宋体" w:hAnsi="宋体" w:eastAsia="宋体"/>
                <w:b w:val="0"/>
                <w:sz w:val="20"/>
              </w:rPr>
              <w:t>Python AI Engine 代码文件</w:t>
            </w:r>
          </w:p>
        </w:tc>
        <w:tc>
          <w:tcPr>
            <w:tcW w:type="dxa" w:w="4535"/>
          </w:tcPr>
          <w:p>
            <w:pPr>
              <w:spacing w:line="360" w:lineRule="auto" w:before="0" w:after="0"/>
              <w:ind w:firstLine="0"/>
            </w:pPr>
            <w:r>
              <w:rPr>
                <w:rFonts w:ascii="宋体" w:hAnsi="宋体" w:eastAsia="宋体"/>
                <w:b w:val="0"/>
                <w:sz w:val="20"/>
              </w:rPr>
              <w:t>728 个</w:t>
            </w:r>
          </w:p>
        </w:tc>
      </w:tr>
      <w:tr>
        <w:tc>
          <w:tcPr>
            <w:tcW w:type="dxa" w:w="4535"/>
          </w:tcPr>
          <w:p>
            <w:pPr>
              <w:spacing w:line="360" w:lineRule="auto" w:before="0" w:after="0"/>
              <w:ind w:firstLine="0"/>
            </w:pPr>
            <w:r>
              <w:rPr>
                <w:rFonts w:ascii="宋体" w:hAnsi="宋体" w:eastAsia="宋体"/>
                <w:b w:val="0"/>
                <w:sz w:val="20"/>
              </w:rPr>
              <w:t>Python 测试文件</w:t>
            </w:r>
          </w:p>
        </w:tc>
        <w:tc>
          <w:tcPr>
            <w:tcW w:type="dxa" w:w="4535"/>
          </w:tcPr>
          <w:p>
            <w:pPr>
              <w:spacing w:line="360" w:lineRule="auto" w:before="0" w:after="0"/>
              <w:ind w:firstLine="0"/>
            </w:pPr>
            <w:r>
              <w:rPr>
                <w:rFonts w:ascii="宋体" w:hAnsi="宋体" w:eastAsia="宋体"/>
                <w:b w:val="0"/>
                <w:sz w:val="20"/>
              </w:rPr>
              <w:t>260 个</w:t>
            </w:r>
          </w:p>
        </w:tc>
      </w:tr>
      <w:tr>
        <w:tc>
          <w:tcPr>
            <w:tcW w:type="dxa" w:w="4535"/>
          </w:tcPr>
          <w:p>
            <w:pPr>
              <w:spacing w:line="360" w:lineRule="auto" w:before="0" w:after="0"/>
              <w:ind w:firstLine="0"/>
            </w:pPr>
            <w:r>
              <w:rPr>
                <w:rFonts w:ascii="宋体" w:hAnsi="宋体" w:eastAsia="宋体"/>
                <w:b w:val="0"/>
                <w:sz w:val="20"/>
              </w:rPr>
              <w:t>Go Gateway 代码文件</w:t>
            </w:r>
          </w:p>
        </w:tc>
        <w:tc>
          <w:tcPr>
            <w:tcW w:type="dxa" w:w="4535"/>
          </w:tcPr>
          <w:p>
            <w:pPr>
              <w:spacing w:line="360" w:lineRule="auto" w:before="0" w:after="0"/>
              <w:ind w:firstLine="0"/>
            </w:pPr>
            <w:r>
              <w:rPr>
                <w:rFonts w:ascii="宋体" w:hAnsi="宋体" w:eastAsia="宋体"/>
                <w:b w:val="0"/>
                <w:sz w:val="20"/>
              </w:rPr>
              <w:t>140 个</w:t>
            </w:r>
          </w:p>
        </w:tc>
      </w:tr>
      <w:tr>
        <w:tc>
          <w:tcPr>
            <w:tcW w:type="dxa" w:w="4535"/>
          </w:tcPr>
          <w:p>
            <w:pPr>
              <w:spacing w:line="360" w:lineRule="auto" w:before="0" w:after="0"/>
              <w:ind w:firstLine="0"/>
            </w:pPr>
            <w:r>
              <w:rPr>
                <w:rFonts w:ascii="宋体" w:hAnsi="宋体" w:eastAsia="宋体"/>
                <w:b w:val="0"/>
                <w:sz w:val="20"/>
              </w:rPr>
              <w:t>Go 测试文件</w:t>
            </w:r>
          </w:p>
        </w:tc>
        <w:tc>
          <w:tcPr>
            <w:tcW w:type="dxa" w:w="4535"/>
          </w:tcPr>
          <w:p>
            <w:pPr>
              <w:spacing w:line="360" w:lineRule="auto" w:before="0" w:after="0"/>
              <w:ind w:firstLine="0"/>
            </w:pPr>
            <w:r>
              <w:rPr>
                <w:rFonts w:ascii="宋体" w:hAnsi="宋体" w:eastAsia="宋体"/>
                <w:b w:val="0"/>
                <w:sz w:val="20"/>
              </w:rPr>
              <w:t>30 个</w:t>
            </w:r>
          </w:p>
        </w:tc>
      </w:tr>
      <w:tr>
        <w:tc>
          <w:tcPr>
            <w:tcW w:type="dxa" w:w="4535"/>
          </w:tcPr>
          <w:p>
            <w:pPr>
              <w:spacing w:line="360" w:lineRule="auto" w:before="0" w:after="0"/>
              <w:ind w:firstLine="0"/>
            </w:pPr>
            <w:r>
              <w:rPr>
                <w:rFonts w:ascii="宋体" w:hAnsi="宋体" w:eastAsia="宋体"/>
                <w:b w:val="0"/>
                <w:sz w:val="20"/>
              </w:rPr>
              <w:t>Flutter 代码文件</w:t>
            </w:r>
          </w:p>
        </w:tc>
        <w:tc>
          <w:tcPr>
            <w:tcW w:type="dxa" w:w="4535"/>
          </w:tcPr>
          <w:p>
            <w:pPr>
              <w:spacing w:line="360" w:lineRule="auto" w:before="0" w:after="0"/>
              <w:ind w:firstLine="0"/>
            </w:pPr>
            <w:r>
              <w:rPr>
                <w:rFonts w:ascii="宋体" w:hAnsi="宋体" w:eastAsia="宋体"/>
                <w:b w:val="0"/>
                <w:sz w:val="20"/>
              </w:rPr>
              <w:t>965 个</w:t>
            </w:r>
          </w:p>
        </w:tc>
      </w:tr>
      <w:tr>
        <w:tc>
          <w:tcPr>
            <w:tcW w:type="dxa" w:w="4535"/>
          </w:tcPr>
          <w:p>
            <w:pPr>
              <w:spacing w:line="360" w:lineRule="auto" w:before="0" w:after="0"/>
              <w:ind w:firstLine="0"/>
            </w:pPr>
            <w:r>
              <w:rPr>
                <w:rFonts w:ascii="宋体" w:hAnsi="宋体" w:eastAsia="宋体"/>
                <w:b w:val="0"/>
                <w:sz w:val="20"/>
              </w:rPr>
              <w:t>Flutter 测试文件</w:t>
            </w:r>
          </w:p>
        </w:tc>
        <w:tc>
          <w:tcPr>
            <w:tcW w:type="dxa" w:w="4535"/>
          </w:tcPr>
          <w:p>
            <w:pPr>
              <w:spacing w:line="360" w:lineRule="auto" w:before="0" w:after="0"/>
              <w:ind w:firstLine="0"/>
            </w:pPr>
            <w:r>
              <w:rPr>
                <w:rFonts w:ascii="宋体" w:hAnsi="宋体" w:eastAsia="宋体"/>
                <w:b w:val="0"/>
                <w:sz w:val="20"/>
              </w:rPr>
              <w:t>110 个</w:t>
            </w:r>
          </w:p>
        </w:tc>
      </w:tr>
      <w:tr>
        <w:tc>
          <w:tcPr>
            <w:tcW w:type="dxa" w:w="4535"/>
          </w:tcPr>
          <w:p>
            <w:pPr>
              <w:spacing w:line="360" w:lineRule="auto" w:before="0" w:after="0"/>
              <w:ind w:firstLine="0"/>
            </w:pPr>
            <w:r>
              <w:rPr>
                <w:rFonts w:ascii="宋体" w:hAnsi="宋体" w:eastAsia="宋体"/>
                <w:b w:val="0"/>
                <w:sz w:val="20"/>
              </w:rPr>
              <w:t>Benchmark / 性能相关文件</w:t>
            </w:r>
          </w:p>
        </w:tc>
        <w:tc>
          <w:tcPr>
            <w:tcW w:type="dxa" w:w="4535"/>
          </w:tcPr>
          <w:p>
            <w:pPr>
              <w:spacing w:line="360" w:lineRule="auto" w:before="0" w:after="0"/>
              <w:ind w:firstLine="0"/>
            </w:pPr>
            <w:r>
              <w:rPr>
                <w:rFonts w:ascii="宋体" w:hAnsi="宋体" w:eastAsia="宋体"/>
                <w:b w:val="0"/>
                <w:sz w:val="20"/>
              </w:rPr>
              <w:t>29 个</w:t>
            </w:r>
          </w:p>
        </w:tc>
      </w:tr>
    </w:tbl>
    <w:p>
      <w:pPr>
        <w:spacing w:line="360" w:lineRule="auto" w:before="0" w:after="0"/>
        <w:ind w:firstLine="420"/>
      </w:pPr>
    </w:p>
    <w:p>
      <w:pPr>
        <w:spacing w:line="360" w:lineRule="auto" w:before="0" w:after="0"/>
        <w:ind w:firstLine="420"/>
      </w:pPr>
      <w:r>
        <w:rPr>
          <w:rFonts w:ascii="宋体" w:hAnsi="宋体" w:eastAsia="宋体"/>
          <w:b w:val="0"/>
          <w:sz w:val="24"/>
        </w:rPr>
        <w:t>这决定了本项目的技术研究不能停留在“某个模型选型是否先进”，而必须回答以下问题：为什么要采用异构架构、为什么需要图谱与 GraphRAG、为什么复杂任务要用多 Agent、为什么执行能力必须带治理边界、以及这些设计为什么值得工程化实现。</w:t>
      </w:r>
    </w:p>
    <w:p>
      <w:pPr>
        <w:pStyle w:val="4"/>
      </w:pPr>
      <w:bookmarkStart w:id="11" w:name="_Toc56719305"/>
      <w:r>
        <w:rPr>
          <w:rFonts w:hint="eastAsia"/>
        </w:rPr>
        <w:t>问题评估</w:t>
      </w:r>
      <w:r>
        <w:rPr>
          <w:rStyle w:val="64"/>
          <w:rFonts w:asciiTheme="minorHAnsi" w:hAnsiTheme="minorHAnsi" w:eastAsiaTheme="minorEastAsia"/>
          <w:b w:val="0"/>
          <w:bCs w:val="0"/>
        </w:rPr>
      </w:r>
      <w:bookmarkEnd w:id="11"/>
    </w:p>
    <w:p>
      <w:pPr>
        <w:spacing w:line="360" w:lineRule="auto" w:before="0" w:after="0"/>
        <w:ind w:firstLine="420"/>
      </w:pPr>
      <w:r>
        <w:rPr>
          <w:rFonts w:ascii="宋体" w:hAnsi="宋体" w:eastAsia="宋体"/>
          <w:b w:val="0"/>
          <w:sz w:val="24"/>
        </w:rPr>
        <w:t>综合业务特征与工程形态，星火的技术问题具有以下五个突出特征：</w:t>
      </w:r>
    </w:p>
    <w:p>
      <w:pPr>
        <w:spacing w:line="360" w:lineRule="auto" w:before="0" w:after="0"/>
        <w:ind w:firstLine="0"/>
      </w:pPr>
      <w:r>
        <w:rPr>
          <w:rFonts w:ascii="宋体" w:hAnsi="宋体" w:eastAsia="宋体"/>
          <w:b/>
          <w:sz w:val="24"/>
        </w:rPr>
        <w:t>长链路特征</w:t>
      </w:r>
    </w:p>
    <w:p>
      <w:pPr>
        <w:spacing w:line="360" w:lineRule="auto" w:before="0" w:after="0"/>
        <w:ind w:firstLine="420"/>
      </w:pPr>
      <w:r>
        <w:rPr>
          <w:rFonts w:ascii="宋体" w:hAnsi="宋体" w:eastAsia="宋体"/>
          <w:b w:val="0"/>
          <w:sz w:val="24"/>
        </w:rPr>
        <w:t>一个真实的学习目标常常跨越多轮对话、多次任务、多段页面操作和多天行为记录。系统不能只在单轮问答里聪明，而必须在长链路中保持状态一致性。</w:t>
      </w:r>
    </w:p>
    <w:p>
      <w:pPr>
        <w:spacing w:line="360" w:lineRule="auto" w:before="0" w:after="0"/>
        <w:ind w:firstLine="0"/>
      </w:pPr>
      <w:r>
        <w:rPr>
          <w:rFonts w:ascii="宋体" w:hAnsi="宋体" w:eastAsia="宋体"/>
          <w:b/>
          <w:sz w:val="24"/>
        </w:rPr>
        <w:t>强结构特征</w:t>
      </w:r>
    </w:p>
    <w:p>
      <w:pPr>
        <w:spacing w:line="360" w:lineRule="auto" w:before="0" w:after="0"/>
        <w:ind w:firstLine="420"/>
      </w:pPr>
      <w:r>
        <w:rPr>
          <w:rFonts w:ascii="宋体" w:hAnsi="宋体" w:eastAsia="宋体"/>
          <w:b w:val="0"/>
          <w:sz w:val="24"/>
        </w:rPr>
        <w:t>学习问题不仅涉及语义相关性，还涉及前置依赖、层级关系、掌握度变化和路径分叉。这意味着单纯依赖向量相似度不足以支撑完整的学习路径问题。</w:t>
      </w:r>
    </w:p>
    <w:p>
      <w:pPr>
        <w:spacing w:line="360" w:lineRule="auto" w:before="0" w:after="0"/>
        <w:ind w:firstLine="0"/>
      </w:pPr>
      <w:r>
        <w:rPr>
          <w:rFonts w:ascii="宋体" w:hAnsi="宋体" w:eastAsia="宋体"/>
          <w:b/>
          <w:sz w:val="24"/>
        </w:rPr>
        <w:t>强耦合特征</w:t>
      </w:r>
    </w:p>
    <w:p>
      <w:pPr>
        <w:spacing w:line="360" w:lineRule="auto" w:before="0" w:after="0"/>
        <w:ind w:firstLine="420"/>
      </w:pPr>
      <w:r>
        <w:rPr>
          <w:rFonts w:ascii="宋体" w:hAnsi="宋体" w:eastAsia="宋体"/>
          <w:b w:val="0"/>
          <w:sz w:val="24"/>
        </w:rPr>
        <w:t>状态感知、计划生成、图谱检索、多 Agent 协作、执行回流之间存在明显的前后依赖。任何一层过于粗糙，都会降低整条主链的可靠性。</w:t>
      </w:r>
    </w:p>
    <w:p>
      <w:pPr>
        <w:spacing w:line="360" w:lineRule="auto" w:before="0" w:after="0"/>
        <w:ind w:firstLine="0"/>
      </w:pPr>
      <w:r>
        <w:rPr>
          <w:rFonts w:ascii="宋体" w:hAnsi="宋体" w:eastAsia="宋体"/>
          <w:b/>
          <w:sz w:val="24"/>
        </w:rPr>
        <w:t>治理约束特征</w:t>
      </w:r>
    </w:p>
    <w:p>
      <w:pPr>
        <w:spacing w:line="360" w:lineRule="auto" w:before="0" w:after="0"/>
        <w:ind w:firstLine="420"/>
      </w:pPr>
      <w:r>
        <w:rPr>
          <w:rFonts w:ascii="宋体" w:hAnsi="宋体" w:eastAsia="宋体"/>
          <w:b w:val="0"/>
          <w:sz w:val="24"/>
        </w:rPr>
        <w:t>一旦系统从“回答问题”进入“推动执行”，就必须处理执行边界、权限、可信度、回滚与人工接管问题。这使得星火不能直接套用通用 Agent 的激进方案。</w:t>
      </w:r>
    </w:p>
    <w:p>
      <w:pPr>
        <w:spacing w:line="360" w:lineRule="auto" w:before="0" w:after="0"/>
        <w:ind w:firstLine="0"/>
      </w:pPr>
      <w:r>
        <w:rPr>
          <w:rFonts w:ascii="宋体" w:hAnsi="宋体" w:eastAsia="宋体"/>
          <w:b/>
          <w:sz w:val="24"/>
        </w:rPr>
        <w:t>工程复杂度特征</w:t>
      </w:r>
    </w:p>
    <w:p>
      <w:pPr>
        <w:spacing w:line="360" w:lineRule="auto" w:before="0" w:after="0"/>
        <w:ind w:firstLine="420"/>
      </w:pPr>
      <w:r>
        <w:rPr>
          <w:rFonts w:ascii="宋体" w:hAnsi="宋体" w:eastAsia="宋体"/>
          <w:b w:val="0"/>
          <w:sz w:val="24"/>
        </w:rPr>
        <w:t>项目既要照顾移动端交互体验，又要保证网关层高并发接入，还要承载 AI 编排、图谱、协作、执行和多感官反馈等复杂能力，因此对架构拆分、协议边界和测试体系都有较高要求。</w:t>
      </w:r>
    </w:p>
    <w:p>
      <w:pPr>
        <w:pStyle w:val="4"/>
      </w:pPr>
      <w:bookmarkStart w:id="12" w:name="_Toc56719306"/>
      <w:r>
        <w:rPr>
          <w:rFonts w:hint="eastAsia"/>
        </w:rPr>
        <w:t>问题分解</w:t>
      </w:r>
      <w:bookmarkEnd w:id="12"/>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根据问题规模和实际工程复杂度，星火将整体问题进一步拆分为 20 个相互依赖的子问题。每个子问题都需要独立处理，又必须在主链中共同成立。</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20"/>
              </w:rPr>
              <w:t>子问题</w:t>
            </w:r>
          </w:p>
        </w:tc>
        <w:tc>
          <w:tcPr>
            <w:tcW w:type="dxa" w:w="1512"/>
          </w:tcPr>
          <w:p>
            <w:pPr>
              <w:spacing w:line="360" w:lineRule="auto" w:before="0" w:after="0"/>
              <w:ind w:firstLine="0"/>
            </w:pPr>
            <w:r>
              <w:rPr>
                <w:rFonts w:ascii="宋体" w:hAnsi="宋体" w:eastAsia="宋体"/>
                <w:b/>
                <w:sz w:val="20"/>
              </w:rPr>
              <w:t>主要目标</w:t>
            </w:r>
          </w:p>
        </w:tc>
        <w:tc>
          <w:tcPr>
            <w:tcW w:type="dxa" w:w="1512"/>
          </w:tcPr>
          <w:p>
            <w:pPr>
              <w:spacing w:line="360" w:lineRule="auto" w:before="0" w:after="0"/>
              <w:ind w:firstLine="0"/>
            </w:pPr>
            <w:r>
              <w:rPr>
                <w:rFonts w:ascii="宋体" w:hAnsi="宋体" w:eastAsia="宋体"/>
                <w:b/>
                <w:sz w:val="20"/>
              </w:rPr>
              <w:t>技术难点</w:t>
            </w:r>
          </w:p>
        </w:tc>
        <w:tc>
          <w:tcPr>
            <w:tcW w:type="dxa" w:w="1512"/>
          </w:tcPr>
          <w:p>
            <w:pPr>
              <w:spacing w:line="360" w:lineRule="auto" w:before="0" w:after="0"/>
              <w:ind w:firstLine="0"/>
            </w:pPr>
            <w:r>
              <w:rPr>
                <w:rFonts w:ascii="宋体" w:hAnsi="宋体" w:eastAsia="宋体"/>
                <w:b/>
                <w:sz w:val="20"/>
              </w:rPr>
              <w:t>难度等级</w:t>
            </w:r>
          </w:p>
        </w:tc>
        <w:tc>
          <w:tcPr>
            <w:tcW w:type="dxa" w:w="1512"/>
          </w:tcPr>
          <w:p>
            <w:pPr>
              <w:spacing w:line="360" w:lineRule="auto" w:before="0" w:after="0"/>
              <w:ind w:firstLine="0"/>
            </w:pPr>
            <w:r>
              <w:rPr>
                <w:rFonts w:ascii="宋体" w:hAnsi="宋体" w:eastAsia="宋体"/>
                <w:b/>
                <w:sz w:val="20"/>
              </w:rPr>
              <w:t>前置依赖</w:t>
            </w:r>
          </w:p>
        </w:tc>
        <w:tc>
          <w:tcPr>
            <w:tcW w:type="dxa" w:w="1512"/>
          </w:tcPr>
          <w:p>
            <w:pPr>
              <w:spacing w:line="360" w:lineRule="auto" w:before="0" w:after="0"/>
              <w:ind w:firstLine="0"/>
            </w:pPr>
            <w:r>
              <w:rPr>
                <w:rFonts w:ascii="宋体" w:hAnsi="宋体" w:eastAsia="宋体"/>
                <w:b/>
                <w:sz w:val="20"/>
              </w:rPr>
              <w:t>对应模块</w:t>
            </w:r>
          </w:p>
        </w:tc>
      </w:tr>
      <w:tr>
        <w:tc>
          <w:tcPr>
            <w:tcW w:type="dxa" w:w="1512"/>
          </w:tcPr>
          <w:p>
            <w:pPr>
              <w:spacing w:line="360" w:lineRule="auto" w:before="0" w:after="0"/>
              <w:ind w:firstLine="0"/>
            </w:pPr>
            <w:r>
              <w:rPr>
                <w:rFonts w:ascii="宋体" w:hAnsi="宋体" w:eastAsia="宋体"/>
                <w:b w:val="0"/>
                <w:sz w:val="20"/>
              </w:rPr>
              <w:t>用户意图识别</w:t>
            </w:r>
          </w:p>
        </w:tc>
        <w:tc>
          <w:tcPr>
            <w:tcW w:type="dxa" w:w="1512"/>
          </w:tcPr>
          <w:p>
            <w:pPr>
              <w:spacing w:line="360" w:lineRule="auto" w:before="0" w:after="0"/>
              <w:ind w:firstLine="0"/>
            </w:pPr>
            <w:r>
              <w:rPr>
                <w:rFonts w:ascii="宋体" w:hAnsi="宋体" w:eastAsia="宋体"/>
                <w:b w:val="0"/>
                <w:sz w:val="20"/>
              </w:rPr>
              <w:t>判断当前输入属于问答、规划、图谱、协作或执行场景</w:t>
            </w:r>
          </w:p>
        </w:tc>
        <w:tc>
          <w:tcPr>
            <w:tcW w:type="dxa" w:w="1512"/>
          </w:tcPr>
          <w:p>
            <w:pPr>
              <w:spacing w:line="360" w:lineRule="auto" w:before="0" w:after="0"/>
              <w:ind w:firstLine="0"/>
            </w:pPr>
            <w:r>
              <w:rPr>
                <w:rFonts w:ascii="宋体" w:hAnsi="宋体" w:eastAsia="宋体"/>
                <w:b w:val="0"/>
                <w:sz w:val="20"/>
              </w:rPr>
              <w:t>用户表达自然、歧义高、场景切换频繁</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识别用户目标、学科、节奏、偏好和当前状态</w:t>
            </w:r>
          </w:p>
        </w:tc>
        <w:tc>
          <w:tcPr>
            <w:tcW w:type="dxa" w:w="1512"/>
          </w:tcPr>
          <w:p>
            <w:pPr>
              <w:spacing w:line="360" w:lineRule="auto" w:before="0" w:after="0"/>
              <w:ind w:firstLine="0"/>
            </w:pPr>
            <w:r>
              <w:rPr>
                <w:rFonts w:ascii="宋体" w:hAnsi="宋体" w:eastAsia="宋体"/>
                <w:b w:val="0"/>
                <w:sz w:val="20"/>
              </w:rPr>
              <w:t>状态来源分散且动态变化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长短期记忆管理</w:t>
            </w:r>
          </w:p>
        </w:tc>
        <w:tc>
          <w:tcPr>
            <w:tcW w:type="dxa" w:w="1512"/>
          </w:tcPr>
          <w:p>
            <w:pPr>
              <w:spacing w:line="360" w:lineRule="auto" w:before="0" w:after="0"/>
              <w:ind w:firstLine="0"/>
            </w:pPr>
            <w:r>
              <w:rPr>
                <w:rFonts w:ascii="宋体" w:hAnsi="宋体" w:eastAsia="宋体"/>
                <w:b w:val="0"/>
                <w:sz w:val="20"/>
              </w:rPr>
              <w:t>在多轮会话中保留必要上下文并抑制噪声</w:t>
            </w:r>
          </w:p>
        </w:tc>
        <w:tc>
          <w:tcPr>
            <w:tcW w:type="dxa" w:w="1512"/>
          </w:tcPr>
          <w:p>
            <w:pPr>
              <w:spacing w:line="360" w:lineRule="auto" w:before="0" w:after="0"/>
              <w:ind w:firstLine="0"/>
            </w:pPr>
            <w:r>
              <w:rPr>
                <w:rFonts w:ascii="宋体" w:hAnsi="宋体" w:eastAsia="宋体"/>
                <w:b w:val="0"/>
                <w:sz w:val="20"/>
              </w:rPr>
              <w:t>上下文膨胀、记忆漂移、成本控制</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信息充分性检查与澄清</w:t>
            </w:r>
          </w:p>
        </w:tc>
        <w:tc>
          <w:tcPr>
            <w:tcW w:type="dxa" w:w="1512"/>
          </w:tcPr>
          <w:p>
            <w:pPr>
              <w:spacing w:line="360" w:lineRule="auto" w:before="0" w:after="0"/>
              <w:ind w:firstLine="0"/>
            </w:pPr>
            <w:r>
              <w:rPr>
                <w:rFonts w:ascii="宋体" w:hAnsi="宋体" w:eastAsia="宋体"/>
                <w:b w:val="0"/>
                <w:sz w:val="20"/>
              </w:rPr>
              <w:t>判断信息是否足够生成可靠结果</w:t>
            </w:r>
          </w:p>
        </w:tc>
        <w:tc>
          <w:tcPr>
            <w:tcW w:type="dxa" w:w="1512"/>
          </w:tcPr>
          <w:p>
            <w:pPr>
              <w:spacing w:line="360" w:lineRule="auto" w:before="0" w:after="0"/>
              <w:ind w:firstLine="0"/>
            </w:pPr>
            <w:r>
              <w:rPr>
                <w:rFonts w:ascii="宋体" w:hAnsi="宋体" w:eastAsia="宋体"/>
                <w:b w:val="0"/>
                <w:sz w:val="20"/>
              </w:rPr>
              <w:t>追问过多会打断体验，追问过少会导致结果失真</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目标规范化与约束抽取</w:t>
            </w:r>
          </w:p>
        </w:tc>
        <w:tc>
          <w:tcPr>
            <w:tcW w:type="dxa" w:w="1512"/>
          </w:tcPr>
          <w:p>
            <w:pPr>
              <w:spacing w:line="360" w:lineRule="auto" w:before="0" w:after="0"/>
              <w:ind w:firstLine="0"/>
            </w:pPr>
            <w:r>
              <w:rPr>
                <w:rFonts w:ascii="宋体" w:hAnsi="宋体" w:eastAsia="宋体"/>
                <w:b w:val="0"/>
                <w:sz w:val="20"/>
              </w:rPr>
              <w:t>把自然语言目标转成带约束的可规划对象</w:t>
            </w:r>
          </w:p>
        </w:tc>
        <w:tc>
          <w:tcPr>
            <w:tcW w:type="dxa" w:w="1512"/>
          </w:tcPr>
          <w:p>
            <w:pPr>
              <w:spacing w:line="360" w:lineRule="auto" w:before="0" w:after="0"/>
              <w:ind w:firstLine="0"/>
            </w:pPr>
            <w:r>
              <w:rPr>
                <w:rFonts w:ascii="宋体" w:hAnsi="宋体" w:eastAsia="宋体"/>
                <w:b w:val="0"/>
                <w:sz w:val="20"/>
              </w:rPr>
              <w:t>时间、范围、难度、优先级等约束往往隐含表达</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形成阶段目标、里程碑和计划节点</w:t>
            </w:r>
          </w:p>
        </w:tc>
        <w:tc>
          <w:tcPr>
            <w:tcW w:type="dxa" w:w="1512"/>
          </w:tcPr>
          <w:p>
            <w:pPr>
              <w:spacing w:line="360" w:lineRule="auto" w:before="0" w:after="0"/>
              <w:ind w:firstLine="0"/>
            </w:pPr>
            <w:r>
              <w:rPr>
                <w:rFonts w:ascii="宋体" w:hAnsi="宋体" w:eastAsia="宋体"/>
                <w:b w:val="0"/>
                <w:sz w:val="20"/>
              </w:rPr>
              <w:t>计划既要合理又要可落地</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目标规范化</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任务拆解与粒度控制</w:t>
            </w:r>
          </w:p>
        </w:tc>
        <w:tc>
          <w:tcPr>
            <w:tcW w:type="dxa" w:w="1512"/>
          </w:tcPr>
          <w:p>
            <w:pPr>
              <w:spacing w:line="360" w:lineRule="auto" w:before="0" w:after="0"/>
              <w:ind w:firstLine="0"/>
            </w:pPr>
            <w:r>
              <w:rPr>
                <w:rFonts w:ascii="宋体" w:hAnsi="宋体" w:eastAsia="宋体"/>
                <w:b w:val="0"/>
                <w:sz w:val="20"/>
              </w:rPr>
              <w:t>把计划拆成足够细且不失真 的执行任务</w:t>
            </w:r>
          </w:p>
        </w:tc>
        <w:tc>
          <w:tcPr>
            <w:tcW w:type="dxa" w:w="1512"/>
          </w:tcPr>
          <w:p>
            <w:pPr>
              <w:spacing w:line="360" w:lineRule="auto" w:before="0" w:after="0"/>
              <w:ind w:firstLine="0"/>
            </w:pPr>
            <w:r>
              <w:rPr>
                <w:rFonts w:ascii="宋体" w:hAnsi="宋体" w:eastAsia="宋体"/>
                <w:b w:val="0"/>
                <w:sz w:val="20"/>
              </w:rPr>
              <w:t>粒度过粗难执行，粒度过细会增加负担</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任务状态追踪与回流</w:t>
            </w:r>
          </w:p>
        </w:tc>
        <w:tc>
          <w:tcPr>
            <w:tcW w:type="dxa" w:w="1512"/>
          </w:tcPr>
          <w:p>
            <w:pPr>
              <w:spacing w:line="360" w:lineRule="auto" w:before="0" w:after="0"/>
              <w:ind w:firstLine="0"/>
            </w:pPr>
            <w:r>
              <w:rPr>
                <w:rFonts w:ascii="宋体" w:hAnsi="宋体" w:eastAsia="宋体"/>
                <w:b w:val="0"/>
                <w:sz w:val="20"/>
              </w:rPr>
              <w:t>让执行结果能持续影响计划与反馈</w:t>
            </w:r>
          </w:p>
        </w:tc>
        <w:tc>
          <w:tcPr>
            <w:tcW w:type="dxa" w:w="1512"/>
          </w:tcPr>
          <w:p>
            <w:pPr>
              <w:spacing w:line="360" w:lineRule="auto" w:before="0" w:after="0"/>
              <w:ind w:firstLine="0"/>
            </w:pPr>
            <w:r>
              <w:rPr>
                <w:rFonts w:ascii="宋体" w:hAnsi="宋体" w:eastAsia="宋体"/>
                <w:b w:val="0"/>
                <w:sz w:val="20"/>
              </w:rPr>
              <w:t>状态来源多、回流时机复杂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从资料、对话和学习行为中抽取知识单元</w:t>
            </w:r>
          </w:p>
        </w:tc>
        <w:tc>
          <w:tcPr>
            <w:tcW w:type="dxa" w:w="1512"/>
          </w:tcPr>
          <w:p>
            <w:pPr>
              <w:spacing w:line="360" w:lineRule="auto" w:before="0" w:after="0"/>
              <w:ind w:firstLine="0"/>
            </w:pPr>
            <w:r>
              <w:rPr>
                <w:rFonts w:ascii="宋体" w:hAnsi="宋体" w:eastAsia="宋体"/>
                <w:b w:val="0"/>
                <w:sz w:val="20"/>
              </w:rPr>
              <w:t>节点定义不稳定，学科差异大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知识关系构建与演化</w:t>
            </w:r>
          </w:p>
        </w:tc>
        <w:tc>
          <w:tcPr>
            <w:tcW w:type="dxa" w:w="1512"/>
          </w:tcPr>
          <w:p>
            <w:pPr>
              <w:spacing w:line="360" w:lineRule="auto" w:before="0" w:after="0"/>
              <w:ind w:firstLine="0"/>
            </w:pPr>
            <w:r>
              <w:rPr>
                <w:rFonts w:ascii="宋体" w:hAnsi="宋体" w:eastAsia="宋体"/>
                <w:b w:val="0"/>
                <w:sz w:val="20"/>
              </w:rPr>
              <w:t>建立前置、并列、应用、迁移等关系并动态更新</w:t>
            </w:r>
          </w:p>
        </w:tc>
        <w:tc>
          <w:tcPr>
            <w:tcW w:type="dxa" w:w="1512"/>
          </w:tcPr>
          <w:p>
            <w:pPr>
              <w:spacing w:line="360" w:lineRule="auto" w:before="0" w:after="0"/>
              <w:ind w:firstLine="0"/>
            </w:pPr>
            <w:r>
              <w:rPr>
                <w:rFonts w:ascii="宋体" w:hAnsi="宋体" w:eastAsia="宋体"/>
                <w:b w:val="0"/>
                <w:sz w:val="20"/>
              </w:rPr>
              <w:t>关系类型复杂且会持续变化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融合向量检索与图关系检索</w:t>
            </w:r>
          </w:p>
        </w:tc>
        <w:tc>
          <w:tcPr>
            <w:tcW w:type="dxa" w:w="1512"/>
          </w:tcPr>
          <w:p>
            <w:pPr>
              <w:spacing w:line="360" w:lineRule="auto" w:before="0" w:after="0"/>
              <w:ind w:firstLine="0"/>
            </w:pPr>
            <w:r>
              <w:rPr>
                <w:rFonts w:ascii="宋体" w:hAnsi="宋体" w:eastAsia="宋体"/>
                <w:b w:val="0"/>
                <w:sz w:val="20"/>
              </w:rPr>
              <w:t>需要兼顾语义相关性与结构可解释性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节点与关系构建</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路径推理与掌握度估计</w:t>
            </w:r>
          </w:p>
        </w:tc>
        <w:tc>
          <w:tcPr>
            <w:tcW w:type="dxa" w:w="1512"/>
          </w:tcPr>
          <w:p>
            <w:pPr>
              <w:spacing w:line="360" w:lineRule="auto" w:before="0" w:after="0"/>
              <w:ind w:firstLine="0"/>
            </w:pPr>
            <w:r>
              <w:rPr>
                <w:rFonts w:ascii="宋体" w:hAnsi="宋体" w:eastAsia="宋体"/>
                <w:b w:val="0"/>
                <w:sz w:val="20"/>
              </w:rPr>
              <w:t>计算推荐路径、薄弱点和掌握状态</w:t>
            </w:r>
          </w:p>
        </w:tc>
        <w:tc>
          <w:tcPr>
            <w:tcW w:type="dxa" w:w="1512"/>
          </w:tcPr>
          <w:p>
            <w:pPr>
              <w:spacing w:line="360" w:lineRule="auto" w:before="0" w:after="0"/>
              <w:ind w:firstLine="0"/>
            </w:pPr>
            <w:r>
              <w:rPr>
                <w:rFonts w:ascii="宋体" w:hAnsi="宋体" w:eastAsia="宋体"/>
                <w:b w:val="0"/>
                <w:sz w:val="20"/>
              </w:rPr>
              <w:t>需要同时建模用户状态、图关系和历史行为</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决定问题是否值得进入协作链路</w:t>
            </w:r>
          </w:p>
        </w:tc>
        <w:tc>
          <w:tcPr>
            <w:tcW w:type="dxa" w:w="1512"/>
          </w:tcPr>
          <w:p>
            <w:pPr>
              <w:spacing w:line="360" w:lineRule="auto" w:before="0" w:after="0"/>
              <w:ind w:firstLine="0"/>
            </w:pPr>
            <w:r>
              <w:rPr>
                <w:rFonts w:ascii="宋体" w:hAnsi="宋体" w:eastAsia="宋体"/>
                <w:b w:val="0"/>
                <w:sz w:val="20"/>
              </w:rPr>
              <w:t>误触发会增加成本，不触发又会损失深度</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专家路由与协作模式选择</w:t>
            </w:r>
          </w:p>
        </w:tc>
        <w:tc>
          <w:tcPr>
            <w:tcW w:type="dxa" w:w="1512"/>
          </w:tcPr>
          <w:p>
            <w:pPr>
              <w:spacing w:line="360" w:lineRule="auto" w:before="0" w:after="0"/>
              <w:ind w:firstLine="0"/>
            </w:pPr>
            <w:r>
              <w:rPr>
                <w:rFonts w:ascii="宋体" w:hAnsi="宋体" w:eastAsia="宋体"/>
                <w:b w:val="0"/>
                <w:sz w:val="20"/>
              </w:rPr>
              <w:t>为问题选择合适专家和协作方式</w:t>
            </w:r>
          </w:p>
        </w:tc>
        <w:tc>
          <w:tcPr>
            <w:tcW w:type="dxa" w:w="1512"/>
          </w:tcPr>
          <w:p>
            <w:pPr>
              <w:spacing w:line="360" w:lineRule="auto" w:before="0" w:after="0"/>
              <w:ind w:firstLine="0"/>
            </w:pPr>
            <w:r>
              <w:rPr>
                <w:rFonts w:ascii="宋体" w:hAnsi="宋体" w:eastAsia="宋体"/>
                <w:b w:val="0"/>
                <w:sz w:val="20"/>
              </w:rPr>
              <w:t>问题复杂度高、模式选择空间大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聚合、冲突消解与重规划</w:t>
            </w:r>
          </w:p>
        </w:tc>
        <w:tc>
          <w:tcPr>
            <w:tcW w:type="dxa" w:w="1512"/>
          </w:tcPr>
          <w:p>
            <w:pPr>
              <w:spacing w:line="360" w:lineRule="auto" w:before="0" w:after="0"/>
              <w:ind w:firstLine="0"/>
            </w:pPr>
            <w:r>
              <w:rPr>
                <w:rFonts w:ascii="宋体" w:hAnsi="宋体" w:eastAsia="宋体"/>
                <w:b w:val="0"/>
                <w:sz w:val="20"/>
              </w:rPr>
              <w:t>合并多专家结果并处理分歧</w:t>
            </w:r>
          </w:p>
        </w:tc>
        <w:tc>
          <w:tcPr>
            <w:tcW w:type="dxa" w:w="1512"/>
          </w:tcPr>
          <w:p>
            <w:pPr>
              <w:spacing w:line="360" w:lineRule="auto" w:before="0" w:after="0"/>
              <w:ind w:firstLine="0"/>
            </w:pPr>
            <w:r>
              <w:rPr>
                <w:rFonts w:ascii="宋体" w:hAnsi="宋体" w:eastAsia="宋体"/>
                <w:b w:val="0"/>
                <w:sz w:val="20"/>
              </w:rPr>
              <w:t>输出冲突、顺序依赖和重规划触发条件复杂</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专家路由</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ExecutionIntent 结构化表达</w:t>
            </w:r>
          </w:p>
        </w:tc>
        <w:tc>
          <w:tcPr>
            <w:tcW w:type="dxa" w:w="1512"/>
          </w:tcPr>
          <w:p>
            <w:pPr>
              <w:spacing w:line="360" w:lineRule="auto" w:before="0" w:after="0"/>
              <w:ind w:firstLine="0"/>
            </w:pPr>
            <w:r>
              <w:rPr>
                <w:rFonts w:ascii="宋体" w:hAnsi="宋体" w:eastAsia="宋体"/>
                <w:b w:val="0"/>
                <w:sz w:val="20"/>
              </w:rPr>
              <w:t>把任务表达成可执行、可治理的协议对象</w:t>
            </w:r>
          </w:p>
        </w:tc>
        <w:tc>
          <w:tcPr>
            <w:tcW w:type="dxa" w:w="1512"/>
          </w:tcPr>
          <w:p>
            <w:pPr>
              <w:spacing w:line="360" w:lineRule="auto" w:before="0" w:after="0"/>
              <w:ind w:firstLine="0"/>
            </w:pPr>
            <w:r>
              <w:rPr>
                <w:rFonts w:ascii="宋体" w:hAnsi="宋体" w:eastAsia="宋体"/>
                <w:b w:val="0"/>
                <w:sz w:val="20"/>
              </w:rPr>
              <w:t>既要表达动作，也要表达边界、风险和策略</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执行路由与外部执行接入</w:t>
            </w:r>
          </w:p>
        </w:tc>
        <w:tc>
          <w:tcPr>
            <w:tcW w:type="dxa" w:w="1512"/>
          </w:tcPr>
          <w:p>
            <w:pPr>
              <w:spacing w:line="360" w:lineRule="auto" w:before="0" w:after="0"/>
              <w:ind w:firstLine="0"/>
            </w:pPr>
            <w:r>
              <w:rPr>
                <w:rFonts w:ascii="宋体" w:hAnsi="宋体" w:eastAsia="宋体"/>
                <w:b w:val="0"/>
                <w:sz w:val="20"/>
              </w:rPr>
              <w:t>决定哪些任务适合执行以及如何接入执行器</w:t>
            </w:r>
          </w:p>
        </w:tc>
        <w:tc>
          <w:tcPr>
            <w:tcW w:type="dxa" w:w="1512"/>
          </w:tcPr>
          <w:p>
            <w:pPr>
              <w:spacing w:line="360" w:lineRule="auto" w:before="0" w:after="0"/>
              <w:ind w:firstLine="0"/>
            </w:pPr>
            <w:r>
              <w:rPr>
                <w:rFonts w:ascii="宋体" w:hAnsi="宋体" w:eastAsia="宋体"/>
                <w:b w:val="0"/>
                <w:sz w:val="20"/>
              </w:rPr>
              <w:t>风险高、外部依赖复杂、异常路径多</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ExecutionIntent</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TrustEngine 信任评估与结果回流</w:t>
            </w:r>
          </w:p>
        </w:tc>
        <w:tc>
          <w:tcPr>
            <w:tcW w:type="dxa" w:w="1512"/>
          </w:tcPr>
          <w:p>
            <w:pPr>
              <w:spacing w:line="360" w:lineRule="auto" w:before="0" w:after="0"/>
              <w:ind w:firstLine="0"/>
            </w:pPr>
            <w:r>
              <w:rPr>
                <w:rFonts w:ascii="宋体" w:hAnsi="宋体" w:eastAsia="宋体"/>
                <w:b w:val="0"/>
                <w:sz w:val="20"/>
              </w:rPr>
              <w:t>评估执行结果是否可进入主链</w:t>
            </w:r>
          </w:p>
        </w:tc>
        <w:tc>
          <w:tcPr>
            <w:tcW w:type="dxa" w:w="1512"/>
          </w:tcPr>
          <w:p>
            <w:pPr>
              <w:spacing w:line="360" w:lineRule="auto" w:before="0" w:after="0"/>
              <w:ind w:firstLine="0"/>
            </w:pPr>
            <w:r>
              <w:rPr>
                <w:rFonts w:ascii="宋体" w:hAnsi="宋体" w:eastAsia="宋体"/>
                <w:b w:val="0"/>
                <w:sz w:val="20"/>
              </w:rPr>
              <w:t>需要兼顾质量、可信度和人工接管</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执行路由</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跨端协议与异构系统协同</w:t>
            </w:r>
          </w:p>
        </w:tc>
        <w:tc>
          <w:tcPr>
            <w:tcW w:type="dxa" w:w="1512"/>
          </w:tcPr>
          <w:p>
            <w:pPr>
              <w:spacing w:line="360" w:lineRule="auto" w:before="0" w:after="0"/>
              <w:ind w:firstLine="0"/>
            </w:pPr>
            <w:r>
              <w:rPr>
                <w:rFonts w:ascii="宋体" w:hAnsi="宋体" w:eastAsia="宋体"/>
                <w:b w:val="0"/>
                <w:sz w:val="20"/>
              </w:rPr>
              <w:t>让移动端、网关和 AI 引擎稳定配合</w:t>
            </w:r>
          </w:p>
        </w:tc>
        <w:tc>
          <w:tcPr>
            <w:tcW w:type="dxa" w:w="1512"/>
          </w:tcPr>
          <w:p>
            <w:pPr>
              <w:spacing w:line="360" w:lineRule="auto" w:before="0" w:after="0"/>
              <w:ind w:firstLine="0"/>
            </w:pPr>
            <w:r>
              <w:rPr>
                <w:rFonts w:ascii="宋体" w:hAnsi="宋体" w:eastAsia="宋体"/>
                <w:b w:val="0"/>
                <w:sz w:val="20"/>
              </w:rPr>
              <w:t>协议转换、状态一致性和链路追踪复杂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 / 网关层</w:t>
            </w:r>
          </w:p>
        </w:tc>
      </w:tr>
      <w:tr>
        <w:tc>
          <w:tcPr>
            <w:tcW w:type="dxa" w:w="1512"/>
          </w:tcPr>
          <w:p>
            <w:pPr>
              <w:spacing w:line="360" w:lineRule="auto" w:before="0" w:after="0"/>
              <w:ind w:firstLine="0"/>
            </w:pPr>
            <w:r>
              <w:rPr>
                <w:rFonts w:ascii="宋体" w:hAnsi="宋体" w:eastAsia="宋体"/>
                <w:b w:val="0"/>
                <w:sz w:val="20"/>
              </w:rPr>
              <w:t>多感官反馈编排与端侧体验协调</w:t>
            </w:r>
          </w:p>
        </w:tc>
        <w:tc>
          <w:tcPr>
            <w:tcW w:type="dxa" w:w="1512"/>
          </w:tcPr>
          <w:p>
            <w:pPr>
              <w:spacing w:line="360" w:lineRule="auto" w:before="0" w:after="0"/>
              <w:ind w:firstLine="0"/>
            </w:pPr>
            <w:r>
              <w:rPr>
                <w:rFonts w:ascii="宋体" w:hAnsi="宋体" w:eastAsia="宋体"/>
                <w:b w:val="0"/>
                <w:sz w:val="20"/>
              </w:rPr>
              <w:t>让音频、触觉、通知与主链状态协同</w:t>
            </w:r>
          </w:p>
        </w:tc>
        <w:tc>
          <w:tcPr>
            <w:tcW w:type="dxa" w:w="1512"/>
          </w:tcPr>
          <w:p>
            <w:pPr>
              <w:spacing w:line="360" w:lineRule="auto" w:before="0" w:after="0"/>
              <w:ind w:firstLine="0"/>
            </w:pPr>
            <w:r>
              <w:rPr>
                <w:rFonts w:ascii="宋体" w:hAnsi="宋体" w:eastAsia="宋体"/>
                <w:b w:val="0"/>
                <w:sz w:val="20"/>
              </w:rPr>
              <w:t>设备能力差异、路由切换和降级策略复杂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任务回流、成长反馈</w:t>
            </w:r>
          </w:p>
        </w:tc>
        <w:tc>
          <w:tcPr>
            <w:tcW w:type="dxa" w:w="1512"/>
          </w:tcPr>
          <w:p>
            <w:pPr>
              <w:spacing w:line="360" w:lineRule="auto" w:before="0" w:after="0"/>
              <w:ind w:firstLine="0"/>
            </w:pPr>
            <w:r>
              <w:rPr>
                <w:rFonts w:ascii="宋体" w:hAnsi="宋体" w:eastAsia="宋体"/>
                <w:b w:val="0"/>
                <w:sz w:val="20"/>
              </w:rPr>
              <w:t>成就契约与成长反馈 / BGM 与多感官体验</w:t>
            </w:r>
          </w:p>
        </w:tc>
      </w:tr>
    </w:tbl>
    <w:p>
      <w:pPr>
        <w:spacing w:line="360" w:lineRule="auto" w:before="0" w:after="0"/>
        <w:ind w:firstLine="420"/>
      </w:pPr>
    </w:p>
    <w:p>
      <w:pPr>
        <w:spacing w:line="360" w:lineRule="auto" w:before="0" w:after="0"/>
        <w:ind w:firstLine="0"/>
        <w:jc w:val="center"/>
      </w:pPr>
      <w:r>
        <w:rPr>
          <w:rFonts w:ascii="宋体" w:hAnsi="宋体" w:eastAsia="宋体"/>
          <w:b w:val="0"/>
          <w:sz w:val="21"/>
        </w:rPr>
        <w:t>【图位：图T1  技术问题分解与依赖图（20 个子问题按依赖关系展开）】</w:t>
      </w: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3" w:name="_Toc56719307"/>
      <w:r>
        <w:rPr>
          <w:rFonts w:hint="eastAsia"/>
        </w:rPr>
        <w:t>相关工作</w:t>
      </w:r>
      <w:r>
        <w:rPr>
          <w:rStyle w:val="64"/>
          <w:rFonts w:asciiTheme="minorHAnsi" w:hAnsiTheme="minorHAnsi" w:eastAsiaTheme="minorEastAsia"/>
          <w:b w:val="0"/>
          <w:bCs w:val="0"/>
          <w:kern w:val="2"/>
        </w:rPr>
      </w:r>
      <w:bookmarkEnd w:id="13"/>
    </w:p>
    <w:p>
      <w:pPr>
        <w:spacing w:line="360" w:lineRule="auto" w:before="0" w:after="0"/>
        <w:ind w:firstLine="0"/>
      </w:pPr>
      <w:r>
        <w:rPr>
          <w:rFonts w:ascii="宋体" w:hAnsi="宋体" w:eastAsia="宋体"/>
          <w:b/>
          <w:sz w:val="24"/>
        </w:rPr>
        <w:t>GraphRAG 与图增强检索路线（2024）</w:t>
      </w:r>
    </w:p>
    <w:p>
      <w:pPr>
        <w:spacing w:line="360" w:lineRule="auto" w:before="0" w:after="0"/>
        <w:ind w:firstLine="420"/>
      </w:pPr>
      <w:r>
        <w:rPr>
          <w:rFonts w:ascii="宋体" w:hAnsi="宋体" w:eastAsia="宋体"/>
          <w:b w:val="0"/>
          <w:sz w:val="24"/>
        </w:rPr>
        <w:t>2024 年以来，GraphRAG 路线逐步受到重视，其核心思想是把文档与知识点组织成图结构，在检索阶段同时利用语义相似与关系推理能力。相比只做向量召回的传统 RAG，GraphRAG 更适合处理“前置关系”“路径选择”“全局摘要”这类结构性任务。</w:t>
      </w:r>
    </w:p>
    <w:p>
      <w:pPr>
        <w:spacing w:line="360" w:lineRule="auto" w:before="0" w:after="0"/>
        <w:ind w:firstLine="420"/>
      </w:pPr>
      <w:r>
        <w:rPr>
          <w:rFonts w:ascii="宋体" w:hAnsi="宋体" w:eastAsia="宋体"/>
          <w:b w:val="0"/>
          <w:sz w:val="24"/>
        </w:rPr>
        <w:t>这一技术路线对星火的重要性在于：学习问题天然带有前置依赖和路径关系。如果系统只会“找到相似内容”，就很难稳定支持路径推荐、薄弱点定位和知识星图可视化。因此，星火吸收 GraphRAG 路线的核心思想，但把它进一步落到学习图谱、掌握度和路径生成上。</w:t>
      </w:r>
    </w:p>
    <w:p>
      <w:pPr>
        <w:spacing w:line="360" w:lineRule="auto" w:before="0" w:after="0"/>
        <w:ind w:firstLine="0"/>
      </w:pPr>
      <w:r>
        <w:rPr>
          <w:rFonts w:ascii="宋体" w:hAnsi="宋体" w:eastAsia="宋体"/>
          <w:b/>
          <w:sz w:val="24"/>
        </w:rPr>
        <w:t>LangGraph / Agentic Workflow 路线（2024-2025）</w:t>
      </w:r>
    </w:p>
    <w:p>
      <w:pPr>
        <w:spacing w:line="360" w:lineRule="auto" w:before="0" w:after="0"/>
        <w:ind w:firstLine="420"/>
      </w:pPr>
      <w:r>
        <w:rPr>
          <w:rFonts w:ascii="宋体" w:hAnsi="宋体" w:eastAsia="宋体"/>
          <w:b w:val="0"/>
          <w:sz w:val="24"/>
        </w:rPr>
        <w:t>近两年，LangGraph 和各类 agentic workflow 框架逐步把 Agent 系统从“单次工具调用”推进到“有状态工作流编排”。这类方案强调状态机、节点图、检查点、回溯与多步骤决策，使复杂任务不再依赖单段提示词硬撑。</w:t>
      </w:r>
    </w:p>
    <w:p>
      <w:pPr>
        <w:spacing w:line="360" w:lineRule="auto" w:before="0" w:after="0"/>
        <w:ind w:firstLine="420"/>
      </w:pPr>
      <w:r>
        <w:rPr>
          <w:rFonts w:ascii="宋体" w:hAnsi="宋体" w:eastAsia="宋体"/>
          <w:b w:val="0"/>
          <w:sz w:val="24"/>
        </w:rPr>
        <w:t>这一路线对星火非常关键，因为星火的复杂度不在某个单点能力，而在多条能力链需要长期协同。Mirofish 多 Agent、主链编排、执行回流都更适合建立在显式工作流之上，而不是建立在不可控的提示词堆叠之上。</w:t>
      </w:r>
    </w:p>
    <w:p>
      <w:pPr>
        <w:spacing w:line="360" w:lineRule="auto" w:before="0" w:after="0"/>
        <w:ind w:firstLine="0"/>
      </w:pPr>
      <w:r>
        <w:rPr>
          <w:rFonts w:ascii="宋体" w:hAnsi="宋体" w:eastAsia="宋体"/>
          <w:b/>
          <w:sz w:val="24"/>
        </w:rPr>
        <w:t>Socratic Tutoring 与学习对话增强路线（2025）</w:t>
      </w:r>
    </w:p>
    <w:p>
      <w:pPr>
        <w:spacing w:line="360" w:lineRule="auto" w:before="0" w:after="0"/>
        <w:ind w:firstLine="420"/>
      </w:pPr>
      <w:r>
        <w:rPr>
          <w:rFonts w:ascii="宋体" w:hAnsi="宋体" w:eastAsia="宋体"/>
          <w:b w:val="0"/>
          <w:sz w:val="24"/>
        </w:rPr>
        <w:t>以 ChatGPT Study Mode、Khanmigo 为代表的路线，强调通过启发式提问、分步讲解、因材施教式引导来改善学习体验。它们证明了一个重要事实：相比直接给答案，AI 如果能够引导学生思考，学习体验和理解深度会更好。</w:t>
      </w:r>
    </w:p>
    <w:p>
      <w:pPr>
        <w:spacing w:line="360" w:lineRule="auto" w:before="0" w:after="0"/>
        <w:ind w:firstLine="420"/>
      </w:pPr>
      <w:r>
        <w:rPr>
          <w:rFonts w:ascii="宋体" w:hAnsi="宋体" w:eastAsia="宋体"/>
          <w:b w:val="0"/>
          <w:sz w:val="24"/>
        </w:rPr>
        <w:t>不过，这类路线的核心单元仍然通常是“对话回合”。它能把“怎么解释”做得很好，却不天然等于“怎么形成长期成长系统”。星火吸收这一路线中的澄清、引导和分步解释思路，但把问题继续向长期状态、知识结构与执行推进推进。</w:t>
      </w:r>
    </w:p>
    <w:p>
      <w:pPr>
        <w:spacing w:line="360" w:lineRule="auto" w:before="0" w:after="0"/>
        <w:ind w:firstLine="0"/>
      </w:pPr>
      <w:r>
        <w:rPr>
          <w:rFonts w:ascii="宋体" w:hAnsi="宋体" w:eastAsia="宋体"/>
          <w:b/>
          <w:sz w:val="24"/>
        </w:rPr>
        <w:t>中国大陆 AI 辅学与搜题路线（2024-2026）</w:t>
      </w:r>
    </w:p>
    <w:p>
      <w:pPr>
        <w:spacing w:line="360" w:lineRule="auto" w:before="0" w:after="0"/>
        <w:ind w:firstLine="420"/>
      </w:pPr>
      <w:r>
        <w:rPr>
          <w:rFonts w:ascii="宋体" w:hAnsi="宋体" w:eastAsia="宋体"/>
          <w:b w:val="0"/>
          <w:sz w:val="24"/>
        </w:rPr>
        <w:t>国内近三年非常活跃的一条路线，是围绕搜题、答疑、作业辅导、学习资料处理和学习机能力展开的 AI 辅学系统。夸克、作业帮、小猿搜题、有道小P、科大讯飞 AI 学习机、学而思学习机等产品，都在即时答疑、错因分析、题目讲解、学情反馈或个性化辅学方面积累了大量实践。</w:t>
      </w:r>
    </w:p>
    <w:p>
      <w:pPr>
        <w:spacing w:line="360" w:lineRule="auto" w:before="0" w:after="0"/>
        <w:ind w:firstLine="420"/>
      </w:pPr>
      <w:r>
        <w:rPr>
          <w:rFonts w:ascii="宋体" w:hAnsi="宋体" w:eastAsia="宋体"/>
          <w:b w:val="0"/>
          <w:sz w:val="24"/>
        </w:rPr>
        <w:t>这一路线的重要意义在于，它证明了学生对“低门槛获得帮助”和“更快纠错”的强需求；但它也暴露出明显边界：多数方案仍然围绕“问题求解”或“单次学习支持”，较少处理跨周、跨模块、跨目标的长期学习成长系统。星火的设计重点，正是把这种局部强能力继续组织为完整主链。</w:t>
      </w:r>
    </w:p>
    <w:p>
      <w:pPr>
        <w:spacing w:line="360" w:lineRule="auto" w:before="0" w:after="0"/>
        <w:ind w:firstLine="0"/>
      </w:pPr>
      <w:r>
        <w:rPr>
          <w:rFonts w:ascii="宋体" w:hAnsi="宋体" w:eastAsia="宋体"/>
          <w:b/>
          <w:sz w:val="24"/>
        </w:rPr>
        <w:t>执行型 Agent 与可信治理路线（2024-2026）</w:t>
      </w:r>
    </w:p>
    <w:p>
      <w:pPr>
        <w:spacing w:line="360" w:lineRule="auto" w:before="0" w:after="0"/>
        <w:ind w:firstLine="420"/>
      </w:pPr>
      <w:r>
        <w:rPr>
          <w:rFonts w:ascii="宋体" w:hAnsi="宋体" w:eastAsia="宋体"/>
          <w:b w:val="0"/>
          <w:sz w:val="24"/>
        </w:rPr>
        <w:t>随着 Agent 逐步具备调用工具、发起操作、执行流程的能力，执行型 Agent 路线开始快速发展。但在教育场景中，执行能力越强，治理要求也越高。若系统不能判断执行边界、不能保留审批与拒绝机制、不能评价结果可信度，能力增强就可能直接转化为风险增强。</w:t>
      </w:r>
    </w:p>
    <w:p>
      <w:pPr>
        <w:spacing w:line="360" w:lineRule="auto" w:before="0" w:after="0"/>
        <w:ind w:firstLine="420"/>
      </w:pPr>
      <w:r>
        <w:rPr>
          <w:rFonts w:ascii="宋体" w:hAnsi="宋体" w:eastAsia="宋体"/>
          <w:b w:val="0"/>
          <w:sz w:val="24"/>
        </w:rPr>
        <w:t>因此，星火没有简单复用“会调工具的 Agent”方案，而是在接入 OpenClaw 时增加了 ExecutionIntent、执行路由、TrustEngine、人工接管与结果回流机制，形成一条更适合学习场景的保守型执行路线。</w:t>
      </w:r>
    </w:p>
    <w:p>
      <w:pPr>
        <w:spacing w:line="360" w:lineRule="auto" w:before="0" w:after="0"/>
        <w:ind w:firstLine="0"/>
        <w:jc w:val="center"/>
      </w:pPr>
      <w:r>
        <w:rPr>
          <w:rFonts w:ascii="宋体" w:hAnsi="宋体" w:eastAsia="宋体"/>
          <w:b w:val="0"/>
          <w:sz w:val="21"/>
        </w:rPr>
        <w:t>【图位：图T2  近三年相关技术路线比较图（GraphRAG、LangGraph、学习对话增强、国内 AI 辅学、执行型 Agent）】</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14" w:name="_Toc56719308"/>
      <w:r>
        <w:rPr>
          <w:rFonts w:hint="eastAsia"/>
        </w:rPr>
        <w:t>技术方案</w:t>
      </w:r>
      <w:r>
        <w:rPr>
          <w:rStyle w:val="64"/>
          <w:rFonts w:asciiTheme="minorHAnsi" w:hAnsiTheme="minorHAnsi" w:eastAsiaTheme="minorEastAsia"/>
          <w:b w:val="0"/>
          <w:bCs w:val="0"/>
          <w:kern w:val="2"/>
        </w:rPr>
      </w:r>
      <w:bookmarkEnd w:id="14"/>
    </w:p>
    <w:p>
      <w:pPr>
        <w:pStyle w:val="4"/>
      </w:pPr>
      <w:bookmarkStart w:id="15" w:name="_Toc56719309"/>
      <w:r>
        <w:rPr>
          <w:rFonts w:hint="eastAsia"/>
        </w:rPr>
        <w:t>技术方向</w:t>
      </w:r>
      <w:bookmarkEnd w:id="15"/>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针对上述问题，星火选择的不是“更换一个更强的大模型”这类单点思路，而是采用以下总体技术方向：</w:t>
      </w:r>
    </w:p>
    <w:p>
      <w:pPr>
        <w:spacing w:line="360" w:lineRule="auto" w:before="0" w:after="0"/>
        <w:ind w:firstLine="0"/>
      </w:pPr>
      <w:r>
        <w:rPr>
          <w:rFonts w:ascii="宋体" w:hAnsi="宋体" w:eastAsia="宋体"/>
          <w:b w:val="0"/>
          <w:sz w:val="24"/>
        </w:rPr>
        <w:t>1. 以异构架构解决不同层级的职责冲突，用 Flutter 负责端侧体验，用 Go 负责高并发接入，用 Python 负责 AI 编排和复杂推理。</w:t>
      </w:r>
    </w:p>
    <w:p>
      <w:pPr>
        <w:spacing w:line="360" w:lineRule="auto" w:before="0" w:after="0"/>
        <w:ind w:firstLine="0"/>
      </w:pPr>
      <w:r>
        <w:rPr>
          <w:rFonts w:ascii="宋体" w:hAnsi="宋体" w:eastAsia="宋体"/>
          <w:b w:val="0"/>
          <w:sz w:val="24"/>
        </w:rPr>
        <w:t>2. 以显式主链解决学习过程连续性问题，而不是让能力散落在独立页面和独立服务中。</w:t>
      </w:r>
    </w:p>
    <w:p>
      <w:pPr>
        <w:spacing w:line="360" w:lineRule="auto" w:before="0" w:after="0"/>
        <w:ind w:firstLine="0"/>
      </w:pPr>
      <w:r>
        <w:rPr>
          <w:rFonts w:ascii="宋体" w:hAnsi="宋体" w:eastAsia="宋体"/>
          <w:b w:val="0"/>
          <w:sz w:val="24"/>
        </w:rPr>
        <w:t>3. 以知识星图和 GraphRAG 解决结构化学习问题，而不是只做语义检索。</w:t>
      </w:r>
    </w:p>
    <w:p>
      <w:pPr>
        <w:spacing w:line="360" w:lineRule="auto" w:before="0" w:after="0"/>
        <w:ind w:firstLine="0"/>
      </w:pPr>
      <w:r>
        <w:rPr>
          <w:rFonts w:ascii="宋体" w:hAnsi="宋体" w:eastAsia="宋体"/>
          <w:b w:val="0"/>
          <w:sz w:val="24"/>
        </w:rPr>
        <w:t>4. 以 Mirofish 多 Agent 解决复杂任务处理问题，而不是把所有复杂度都压给单个模型。</w:t>
      </w:r>
    </w:p>
    <w:p>
      <w:pPr>
        <w:spacing w:line="360" w:lineRule="auto" w:before="0" w:after="0"/>
        <w:ind w:firstLine="0"/>
      </w:pPr>
      <w:r>
        <w:rPr>
          <w:rFonts w:ascii="宋体" w:hAnsi="宋体" w:eastAsia="宋体"/>
          <w:b w:val="0"/>
          <w:sz w:val="24"/>
        </w:rPr>
        <w:t>5. 以 OpenClaw 治理化执行闭环解决“建议无法落地”的问题，而不是停留在说明层。</w:t>
      </w:r>
    </w:p>
    <w:p>
      <w:pPr>
        <w:pStyle w:val="4"/>
      </w:pPr>
      <w:bookmarkStart w:id="16" w:name="_Toc56719310"/>
      <w:r>
        <w:rPr>
          <w:rFonts w:hint="eastAsia"/>
        </w:rPr>
        <w:t>技术选择</w:t>
      </w:r>
      <w:bookmarkEnd w:id="16"/>
    </w:p>
    <w:p>
      <w:pPr>
        <w:spacing w:line="360" w:lineRule="auto" w:before="0" w:after="0"/>
        <w:ind w:firstLine="420"/>
      </w:pPr>
      <w:r>
        <w:rPr>
          <w:rFonts w:ascii="宋体" w:hAnsi="宋体" w:eastAsia="宋体"/>
          <w:b w:val="0"/>
          <w:sz w:val="24"/>
        </w:rPr>
        <w:t>围绕上述方向，星火形成了如下关键技术选择：</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问题类型</w:t>
            </w:r>
          </w:p>
        </w:tc>
        <w:tc>
          <w:tcPr>
            <w:tcW w:type="dxa" w:w="2268"/>
          </w:tcPr>
          <w:p>
            <w:pPr>
              <w:spacing w:line="360" w:lineRule="auto" w:before="0" w:after="0"/>
              <w:ind w:firstLine="0"/>
            </w:pPr>
            <w:r>
              <w:rPr>
                <w:rFonts w:ascii="宋体" w:hAnsi="宋体" w:eastAsia="宋体"/>
                <w:b/>
                <w:sz w:val="20"/>
              </w:rPr>
              <w:t>备选思路</w:t>
            </w:r>
          </w:p>
        </w:tc>
        <w:tc>
          <w:tcPr>
            <w:tcW w:type="dxa" w:w="2268"/>
          </w:tcPr>
          <w:p>
            <w:pPr>
              <w:spacing w:line="360" w:lineRule="auto" w:before="0" w:after="0"/>
              <w:ind w:firstLine="0"/>
            </w:pPr>
            <w:r>
              <w:rPr>
                <w:rFonts w:ascii="宋体" w:hAnsi="宋体" w:eastAsia="宋体"/>
                <w:b/>
                <w:sz w:val="20"/>
              </w:rPr>
              <w:t>最终选择</w:t>
            </w:r>
          </w:p>
        </w:tc>
        <w:tc>
          <w:tcPr>
            <w:tcW w:type="dxa" w:w="2268"/>
          </w:tcPr>
          <w:p>
            <w:pPr>
              <w:spacing w:line="360" w:lineRule="auto" w:before="0" w:after="0"/>
              <w:ind w:firstLine="0"/>
            </w:pPr>
            <w:r>
              <w:rPr>
                <w:rFonts w:ascii="宋体" w:hAnsi="宋体" w:eastAsia="宋体"/>
                <w:b/>
                <w:sz w:val="20"/>
              </w:rPr>
              <w:t>选择原因</w:t>
            </w:r>
          </w:p>
        </w:tc>
      </w:tr>
      <w:tr>
        <w:tc>
          <w:tcPr>
            <w:tcW w:type="dxa" w:w="2268"/>
          </w:tcPr>
          <w:p>
            <w:pPr>
              <w:spacing w:line="360" w:lineRule="auto" w:before="0" w:after="0"/>
              <w:ind w:firstLine="0"/>
            </w:pPr>
            <w:r>
              <w:rPr>
                <w:rFonts w:ascii="宋体" w:hAnsi="宋体" w:eastAsia="宋体"/>
                <w:b w:val="0"/>
                <w:sz w:val="20"/>
              </w:rPr>
              <w:t>移动端交互与体验</w:t>
            </w:r>
          </w:p>
        </w:tc>
        <w:tc>
          <w:tcPr>
            <w:tcW w:type="dxa" w:w="2268"/>
          </w:tcPr>
          <w:p>
            <w:pPr>
              <w:spacing w:line="360" w:lineRule="auto" w:before="0" w:after="0"/>
              <w:ind w:firstLine="0"/>
            </w:pPr>
            <w:r>
              <w:rPr>
                <w:rFonts w:ascii="宋体" w:hAnsi="宋体" w:eastAsia="宋体"/>
                <w:b w:val="0"/>
                <w:sz w:val="20"/>
              </w:rPr>
              <w:t>Web 单页 / 原生双端 / Flutter</w:t>
            </w:r>
          </w:p>
        </w:tc>
        <w:tc>
          <w:tcPr>
            <w:tcW w:type="dxa" w:w="2268"/>
          </w:tcPr>
          <w:p>
            <w:pPr>
              <w:spacing w:line="360" w:lineRule="auto" w:before="0" w:after="0"/>
              <w:ind w:firstLine="0"/>
            </w:pPr>
            <w:r>
              <w:rPr>
                <w:rFonts w:ascii="宋体" w:hAnsi="宋体" w:eastAsia="宋体"/>
                <w:b w:val="0"/>
                <w:sz w:val="20"/>
              </w:rPr>
              <w:t>Flutter</w:t>
            </w:r>
          </w:p>
        </w:tc>
        <w:tc>
          <w:tcPr>
            <w:tcW w:type="dxa" w:w="2268"/>
          </w:tcPr>
          <w:p>
            <w:pPr>
              <w:spacing w:line="360" w:lineRule="auto" w:before="0" w:after="0"/>
              <w:ind w:firstLine="0"/>
            </w:pPr>
            <w:r>
              <w:rPr>
                <w:rFonts w:ascii="宋体" w:hAnsi="宋体" w:eastAsia="宋体"/>
                <w:b w:val="0"/>
                <w:sz w:val="20"/>
              </w:rPr>
              <w:t>更适合快速构建统一体验，并承载图谱、多感官和动画交互</w:t>
            </w:r>
          </w:p>
        </w:tc>
      </w:tr>
      <w:tr>
        <w:tc>
          <w:tcPr>
            <w:tcW w:type="dxa" w:w="2268"/>
          </w:tcPr>
          <w:p>
            <w:pPr>
              <w:spacing w:line="360" w:lineRule="auto" w:before="0" w:after="0"/>
              <w:ind w:firstLine="0"/>
            </w:pPr>
            <w:r>
              <w:rPr>
                <w:rFonts w:ascii="宋体" w:hAnsi="宋体" w:eastAsia="宋体"/>
                <w:b w:val="0"/>
                <w:sz w:val="20"/>
              </w:rPr>
              <w:t>高并发接入与协议桥接</w:t>
            </w:r>
          </w:p>
        </w:tc>
        <w:tc>
          <w:tcPr>
            <w:tcW w:type="dxa" w:w="2268"/>
          </w:tcPr>
          <w:p>
            <w:pPr>
              <w:spacing w:line="360" w:lineRule="auto" w:before="0" w:after="0"/>
              <w:ind w:firstLine="0"/>
            </w:pPr>
            <w:r>
              <w:rPr>
                <w:rFonts w:ascii="宋体" w:hAnsi="宋体" w:eastAsia="宋体"/>
                <w:b w:val="0"/>
                <w:sz w:val="20"/>
              </w:rPr>
              <w:t>Python 直连 / Node.js 网关 / Go 网关</w:t>
            </w:r>
          </w:p>
        </w:tc>
        <w:tc>
          <w:tcPr>
            <w:tcW w:type="dxa" w:w="2268"/>
          </w:tcPr>
          <w:p>
            <w:pPr>
              <w:spacing w:line="360" w:lineRule="auto" w:before="0" w:after="0"/>
              <w:ind w:firstLine="0"/>
            </w:pPr>
            <w:r>
              <w:rPr>
                <w:rFonts w:ascii="宋体" w:hAnsi="宋体" w:eastAsia="宋体"/>
                <w:b w:val="0"/>
                <w:sz w:val="20"/>
              </w:rPr>
              <w:t>Go Gateway</w:t>
            </w:r>
          </w:p>
        </w:tc>
        <w:tc>
          <w:tcPr>
            <w:tcW w:type="dxa" w:w="2268"/>
          </w:tcPr>
          <w:p>
            <w:pPr>
              <w:spacing w:line="360" w:lineRule="auto" w:before="0" w:after="0"/>
              <w:ind w:firstLine="0"/>
            </w:pPr>
            <w:r>
              <w:rPr>
                <w:rFonts w:ascii="宋体" w:hAnsi="宋体" w:eastAsia="宋体"/>
                <w:b w:val="0"/>
                <w:sz w:val="20"/>
              </w:rPr>
              <w:t>更适合长连接、协议管理、鉴权和高并发接入</w:t>
            </w:r>
          </w:p>
        </w:tc>
      </w:tr>
      <w:tr>
        <w:tc>
          <w:tcPr>
            <w:tcW w:type="dxa" w:w="2268"/>
          </w:tcPr>
          <w:p>
            <w:pPr>
              <w:spacing w:line="360" w:lineRule="auto" w:before="0" w:after="0"/>
              <w:ind w:firstLine="0"/>
            </w:pPr>
            <w:r>
              <w:rPr>
                <w:rFonts w:ascii="宋体" w:hAnsi="宋体" w:eastAsia="宋体"/>
                <w:b w:val="0"/>
                <w:sz w:val="20"/>
              </w:rPr>
              <w:t>AI 编排核心</w:t>
            </w:r>
          </w:p>
        </w:tc>
        <w:tc>
          <w:tcPr>
            <w:tcW w:type="dxa" w:w="2268"/>
          </w:tcPr>
          <w:p>
            <w:pPr>
              <w:spacing w:line="360" w:lineRule="auto" w:before="0" w:after="0"/>
              <w:ind w:firstLine="0"/>
            </w:pPr>
            <w:r>
              <w:rPr>
                <w:rFonts w:ascii="宋体" w:hAnsi="宋体" w:eastAsia="宋体"/>
                <w:b w:val="0"/>
                <w:sz w:val="20"/>
              </w:rPr>
              <w:t>单体接口层 / Python AI Engine</w:t>
            </w:r>
          </w:p>
        </w:tc>
        <w:tc>
          <w:tcPr>
            <w:tcW w:type="dxa" w:w="2268"/>
          </w:tcPr>
          <w:p>
            <w:pPr>
              <w:spacing w:line="360" w:lineRule="auto" w:before="0" w:after="0"/>
              <w:ind w:firstLine="0"/>
            </w:pPr>
            <w:r>
              <w:rPr>
                <w:rFonts w:ascii="宋体" w:hAnsi="宋体" w:eastAsia="宋体"/>
                <w:b w:val="0"/>
                <w:sz w:val="20"/>
              </w:rPr>
              <w:t>Python AI Engine</w:t>
            </w:r>
          </w:p>
        </w:tc>
        <w:tc>
          <w:tcPr>
            <w:tcW w:type="dxa" w:w="2268"/>
          </w:tcPr>
          <w:p>
            <w:pPr>
              <w:spacing w:line="360" w:lineRule="auto" w:before="0" w:after="0"/>
              <w:ind w:firstLine="0"/>
            </w:pPr>
            <w:r>
              <w:rPr>
                <w:rFonts w:ascii="宋体" w:hAnsi="宋体" w:eastAsia="宋体"/>
                <w:b w:val="0"/>
                <w:sz w:val="20"/>
              </w:rPr>
              <w:t>更适合 LLM 调度、图推理、Agent 编排和异步任务</w:t>
            </w:r>
          </w:p>
        </w:tc>
      </w:tr>
      <w:tr>
        <w:tc>
          <w:tcPr>
            <w:tcW w:type="dxa" w:w="2268"/>
          </w:tcPr>
          <w:p>
            <w:pPr>
              <w:spacing w:line="360" w:lineRule="auto" w:before="0" w:after="0"/>
              <w:ind w:firstLine="0"/>
            </w:pPr>
            <w:r>
              <w:rPr>
                <w:rFonts w:ascii="宋体" w:hAnsi="宋体" w:eastAsia="宋体"/>
                <w:b w:val="0"/>
                <w:sz w:val="20"/>
              </w:rPr>
              <w:t>知识组织</w:t>
            </w:r>
          </w:p>
        </w:tc>
        <w:tc>
          <w:tcPr>
            <w:tcW w:type="dxa" w:w="2268"/>
          </w:tcPr>
          <w:p>
            <w:pPr>
              <w:spacing w:line="360" w:lineRule="auto" w:before="0" w:after="0"/>
              <w:ind w:firstLine="0"/>
            </w:pPr>
            <w:r>
              <w:rPr>
                <w:rFonts w:ascii="宋体" w:hAnsi="宋体" w:eastAsia="宋体"/>
                <w:b w:val="0"/>
                <w:sz w:val="20"/>
              </w:rPr>
              <w:t>纯向量库 / 文本缓存 / 图谱 + 向量混合</w:t>
            </w:r>
          </w:p>
        </w:tc>
        <w:tc>
          <w:tcPr>
            <w:tcW w:type="dxa" w:w="2268"/>
          </w:tcPr>
          <w:p>
            <w:pPr>
              <w:spacing w:line="360" w:lineRule="auto" w:before="0" w:after="0"/>
              <w:ind w:firstLine="0"/>
            </w:pPr>
            <w:r>
              <w:rPr>
                <w:rFonts w:ascii="宋体" w:hAnsi="宋体" w:eastAsia="宋体"/>
                <w:b w:val="0"/>
                <w:sz w:val="20"/>
              </w:rPr>
              <w:t>知识星图 + pgvector + GraphRAG</w:t>
            </w:r>
          </w:p>
        </w:tc>
        <w:tc>
          <w:tcPr>
            <w:tcW w:type="dxa" w:w="2268"/>
          </w:tcPr>
          <w:p>
            <w:pPr>
              <w:spacing w:line="360" w:lineRule="auto" w:before="0" w:after="0"/>
              <w:ind w:firstLine="0"/>
            </w:pPr>
            <w:r>
              <w:rPr>
                <w:rFonts w:ascii="宋体" w:hAnsi="宋体" w:eastAsia="宋体"/>
                <w:b w:val="0"/>
                <w:sz w:val="20"/>
              </w:rPr>
              <w:t>同时兼顾语义召回与结构关系</w:t>
            </w:r>
          </w:p>
        </w:tc>
      </w:tr>
      <w:tr>
        <w:tc>
          <w:tcPr>
            <w:tcW w:type="dxa" w:w="2268"/>
          </w:tcPr>
          <w:p>
            <w:pPr>
              <w:spacing w:line="360" w:lineRule="auto" w:before="0" w:after="0"/>
              <w:ind w:firstLine="0"/>
            </w:pPr>
            <w:r>
              <w:rPr>
                <w:rFonts w:ascii="宋体" w:hAnsi="宋体" w:eastAsia="宋体"/>
                <w:b w:val="0"/>
                <w:sz w:val="20"/>
              </w:rPr>
              <w:t>复杂问题处理</w:t>
            </w:r>
          </w:p>
        </w:tc>
        <w:tc>
          <w:tcPr>
            <w:tcW w:type="dxa" w:w="2268"/>
          </w:tcPr>
          <w:p>
            <w:pPr>
              <w:spacing w:line="360" w:lineRule="auto" w:before="0" w:after="0"/>
              <w:ind w:firstLine="0"/>
            </w:pPr>
            <w:r>
              <w:rPr>
                <w:rFonts w:ascii="宋体" w:hAnsi="宋体" w:eastAsia="宋体"/>
                <w:b w:val="0"/>
                <w:sz w:val="20"/>
              </w:rPr>
              <w:t>单模型直接回答</w:t>
            </w:r>
          </w:p>
        </w:tc>
        <w:tc>
          <w:tcPr>
            <w:tcW w:type="dxa" w:w="2268"/>
          </w:tcPr>
          <w:p>
            <w:pPr>
              <w:spacing w:line="360" w:lineRule="auto" w:before="0" w:after="0"/>
              <w:ind w:firstLine="0"/>
            </w:pPr>
            <w:r>
              <w:rPr>
                <w:rFonts w:ascii="宋体" w:hAnsi="宋体" w:eastAsia="宋体"/>
                <w:b w:val="0"/>
                <w:sz w:val="20"/>
              </w:rPr>
              <w:t>Mirofish 多 Agent</w:t>
            </w:r>
          </w:p>
        </w:tc>
        <w:tc>
          <w:tcPr>
            <w:tcW w:type="dxa" w:w="2268"/>
          </w:tcPr>
          <w:p>
            <w:pPr>
              <w:spacing w:line="360" w:lineRule="auto" w:before="0" w:after="0"/>
              <w:ind w:firstLine="0"/>
            </w:pPr>
            <w:r>
              <w:rPr>
                <w:rFonts w:ascii="宋体" w:hAnsi="宋体" w:eastAsia="宋体"/>
                <w:b w:val="0"/>
                <w:sz w:val="20"/>
              </w:rPr>
              <w:t>更适合复杂任务拆解、协作和聚合</w:t>
            </w:r>
          </w:p>
        </w:tc>
      </w:tr>
      <w:tr>
        <w:tc>
          <w:tcPr>
            <w:tcW w:type="dxa" w:w="2268"/>
          </w:tcPr>
          <w:p>
            <w:pPr>
              <w:spacing w:line="360" w:lineRule="auto" w:before="0" w:after="0"/>
              <w:ind w:firstLine="0"/>
            </w:pPr>
            <w:r>
              <w:rPr>
                <w:rFonts w:ascii="宋体" w:hAnsi="宋体" w:eastAsia="宋体"/>
                <w:b w:val="0"/>
                <w:sz w:val="20"/>
              </w:rPr>
              <w:t>执行推进</w:t>
            </w:r>
          </w:p>
        </w:tc>
        <w:tc>
          <w:tcPr>
            <w:tcW w:type="dxa" w:w="2268"/>
          </w:tcPr>
          <w:p>
            <w:pPr>
              <w:spacing w:line="360" w:lineRule="auto" w:before="0" w:after="0"/>
              <w:ind w:firstLine="0"/>
            </w:pPr>
            <w:r>
              <w:rPr>
                <w:rFonts w:ascii="宋体" w:hAnsi="宋体" w:eastAsia="宋体"/>
                <w:b w:val="0"/>
                <w:sz w:val="20"/>
              </w:rPr>
              <w:t>普通工具调用</w:t>
            </w:r>
          </w:p>
        </w:tc>
        <w:tc>
          <w:tcPr>
            <w:tcW w:type="dxa" w:w="2268"/>
          </w:tcPr>
          <w:p>
            <w:pPr>
              <w:spacing w:line="360" w:lineRule="auto" w:before="0" w:after="0"/>
              <w:ind w:firstLine="0"/>
            </w:pPr>
            <w:r>
              <w:rPr>
                <w:rFonts w:ascii="宋体" w:hAnsi="宋体" w:eastAsia="宋体"/>
                <w:b w:val="0"/>
                <w:sz w:val="20"/>
              </w:rPr>
              <w:t>OpenClaw + ExecutionIntent + TrustEngine</w:t>
            </w:r>
          </w:p>
        </w:tc>
        <w:tc>
          <w:tcPr>
            <w:tcW w:type="dxa" w:w="2268"/>
          </w:tcPr>
          <w:p>
            <w:pPr>
              <w:spacing w:line="360" w:lineRule="auto" w:before="0" w:after="0"/>
              <w:ind w:firstLine="0"/>
            </w:pPr>
            <w:r>
              <w:rPr>
                <w:rFonts w:ascii="宋体" w:hAnsi="宋体" w:eastAsia="宋体"/>
                <w:b w:val="0"/>
                <w:sz w:val="20"/>
              </w:rPr>
              <w:t>具备边界治理、可信评估和结果回流能力</w:t>
            </w:r>
          </w:p>
        </w:tc>
      </w:tr>
      <w:tr>
        <w:tc>
          <w:tcPr>
            <w:tcW w:type="dxa" w:w="2268"/>
          </w:tcPr>
          <w:p>
            <w:pPr>
              <w:spacing w:line="360" w:lineRule="auto" w:before="0" w:after="0"/>
              <w:ind w:firstLine="0"/>
            </w:pPr>
            <w:r>
              <w:rPr>
                <w:rFonts w:ascii="宋体" w:hAnsi="宋体" w:eastAsia="宋体"/>
                <w:b w:val="0"/>
                <w:sz w:val="20"/>
              </w:rPr>
              <w:t>多端状态一致性</w:t>
            </w:r>
          </w:p>
        </w:tc>
        <w:tc>
          <w:tcPr>
            <w:tcW w:type="dxa" w:w="2268"/>
          </w:tcPr>
          <w:p>
            <w:pPr>
              <w:spacing w:line="360" w:lineRule="auto" w:before="0" w:after="0"/>
              <w:ind w:firstLine="0"/>
            </w:pPr>
            <w:r>
              <w:rPr>
                <w:rFonts w:ascii="宋体" w:hAnsi="宋体" w:eastAsia="宋体"/>
                <w:b w:val="0"/>
                <w:sz w:val="20"/>
              </w:rPr>
              <w:t>页面级局部状态</w:t>
            </w:r>
          </w:p>
        </w:tc>
        <w:tc>
          <w:tcPr>
            <w:tcW w:type="dxa" w:w="2268"/>
          </w:tcPr>
          <w:p>
            <w:pPr>
              <w:spacing w:line="360" w:lineRule="auto" w:before="0" w:after="0"/>
              <w:ind w:firstLine="0"/>
            </w:pPr>
            <w:r>
              <w:rPr>
                <w:rFonts w:ascii="宋体" w:hAnsi="宋体" w:eastAsia="宋体"/>
                <w:b w:val="0"/>
                <w:sz w:val="20"/>
              </w:rPr>
              <w:t>主链状态 + 统一协议</w:t>
            </w:r>
          </w:p>
        </w:tc>
        <w:tc>
          <w:tcPr>
            <w:tcW w:type="dxa" w:w="2268"/>
          </w:tcPr>
          <w:p>
            <w:pPr>
              <w:spacing w:line="360" w:lineRule="auto" w:before="0" w:after="0"/>
              <w:ind w:firstLine="0"/>
            </w:pPr>
            <w:r>
              <w:rPr>
                <w:rFonts w:ascii="宋体" w:hAnsi="宋体" w:eastAsia="宋体"/>
                <w:b w:val="0"/>
                <w:sz w:val="20"/>
              </w:rPr>
              <w:t>便于计划、任务、图谱、执行与反馈联动</w:t>
            </w:r>
          </w:p>
        </w:tc>
      </w:tr>
    </w:tbl>
    <w:p>
      <w:pPr>
        <w:spacing w:line="360" w:lineRule="auto" w:before="0" w:after="0"/>
        <w:ind w:firstLine="420"/>
      </w:pPr>
    </w:p>
    <w:p>
      <w:pPr>
        <w:pStyle w:val="4"/>
      </w:pPr>
      <w:bookmarkStart w:id="17" w:name="_Toc56719311"/>
      <w:r>
        <w:rPr>
          <w:rFonts w:hint="eastAsia"/>
        </w:rPr>
        <w:t>结果期望</w:t>
      </w:r>
      <w:bookmarkEnd w:id="17"/>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本项目采用上述技术方案后的预期结果，应当是合理、可行、可逐步验证的，而不是脱离现实的理想化承诺。</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期望类型</w:t>
            </w:r>
          </w:p>
        </w:tc>
        <w:tc>
          <w:tcPr>
            <w:tcW w:type="dxa" w:w="4535"/>
          </w:tcPr>
          <w:p>
            <w:pPr>
              <w:spacing w:line="360" w:lineRule="auto" w:before="0" w:after="0"/>
              <w:ind w:firstLine="0"/>
            </w:pPr>
            <w:r>
              <w:rPr>
                <w:rFonts w:ascii="宋体" w:hAnsi="宋体" w:eastAsia="宋体"/>
                <w:b/>
                <w:sz w:val="20"/>
              </w:rPr>
              <w:t>合理预期</w:t>
            </w:r>
          </w:p>
        </w:tc>
      </w:tr>
      <w:tr>
        <w:tc>
          <w:tcPr>
            <w:tcW w:type="dxa" w:w="4535"/>
          </w:tcPr>
          <w:p>
            <w:pPr>
              <w:spacing w:line="360" w:lineRule="auto" w:before="0" w:after="0"/>
              <w:ind w:firstLine="0"/>
            </w:pPr>
            <w:r>
              <w:rPr>
                <w:rFonts w:ascii="宋体" w:hAnsi="宋体" w:eastAsia="宋体"/>
                <w:b w:val="0"/>
                <w:sz w:val="20"/>
              </w:rPr>
              <w:t>功能期望</w:t>
            </w:r>
          </w:p>
        </w:tc>
        <w:tc>
          <w:tcPr>
            <w:tcW w:type="dxa" w:w="4535"/>
          </w:tcPr>
          <w:p>
            <w:pPr>
              <w:spacing w:line="360" w:lineRule="auto" w:before="0" w:after="0"/>
              <w:ind w:firstLine="0"/>
            </w:pPr>
            <w:r>
              <w:rPr>
                <w:rFonts w:ascii="宋体" w:hAnsi="宋体" w:eastAsia="宋体"/>
                <w:b w:val="0"/>
                <w:sz w:val="20"/>
              </w:rPr>
              <w:t>在同一系统内打通“对话澄清 -&gt; 计划生成 -&gt; 任务拆解 -&gt; 知识组织 -&gt; 执行回流 -&gt; 成长反馈”的完整主链</w:t>
            </w:r>
          </w:p>
        </w:tc>
      </w:tr>
      <w:tr>
        <w:tc>
          <w:tcPr>
            <w:tcW w:type="dxa" w:w="4535"/>
          </w:tcPr>
          <w:p>
            <w:pPr>
              <w:spacing w:line="360" w:lineRule="auto" w:before="0" w:after="0"/>
              <w:ind w:firstLine="0"/>
            </w:pPr>
            <w:r>
              <w:rPr>
                <w:rFonts w:ascii="宋体" w:hAnsi="宋体" w:eastAsia="宋体"/>
                <w:b w:val="0"/>
                <w:sz w:val="20"/>
              </w:rPr>
              <w:t>技术期望</w:t>
            </w:r>
          </w:p>
        </w:tc>
        <w:tc>
          <w:tcPr>
            <w:tcW w:type="dxa" w:w="4535"/>
          </w:tcPr>
          <w:p>
            <w:pPr>
              <w:spacing w:line="360" w:lineRule="auto" w:before="0" w:after="0"/>
              <w:ind w:firstLine="0"/>
            </w:pPr>
            <w:r>
              <w:rPr>
                <w:rFonts w:ascii="宋体" w:hAnsi="宋体" w:eastAsia="宋体"/>
                <w:b w:val="0"/>
                <w:sz w:val="20"/>
              </w:rPr>
              <w:t>形成知识星图、GraphRAG、Mirofish、OpenClaw 四条关键能力链，并使它们在主链中发生协同</w:t>
            </w:r>
          </w:p>
        </w:tc>
      </w:tr>
      <w:tr>
        <w:tc>
          <w:tcPr>
            <w:tcW w:type="dxa" w:w="4535"/>
          </w:tcPr>
          <w:p>
            <w:pPr>
              <w:spacing w:line="360" w:lineRule="auto" w:before="0" w:after="0"/>
              <w:ind w:firstLine="0"/>
            </w:pPr>
            <w:r>
              <w:rPr>
                <w:rFonts w:ascii="宋体" w:hAnsi="宋体" w:eastAsia="宋体"/>
                <w:b w:val="0"/>
                <w:sz w:val="20"/>
              </w:rPr>
              <w:t>工程期望</w:t>
            </w:r>
          </w:p>
        </w:tc>
        <w:tc>
          <w:tcPr>
            <w:tcW w:type="dxa" w:w="4535"/>
          </w:tcPr>
          <w:p>
            <w:pPr>
              <w:spacing w:line="360" w:lineRule="auto" w:before="0" w:after="0"/>
              <w:ind w:firstLine="0"/>
            </w:pPr>
            <w:r>
              <w:rPr>
                <w:rFonts w:ascii="宋体" w:hAnsi="宋体" w:eastAsia="宋体"/>
                <w:b w:val="0"/>
                <w:sz w:val="20"/>
              </w:rPr>
              <w:t>在本地完整环境中达到可稳定演示、可专项回归、可持续扩展的状态，而不是停留在单次演示脚本</w:t>
            </w:r>
          </w:p>
        </w:tc>
      </w:tr>
      <w:tr>
        <w:tc>
          <w:tcPr>
            <w:tcW w:type="dxa" w:w="4535"/>
          </w:tcPr>
          <w:p>
            <w:pPr>
              <w:spacing w:line="360" w:lineRule="auto" w:before="0" w:after="0"/>
              <w:ind w:firstLine="0"/>
            </w:pPr>
            <w:r>
              <w:rPr>
                <w:rFonts w:ascii="宋体" w:hAnsi="宋体" w:eastAsia="宋体"/>
                <w:b w:val="0"/>
                <w:sz w:val="20"/>
              </w:rPr>
              <w:t>性能期望</w:t>
            </w:r>
          </w:p>
        </w:tc>
        <w:tc>
          <w:tcPr>
            <w:tcW w:type="dxa" w:w="4535"/>
          </w:tcPr>
          <w:p>
            <w:pPr>
              <w:spacing w:line="360" w:lineRule="auto" w:before="0" w:after="0"/>
              <w:ind w:firstLine="0"/>
            </w:pPr>
            <w:r>
              <w:rPr>
                <w:rFonts w:ascii="宋体" w:hAnsi="宋体" w:eastAsia="宋体"/>
                <w:b w:val="0"/>
                <w:sz w:val="20"/>
              </w:rPr>
              <w:t>在当前阈值体系下，主链入口、充分性检查、路由和主要检索能力满足比赛演示所需的响应要求，不出现明显卡顿或失控</w:t>
            </w:r>
          </w:p>
        </w:tc>
      </w:tr>
      <w:tr>
        <w:tc>
          <w:tcPr>
            <w:tcW w:type="dxa" w:w="4535"/>
          </w:tcPr>
          <w:p>
            <w:pPr>
              <w:spacing w:line="360" w:lineRule="auto" w:before="0" w:after="0"/>
              <w:ind w:firstLine="0"/>
            </w:pPr>
            <w:r>
              <w:rPr>
                <w:rFonts w:ascii="宋体" w:hAnsi="宋体" w:eastAsia="宋体"/>
                <w:b w:val="0"/>
                <w:sz w:val="20"/>
              </w:rPr>
              <w:t>质量期望</w:t>
            </w:r>
          </w:p>
        </w:tc>
        <w:tc>
          <w:tcPr>
            <w:tcW w:type="dxa" w:w="4535"/>
          </w:tcPr>
          <w:p>
            <w:pPr>
              <w:spacing w:line="360" w:lineRule="auto" w:before="0" w:after="0"/>
              <w:ind w:firstLine="0"/>
            </w:pPr>
            <w:r>
              <w:rPr>
                <w:rFonts w:ascii="宋体" w:hAnsi="宋体" w:eastAsia="宋体"/>
                <w:b w:val="0"/>
                <w:sz w:val="20"/>
              </w:rPr>
              <w:t>关键模块具备测试、验收或专项回归材料支撑，对仍待补强的真机能力保持诚实口径</w:t>
            </w:r>
          </w:p>
        </w:tc>
      </w:tr>
    </w:tbl>
    <w:p>
      <w:pPr>
        <w:spacing w:line="360" w:lineRule="auto" w:before="0" w:after="0"/>
        <w:ind w:firstLine="420"/>
      </w:pPr>
    </w:p>
    <w:p>
      <w:pPr>
        <w:spacing w:line="360" w:lineRule="auto" w:before="0" w:after="0"/>
        <w:ind w:firstLine="420"/>
      </w:pPr>
      <w:r>
        <w:rPr>
          <w:rFonts w:ascii="宋体" w:hAnsi="宋体" w:eastAsia="宋体"/>
          <w:b w:val="0"/>
          <w:sz w:val="24"/>
        </w:rPr>
        <w:t>进一步说，本项目的技术目标不是“一次性把所有能力做到工业化量产水平”，而是“让关键主链真实成立，让创新模块真实落地，让工程证据真实可信”。对于学生团队参赛项目而言，这样的预期既可实现，也更符合评审对技术成熟度的判断标准。</w:t>
      </w:r>
    </w:p>
    <w:p>
      <w:pPr>
        <w:spacing w:line="360" w:lineRule="auto" w:before="0" w:after="0"/>
        <w:ind w:firstLine="0"/>
        <w:jc w:val="center"/>
      </w:pPr>
      <w:r>
        <w:rPr>
          <w:rFonts w:ascii="宋体" w:hAnsi="宋体" w:eastAsia="宋体"/>
          <w:b w:val="0"/>
          <w:sz w:val="21"/>
        </w:rPr>
        <w:t>【图位：图T3  星火技术方案总览图（三层异构架构 + 四条关键能力链）】</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18" w:name="_Toc56719312"/>
      <w:r>
        <w:rPr>
          <w:rFonts w:hint="eastAsia"/>
        </w:rPr>
        <w:t>技术实践</w:t>
      </w:r>
      <w:bookmarkEnd w:id="18"/>
      <w:r>
        <w:rPr>
          <w:rStyle w:val="64"/>
          <w:rFonts w:asciiTheme="minorHAnsi" w:hAnsiTheme="minorHAnsi" w:eastAsiaTheme="minorEastAsia"/>
          <w:b w:val="0"/>
          <w:bCs w:val="0"/>
          <w:kern w:val="2"/>
        </w:rPr>
      </w:r>
    </w:p>
    <w:p>
      <w:pPr>
        <w:pStyle w:val="4"/>
      </w:pPr>
      <w:bookmarkStart w:id="19" w:name="_Toc56719313"/>
      <w:r>
        <w:rPr>
          <w:rFonts w:hint="eastAsia"/>
        </w:rPr>
        <w:t>使用的开发框架及依赖的库</w:t>
      </w:r>
      <w:bookmarkEnd w:id="19"/>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层级</w:t>
            </w:r>
          </w:p>
        </w:tc>
        <w:tc>
          <w:tcPr>
            <w:tcW w:type="dxa" w:w="3024"/>
          </w:tcPr>
          <w:p>
            <w:pPr>
              <w:spacing w:line="360" w:lineRule="auto" w:before="0" w:after="0"/>
              <w:ind w:firstLine="0"/>
            </w:pPr>
            <w:r>
              <w:rPr>
                <w:rFonts w:ascii="宋体" w:hAnsi="宋体" w:eastAsia="宋体"/>
                <w:b/>
                <w:sz w:val="20"/>
              </w:rPr>
              <w:t>主要技术栈</w:t>
            </w:r>
          </w:p>
        </w:tc>
        <w:tc>
          <w:tcPr>
            <w:tcW w:type="dxa" w:w="3024"/>
          </w:tcPr>
          <w:p>
            <w:pPr>
              <w:spacing w:line="360" w:lineRule="auto" w:before="0" w:after="0"/>
              <w:ind w:firstLine="0"/>
            </w:pPr>
            <w:r>
              <w:rPr>
                <w:rFonts w:ascii="宋体" w:hAnsi="宋体" w:eastAsia="宋体"/>
                <w:b/>
                <w:sz w:val="20"/>
              </w:rPr>
              <w:t>主要职责</w:t>
            </w:r>
          </w:p>
        </w:tc>
      </w:tr>
      <w:tr>
        <w:tc>
          <w:tcPr>
            <w:tcW w:type="dxa" w:w="3024"/>
          </w:tcPr>
          <w:p>
            <w:pPr>
              <w:spacing w:line="360" w:lineRule="auto" w:before="0" w:after="0"/>
              <w:ind w:firstLine="0"/>
            </w:pPr>
            <w:r>
              <w:rPr>
                <w:rFonts w:ascii="宋体" w:hAnsi="宋体" w:eastAsia="宋体"/>
                <w:b w:val="0"/>
                <w:sz w:val="20"/>
              </w:rPr>
              <w:t>移动端</w:t>
            </w:r>
          </w:p>
        </w:tc>
        <w:tc>
          <w:tcPr>
            <w:tcW w:type="dxa" w:w="3024"/>
          </w:tcPr>
          <w:p>
            <w:pPr>
              <w:spacing w:line="360" w:lineRule="auto" w:before="0" w:after="0"/>
              <w:ind w:firstLine="0"/>
            </w:pPr>
            <w:r>
              <w:rPr>
                <w:rFonts w:ascii="宋体" w:hAnsi="宋体" w:eastAsia="宋体"/>
                <w:b w:val="0"/>
                <w:sz w:val="20"/>
              </w:rPr>
              <w:t>Flutter、Riverpod、Dio、音频/动效相关组件</w:t>
            </w:r>
          </w:p>
        </w:tc>
        <w:tc>
          <w:tcPr>
            <w:tcW w:type="dxa" w:w="3024"/>
          </w:tcPr>
          <w:p>
            <w:pPr>
              <w:spacing w:line="360" w:lineRule="auto" w:before="0" w:after="0"/>
              <w:ind w:firstLine="0"/>
            </w:pPr>
            <w:r>
              <w:rPr>
                <w:rFonts w:ascii="宋体" w:hAnsi="宋体" w:eastAsia="宋体"/>
                <w:b w:val="0"/>
                <w:sz w:val="20"/>
              </w:rPr>
              <w:t>UI、状态管理、多感官反馈、页面交互</w:t>
            </w:r>
          </w:p>
        </w:tc>
      </w:tr>
      <w:tr>
        <w:tc>
          <w:tcPr>
            <w:tcW w:type="dxa" w:w="3024"/>
          </w:tcPr>
          <w:p>
            <w:pPr>
              <w:spacing w:line="360" w:lineRule="auto" w:before="0" w:after="0"/>
              <w:ind w:firstLine="0"/>
            </w:pPr>
            <w:r>
              <w:rPr>
                <w:rFonts w:ascii="宋体" w:hAnsi="宋体" w:eastAsia="宋体"/>
                <w:b w:val="0"/>
                <w:sz w:val="20"/>
              </w:rPr>
              <w:t>接入层</w:t>
            </w:r>
          </w:p>
        </w:tc>
        <w:tc>
          <w:tcPr>
            <w:tcW w:type="dxa" w:w="3024"/>
          </w:tcPr>
          <w:p>
            <w:pPr>
              <w:spacing w:line="360" w:lineRule="auto" w:before="0" w:after="0"/>
              <w:ind w:firstLine="0"/>
            </w:pPr>
            <w:r>
              <w:rPr>
                <w:rFonts w:ascii="宋体" w:hAnsi="宋体" w:eastAsia="宋体"/>
                <w:b w:val="0"/>
                <w:sz w:val="20"/>
              </w:rPr>
              <w:t>Go、Gin、Gorilla WebSocket、gRPC</w:t>
            </w:r>
          </w:p>
        </w:tc>
        <w:tc>
          <w:tcPr>
            <w:tcW w:type="dxa" w:w="3024"/>
          </w:tcPr>
          <w:p>
            <w:pPr>
              <w:spacing w:line="360" w:lineRule="auto" w:before="0" w:after="0"/>
              <w:ind w:firstLine="0"/>
            </w:pPr>
            <w:r>
              <w:rPr>
                <w:rFonts w:ascii="宋体" w:hAnsi="宋体" w:eastAsia="宋体"/>
                <w:b w:val="0"/>
                <w:sz w:val="20"/>
              </w:rPr>
              <w:t>鉴权、长连接管理、协议转换、实时接入</w:t>
            </w:r>
          </w:p>
        </w:tc>
      </w:tr>
      <w:tr>
        <w:tc>
          <w:tcPr>
            <w:tcW w:type="dxa" w:w="3024"/>
          </w:tcPr>
          <w:p>
            <w:pPr>
              <w:spacing w:line="360" w:lineRule="auto" w:before="0" w:after="0"/>
              <w:ind w:firstLine="0"/>
            </w:pPr>
            <w:r>
              <w:rPr>
                <w:rFonts w:ascii="宋体" w:hAnsi="宋体" w:eastAsia="宋体"/>
                <w:b w:val="0"/>
                <w:sz w:val="20"/>
              </w:rPr>
              <w:t>智能层</w:t>
            </w:r>
          </w:p>
        </w:tc>
        <w:tc>
          <w:tcPr>
            <w:tcW w:type="dxa" w:w="3024"/>
          </w:tcPr>
          <w:p>
            <w:pPr>
              <w:spacing w:line="360" w:lineRule="auto" w:before="0" w:after="0"/>
              <w:ind w:firstLine="0"/>
            </w:pPr>
            <w:r>
              <w:rPr>
                <w:rFonts w:ascii="宋体" w:hAnsi="宋体" w:eastAsia="宋体"/>
                <w:b w:val="0"/>
                <w:sz w:val="20"/>
              </w:rPr>
              <w:t>Python、FastAPI、gRPC、LangGraph、Celery</w:t>
            </w:r>
          </w:p>
        </w:tc>
        <w:tc>
          <w:tcPr>
            <w:tcW w:type="dxa" w:w="3024"/>
          </w:tcPr>
          <w:p>
            <w:pPr>
              <w:spacing w:line="360" w:lineRule="auto" w:before="0" w:after="0"/>
              <w:ind w:firstLine="0"/>
            </w:pPr>
            <w:r>
              <w:rPr>
                <w:rFonts w:ascii="宋体" w:hAnsi="宋体" w:eastAsia="宋体"/>
                <w:b w:val="0"/>
                <w:sz w:val="20"/>
              </w:rPr>
              <w:t>主链编排、图推理、多 Agent、执行闭环</w:t>
            </w:r>
          </w:p>
        </w:tc>
      </w:tr>
      <w:tr>
        <w:tc>
          <w:tcPr>
            <w:tcW w:type="dxa" w:w="3024"/>
          </w:tcPr>
          <w:p>
            <w:pPr>
              <w:spacing w:line="360" w:lineRule="auto" w:before="0" w:after="0"/>
              <w:ind w:firstLine="0"/>
            </w:pPr>
            <w:r>
              <w:rPr>
                <w:rFonts w:ascii="宋体" w:hAnsi="宋体" w:eastAsia="宋体"/>
                <w:b w:val="0"/>
                <w:sz w:val="20"/>
              </w:rPr>
              <w:t>数据层</w:t>
            </w:r>
          </w:p>
        </w:tc>
        <w:tc>
          <w:tcPr>
            <w:tcW w:type="dxa" w:w="3024"/>
          </w:tcPr>
          <w:p>
            <w:pPr>
              <w:spacing w:line="360" w:lineRule="auto" w:before="0" w:after="0"/>
              <w:ind w:firstLine="0"/>
            </w:pPr>
            <w:r>
              <w:rPr>
                <w:rFonts w:ascii="宋体" w:hAnsi="宋体" w:eastAsia="宋体"/>
                <w:b w:val="0"/>
                <w:sz w:val="20"/>
              </w:rPr>
              <w:t>PostgreSQL、pgvector、Redis、MinIO</w:t>
            </w:r>
          </w:p>
        </w:tc>
        <w:tc>
          <w:tcPr>
            <w:tcW w:type="dxa" w:w="3024"/>
          </w:tcPr>
          <w:p>
            <w:pPr>
              <w:spacing w:line="360" w:lineRule="auto" w:before="0" w:after="0"/>
              <w:ind w:firstLine="0"/>
            </w:pPr>
            <w:r>
              <w:rPr>
                <w:rFonts w:ascii="宋体" w:hAnsi="宋体" w:eastAsia="宋体"/>
                <w:b w:val="0"/>
                <w:sz w:val="20"/>
              </w:rPr>
              <w:t>关系数据、向量检索、缓存、对象存储</w:t>
            </w:r>
          </w:p>
        </w:tc>
      </w:tr>
    </w:tbl>
    <w:p>
      <w:pPr>
        <w:spacing w:line="360" w:lineRule="auto" w:before="0" w:after="0"/>
        <w:ind w:firstLine="420"/>
      </w:pPr>
    </w:p>
    <w:p>
      <w:pPr>
        <w:pStyle w:val="4"/>
      </w:pPr>
      <w:bookmarkStart w:id="20" w:name="_Toc56719314"/>
      <w:r>
        <w:rPr>
          <w:rFonts w:hint="eastAsia"/>
        </w:rPr>
        <w:t>技术实践过程</w:t>
      </w:r>
      <w:bookmarkEnd w:id="20"/>
    </w:p>
    <w:p>
      <w:pPr>
        <w:spacing w:line="360" w:lineRule="auto" w:before="0" w:after="0"/>
        <w:ind w:firstLine="420"/>
      </w:pPr>
      <w:r>
        <w:rPr>
          <w:rFonts w:ascii="宋体" w:hAnsi="宋体" w:eastAsia="宋体"/>
          <w:b w:val="0"/>
          <w:sz w:val="24"/>
        </w:rPr>
        <w:t>星火的技术实践不是一次性完成的，而是沿着“先主链、再结构、后增强、最后收口”的顺序逐步推进：</w:t>
      </w:r>
    </w:p>
    <w:p>
      <w:pPr>
        <w:spacing w:line="360" w:lineRule="auto" w:before="0" w:after="0"/>
        <w:ind w:firstLine="0"/>
      </w:pPr>
      <w:r>
        <w:rPr>
          <w:rFonts w:ascii="宋体" w:hAnsi="宋体" w:eastAsia="宋体"/>
          <w:b w:val="0"/>
          <w:sz w:val="24"/>
        </w:rPr>
        <w:t>1. 第一阶段先打通 Flutter、Go Gateway、Python AI Engine 的异构主链，解决消息链路和协议边界问题。</w:t>
      </w:r>
    </w:p>
    <w:p>
      <w:pPr>
        <w:spacing w:line="360" w:lineRule="auto" w:before="0" w:after="0"/>
        <w:ind w:firstLine="0"/>
      </w:pPr>
      <w:r>
        <w:rPr>
          <w:rFonts w:ascii="宋体" w:hAnsi="宋体" w:eastAsia="宋体"/>
          <w:b w:val="0"/>
          <w:sz w:val="24"/>
        </w:rPr>
        <w:t>2. 第二阶段补齐计划、任务、知识节点、知识关系和主链回流，解决学习过程不再停留在聊天记录中的问题。</w:t>
      </w:r>
    </w:p>
    <w:p>
      <w:pPr>
        <w:spacing w:line="360" w:lineRule="auto" w:before="0" w:after="0"/>
        <w:ind w:firstLine="0"/>
      </w:pPr>
      <w:r>
        <w:rPr>
          <w:rFonts w:ascii="宋体" w:hAnsi="宋体" w:eastAsia="宋体"/>
          <w:b w:val="0"/>
          <w:sz w:val="24"/>
        </w:rPr>
        <w:t>3. 第三阶段接入 Mirofish 多 Agent 和 OpenClaw 执行闭环，解决复杂任务分析与建议落地问题。</w:t>
      </w:r>
    </w:p>
    <w:p>
      <w:pPr>
        <w:spacing w:line="360" w:lineRule="auto" w:before="0" w:after="0"/>
        <w:ind w:firstLine="0"/>
      </w:pPr>
      <w:r>
        <w:rPr>
          <w:rFonts w:ascii="宋体" w:hAnsi="宋体" w:eastAsia="宋体"/>
          <w:b w:val="0"/>
          <w:sz w:val="24"/>
        </w:rPr>
        <w:t>4. 第四阶段补齐学习报告、知识剧场、学习模拟、成就契约和多感官体验，让系统从“会做事”进一步走向“会陪伴成长”。</w:t>
      </w:r>
    </w:p>
    <w:p>
      <w:pPr>
        <w:spacing w:line="360" w:lineRule="auto" w:before="0" w:after="0"/>
        <w:ind w:firstLine="0"/>
      </w:pPr>
      <w:r>
        <w:rPr>
          <w:rFonts w:ascii="宋体" w:hAnsi="宋体" w:eastAsia="宋体"/>
          <w:b w:val="0"/>
          <w:sz w:val="24"/>
        </w:rPr>
        <w:t>5. 第五阶段围绕 benchmark、测试、验收、from-zero rebuild 和演示链路进行收口，保证项目不仅能开发出来，也能稳定展示和验证。</w:t>
      </w:r>
    </w:p>
    <w:p>
      <w:pPr>
        <w:spacing w:line="360" w:lineRule="auto" w:before="0" w:after="0"/>
        <w:ind w:firstLine="420"/>
      </w:pPr>
      <w:r>
        <w:rPr>
          <w:rFonts w:ascii="宋体" w:hAnsi="宋体" w:eastAsia="宋体"/>
          <w:b w:val="0"/>
          <w:sz w:val="24"/>
        </w:rPr>
        <w:t>技术实践中的关键决策有三点：</w:t>
      </w:r>
    </w:p>
    <w:p>
      <w:pPr>
        <w:spacing w:line="360" w:lineRule="auto" w:before="0" w:after="0"/>
        <w:ind w:firstLine="0"/>
      </w:pPr>
      <w:r>
        <w:rPr>
          <w:rFonts w:ascii="宋体" w:hAnsi="宋体" w:eastAsia="宋体"/>
          <w:b w:val="0"/>
          <w:sz w:val="24"/>
        </w:rPr>
        <w:t>1. 对关键能力采取显式建模，而不是让复杂行为全部藏在提示词中。</w:t>
      </w:r>
    </w:p>
    <w:p>
      <w:pPr>
        <w:spacing w:line="360" w:lineRule="auto" w:before="0" w:after="0"/>
        <w:ind w:firstLine="0"/>
      </w:pPr>
      <w:r>
        <w:rPr>
          <w:rFonts w:ascii="宋体" w:hAnsi="宋体" w:eastAsia="宋体"/>
          <w:b w:val="0"/>
          <w:sz w:val="24"/>
        </w:rPr>
        <w:t>2. 对复杂链路采取分阶段落地和分阶段测试，降低调试成本。</w:t>
      </w:r>
    </w:p>
    <w:p>
      <w:pPr>
        <w:spacing w:line="360" w:lineRule="auto" w:before="0" w:after="0"/>
        <w:ind w:firstLine="0"/>
      </w:pPr>
      <w:r>
        <w:rPr>
          <w:rFonts w:ascii="宋体" w:hAnsi="宋体" w:eastAsia="宋体"/>
          <w:b w:val="0"/>
          <w:sz w:val="24"/>
        </w:rPr>
        <w:t>3. 对执行能力和端侧体验保留清晰边界，不用夸张演示替代真实稳定性。</w:t>
      </w:r>
    </w:p>
    <w:p>
      <w:pPr>
        <w:spacing w:line="360" w:lineRule="auto" w:before="0" w:after="0"/>
        <w:ind w:firstLine="0"/>
        <w:jc w:val="center"/>
      </w:pPr>
      <w:r>
        <w:rPr>
          <w:rFonts w:ascii="宋体" w:hAnsi="宋体" w:eastAsia="宋体"/>
          <w:b w:val="0"/>
          <w:sz w:val="21"/>
        </w:rPr>
        <w:t>【图位：图T4  技术实践过程图（主链搭建 -&gt; 图谱与任务 -&gt; 多 Agent 与执行 -&gt; 成长反馈）】</w:t>
      </w:r>
    </w:p>
    <w:bookmarkEnd w:id="1"/>
    <w:bookmarkEnd w:id="2"/>
    <w:bookmarkEnd w:id="3"/>
    <w:bookmarkEnd w:id="4"/>
    <w:bookmarkEnd w:id="5"/>
    <w:bookmarkEnd w:id="6"/>
    <w:bookmarkEnd w:id="7"/>
    <w:p>
      <w:pPr>
        <w:pStyle w:val="3"/>
        <w:ind w:firstLine="480"/>
        <w:sectPr>
          <w:footerReference r:id="rId9" w:type="first"/>
          <w:pgSz w:w="11906" w:h="16838"/>
          <w:pgMar w:top="1440" w:right="1800" w:bottom="1440" w:left="1800" w:header="851" w:footer="992" w:gutter="0"/>
          <w:cols w:space="425" w:num="1"/>
          <w:docGrid w:type="lines" w:linePitch="312" w:charSpace="0"/>
        </w:sectPr>
      </w:pPr>
      <w:bookmarkStart w:id="21" w:name="_Toc255826542"/>
      <w:bookmarkEnd w:id="21"/>
    </w:p>
    <w:p>
      <w:pPr>
        <w:pStyle w:val="2"/>
      </w:pPr>
      <w:bookmarkStart w:id="22" w:name="_Toc56719315"/>
      <w:r>
        <w:rPr>
          <w:rFonts w:hint="eastAsia"/>
        </w:rPr>
        <w:t>结果验证</w:t>
      </w:r>
      <w:bookmarkEnd w:id="22"/>
      <w:r>
        <w:rPr>
          <w:rStyle w:val="64"/>
          <w:rFonts w:asciiTheme="minorHAnsi" w:hAnsiTheme="minorHAnsi" w:eastAsiaTheme="minorEastAsia"/>
          <w:b w:val="0"/>
          <w:bCs w:val="0"/>
          <w:kern w:val="2"/>
        </w:rPr>
      </w:r>
    </w:p>
    <w:p>
      <w:pPr>
        <w:spacing w:line="360" w:lineRule="auto" w:before="0" w:after="0"/>
        <w:ind w:firstLine="420"/>
      </w:pPr>
      <w:r>
        <w:rPr>
          <w:rFonts w:ascii="宋体" w:hAnsi="宋体" w:eastAsia="宋体"/>
          <w:b w:val="0"/>
          <w:sz w:val="24"/>
        </w:rPr>
        <w:t>当前项目已经建立一套偏保守的性能阈值验证方式。其目标不是追求脱离场景的极限分数，而是确保比赛展示链路足够稳定、主要交互环节没有明显阻塞。</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验证项</w:t>
            </w:r>
          </w:p>
        </w:tc>
        <w:tc>
          <w:tcPr>
            <w:tcW w:type="dxa" w:w="4535"/>
          </w:tcPr>
          <w:p>
            <w:pPr>
              <w:spacing w:line="360" w:lineRule="auto" w:before="0" w:after="0"/>
              <w:ind w:firstLine="0"/>
            </w:pPr>
            <w:r>
              <w:rPr>
                <w:rFonts w:ascii="宋体" w:hAnsi="宋体" w:eastAsia="宋体"/>
                <w:b/>
                <w:sz w:val="20"/>
              </w:rPr>
              <w:t>当前口径</w:t>
            </w:r>
          </w:p>
        </w:tc>
      </w:tr>
      <w:tr>
        <w:tc>
          <w:tcPr>
            <w:tcW w:type="dxa" w:w="4535"/>
          </w:tcPr>
          <w:p>
            <w:pPr>
              <w:spacing w:line="360" w:lineRule="auto" w:before="0" w:after="0"/>
              <w:ind w:firstLine="0"/>
            </w:pPr>
            <w:r>
              <w:rPr>
                <w:rFonts w:ascii="宋体" w:hAnsi="宋体" w:eastAsia="宋体"/>
                <w:b w:val="0"/>
                <w:sz w:val="20"/>
              </w:rPr>
              <w:t>高频意图识别</w:t>
            </w:r>
          </w:p>
        </w:tc>
        <w:tc>
          <w:tcPr>
            <w:tcW w:type="dxa" w:w="4535"/>
          </w:tcPr>
          <w:p>
            <w:pPr>
              <w:spacing w:line="360" w:lineRule="auto" w:before="0" w:after="0"/>
              <w:ind w:firstLine="0"/>
            </w:pPr>
            <w:r>
              <w:rPr>
                <w:rFonts w:ascii="宋体" w:hAnsi="宋体" w:eastAsia="宋体"/>
                <w:b w:val="0"/>
                <w:sz w:val="20"/>
              </w:rPr>
              <w:t>已建立 P50 &lt; 10ms、P95 &lt; 25ms 的阈值型测试口径</w:t>
            </w:r>
          </w:p>
        </w:tc>
      </w:tr>
      <w:tr>
        <w:tc>
          <w:tcPr>
            <w:tcW w:type="dxa" w:w="4535"/>
          </w:tcPr>
          <w:p>
            <w:pPr>
              <w:spacing w:line="360" w:lineRule="auto" w:before="0" w:after="0"/>
              <w:ind w:firstLine="0"/>
            </w:pPr>
            <w:r>
              <w:rPr>
                <w:rFonts w:ascii="宋体" w:hAnsi="宋体" w:eastAsia="宋体"/>
                <w:b w:val="0"/>
                <w:sz w:val="20"/>
              </w:rPr>
              <w:t>充分性检查</w:t>
            </w:r>
          </w:p>
        </w:tc>
        <w:tc>
          <w:tcPr>
            <w:tcW w:type="dxa" w:w="4535"/>
          </w:tcPr>
          <w:p>
            <w:pPr>
              <w:spacing w:line="360" w:lineRule="auto" w:before="0" w:after="0"/>
              <w:ind w:firstLine="0"/>
            </w:pPr>
            <w:r>
              <w:rPr>
                <w:rFonts w:ascii="宋体" w:hAnsi="宋体" w:eastAsia="宋体"/>
                <w:b w:val="0"/>
                <w:sz w:val="20"/>
              </w:rPr>
              <w:t>已建立 P50 &lt; 50ms 的阈值型口径</w:t>
            </w:r>
          </w:p>
        </w:tc>
      </w:tr>
      <w:tr>
        <w:tc>
          <w:tcPr>
            <w:tcW w:type="dxa" w:w="4535"/>
          </w:tcPr>
          <w:p>
            <w:pPr>
              <w:spacing w:line="360" w:lineRule="auto" w:before="0" w:after="0"/>
              <w:ind w:firstLine="0"/>
            </w:pPr>
            <w:r>
              <w:rPr>
                <w:rFonts w:ascii="宋体" w:hAnsi="宋体" w:eastAsia="宋体"/>
                <w:b w:val="0"/>
                <w:sz w:val="20"/>
              </w:rPr>
              <w:t>路由与吞吐</w:t>
            </w:r>
          </w:p>
        </w:tc>
        <w:tc>
          <w:tcPr>
            <w:tcW w:type="dxa" w:w="4535"/>
          </w:tcPr>
          <w:p>
            <w:pPr>
              <w:spacing w:line="360" w:lineRule="auto" w:before="0" w:after="0"/>
              <w:ind w:firstLine="0"/>
            </w:pPr>
            <w:r>
              <w:rPr>
                <w:rFonts w:ascii="宋体" w:hAnsi="宋体" w:eastAsia="宋体"/>
                <w:b w:val="0"/>
                <w:sz w:val="20"/>
              </w:rPr>
              <w:t>已建立 P95 &lt; 100ms 以及吞吐 benchmark 口径</w:t>
            </w:r>
          </w:p>
        </w:tc>
      </w:tr>
      <w:tr>
        <w:tc>
          <w:tcPr>
            <w:tcW w:type="dxa" w:w="4535"/>
          </w:tcPr>
          <w:p>
            <w:pPr>
              <w:spacing w:line="360" w:lineRule="auto" w:before="0" w:after="0"/>
              <w:ind w:firstLine="0"/>
            </w:pPr>
            <w:r>
              <w:rPr>
                <w:rFonts w:ascii="宋体" w:hAnsi="宋体" w:eastAsia="宋体"/>
                <w:b w:val="0"/>
                <w:sz w:val="20"/>
              </w:rPr>
              <w:t>向量 / 图相关能力</w:t>
            </w:r>
          </w:p>
        </w:tc>
        <w:tc>
          <w:tcPr>
            <w:tcW w:type="dxa" w:w="4535"/>
          </w:tcPr>
          <w:p>
            <w:pPr>
              <w:spacing w:line="360" w:lineRule="auto" w:before="0" w:after="0"/>
              <w:ind w:firstLine="0"/>
            </w:pPr>
            <w:r>
              <w:rPr>
                <w:rFonts w:ascii="宋体" w:hAnsi="宋体" w:eastAsia="宋体"/>
                <w:b w:val="0"/>
                <w:sz w:val="20"/>
              </w:rPr>
              <w:t>已有专项 benchmark 和性能脚本用于回归</w:t>
            </w:r>
          </w:p>
        </w:tc>
      </w:tr>
    </w:tbl>
    <w:p>
      <w:pPr>
        <w:spacing w:line="360" w:lineRule="auto" w:before="0" w:after="0"/>
        <w:ind w:firstLine="420"/>
      </w:pPr>
    </w:p>
    <w:p>
      <w:pPr>
        <w:spacing w:line="360" w:lineRule="auto" w:before="0" w:after="0"/>
        <w:ind w:firstLine="420"/>
      </w:pPr>
      <w:r>
        <w:rPr>
          <w:rFonts w:ascii="宋体" w:hAnsi="宋体" w:eastAsia="宋体"/>
          <w:b w:val="0"/>
          <w:sz w:val="24"/>
        </w:rPr>
        <w:t>这些数据的意义不在于“分数多漂亮”，而在于证明星火的关键入口和关键链路已经形成可重复验证的性能边界。</w:t>
      </w:r>
    </w:p>
    <w:p>
      <w:pPr>
        <w:spacing w:line="360" w:lineRule="auto" w:before="0" w:after="0"/>
        <w:ind w:firstLine="420"/>
      </w:pPr>
      <w:r>
        <w:rPr>
          <w:rFonts w:ascii="宋体" w:hAnsi="宋体" w:eastAsia="宋体"/>
          <w:b w:val="0"/>
          <w:sz w:val="24"/>
        </w:rPr>
        <w:t>项目当前的测试覆盖已经不只针对“聊天能否跑通”，而是覆盖了多条创新主链：</w:t>
      </w:r>
    </w:p>
    <w:p>
      <w:pPr>
        <w:spacing w:line="360" w:lineRule="auto" w:before="0" w:after="0"/>
        <w:ind w:firstLine="0"/>
      </w:pPr>
      <w:r>
        <w:rPr>
          <w:rFonts w:ascii="宋体" w:hAnsi="宋体" w:eastAsia="宋体"/>
          <w:b w:val="0"/>
          <w:sz w:val="24"/>
        </w:rPr>
        <w:t>1. Python 侧已有 260 个测试文件，覆盖编排、图谱、执行、报告等关键逻辑。</w:t>
      </w:r>
    </w:p>
    <w:p>
      <w:pPr>
        <w:spacing w:line="360" w:lineRule="auto" w:before="0" w:after="0"/>
        <w:ind w:firstLine="0"/>
      </w:pPr>
      <w:r>
        <w:rPr>
          <w:rFonts w:ascii="宋体" w:hAnsi="宋体" w:eastAsia="宋体"/>
          <w:b w:val="0"/>
          <w:sz w:val="24"/>
        </w:rPr>
        <w:t>2. Go 侧已有 30 个测试文件，覆盖接入层、数据库与性能相关链路。</w:t>
      </w:r>
    </w:p>
    <w:p>
      <w:pPr>
        <w:spacing w:line="360" w:lineRule="auto" w:before="0" w:after="0"/>
        <w:ind w:firstLine="0"/>
      </w:pPr>
      <w:r>
        <w:rPr>
          <w:rFonts w:ascii="宋体" w:hAnsi="宋体" w:eastAsia="宋体"/>
          <w:b w:val="0"/>
          <w:sz w:val="24"/>
        </w:rPr>
        <w:t>3. Flutter 侧已有 110 个测试文件，覆盖组件、体验和关键页面回归。</w:t>
      </w:r>
    </w:p>
    <w:p>
      <w:pPr>
        <w:spacing w:line="360" w:lineRule="auto" w:before="0" w:after="0"/>
        <w:ind w:firstLine="0"/>
      </w:pPr>
      <w:r>
        <w:rPr>
          <w:rFonts w:ascii="宋体" w:hAnsi="宋体" w:eastAsia="宋体"/>
          <w:b w:val="0"/>
          <w:sz w:val="24"/>
        </w:rPr>
        <w:t>4. 另有 29 个 benchmark / 性能相关文件，用于专项性能验证。</w:t>
      </w:r>
    </w:p>
    <w:p>
      <w:pPr>
        <w:spacing w:line="360" w:lineRule="auto" w:before="0" w:after="0"/>
        <w:ind w:firstLine="420"/>
      </w:pPr>
      <w:r>
        <w:rPr>
          <w:rFonts w:ascii="宋体" w:hAnsi="宋体" w:eastAsia="宋体"/>
          <w:b w:val="0"/>
          <w:sz w:val="24"/>
        </w:rPr>
        <w:t>这说明星火不是依赖单次演示脚本的概念原型，而是已经具备一定工程回归能力的真实系统。</w:t>
      </w:r>
    </w:p>
    <w:p>
      <w:pPr>
        <w:spacing w:line="360" w:lineRule="auto" w:before="0" w:after="0"/>
        <w:ind w:firstLine="420"/>
      </w:pPr>
      <w:r>
        <w:rPr>
          <w:rFonts w:ascii="宋体" w:hAnsi="宋体" w:eastAsia="宋体"/>
          <w:b w:val="0"/>
          <w:sz w:val="24"/>
        </w:rPr>
        <w:t>除功能与性能外，项目还保留了多类系统级稳定性证据：</w:t>
      </w:r>
    </w:p>
    <w:p>
      <w:pPr>
        <w:spacing w:line="360" w:lineRule="auto" w:before="0" w:after="0"/>
        <w:ind w:firstLine="0"/>
      </w:pPr>
      <w:r>
        <w:rPr>
          <w:rFonts w:ascii="宋体" w:hAnsi="宋体" w:eastAsia="宋体"/>
          <w:b w:val="0"/>
          <w:sz w:val="24"/>
        </w:rPr>
        <w:t>1. from-zero rebuild、fresh build、env-check、smoke 等工程闸门文档已经存在。</w:t>
      </w:r>
    </w:p>
    <w:p>
      <w:pPr>
        <w:spacing w:line="360" w:lineRule="auto" w:before="0" w:after="0"/>
        <w:ind w:firstLine="0"/>
      </w:pPr>
      <w:r>
        <w:rPr>
          <w:rFonts w:ascii="宋体" w:hAnsi="宋体" w:eastAsia="宋体"/>
          <w:b w:val="0"/>
          <w:sz w:val="24"/>
        </w:rPr>
        <w:t>2. OpenClaw、Mirofish、Theater、Simulation、Learning Report 等专项能力已有独立验收或专项测试材料。</w:t>
      </w:r>
    </w:p>
    <w:p>
      <w:pPr>
        <w:spacing w:line="360" w:lineRule="auto" w:before="0" w:after="0"/>
        <w:ind w:firstLine="0"/>
      </w:pPr>
      <w:r>
        <w:rPr>
          <w:rFonts w:ascii="宋体" w:hAnsi="宋体" w:eastAsia="宋体"/>
          <w:b w:val="0"/>
          <w:sz w:val="24"/>
        </w:rPr>
        <w:t>3. Flutter、Go Gateway 和 Python AI Engine 已形成相对稳定的接口边界和职责分层。</w:t>
      </w:r>
    </w:p>
    <w:p>
      <w:pPr>
        <w:spacing w:line="360" w:lineRule="auto" w:before="0" w:after="0"/>
        <w:ind w:firstLine="0"/>
      </w:pPr>
      <w:r>
        <w:rPr>
          <w:rFonts w:ascii="宋体" w:hAnsi="宋体" w:eastAsia="宋体"/>
          <w:b w:val="0"/>
          <w:sz w:val="24"/>
        </w:rPr>
        <w:t>4. 数据库 schema、模块文档、开发文档和测试文档之间已经能形成交叉印证。</w:t>
      </w:r>
    </w:p>
    <w:p>
      <w:pPr>
        <w:spacing w:line="360" w:lineRule="auto" w:before="0" w:after="0"/>
        <w:ind w:firstLine="420"/>
      </w:pPr>
      <w:r>
        <w:rPr>
          <w:rFonts w:ascii="宋体" w:hAnsi="宋体" w:eastAsia="宋体"/>
          <w:b w:val="0"/>
          <w:sz w:val="24"/>
        </w:rPr>
        <w:t>为保证技术结论诚实，当前仍需补强的部分单列如下：</w:t>
      </w:r>
    </w:p>
    <w:p>
      <w:pPr>
        <w:spacing w:line="360" w:lineRule="auto" w:before="0" w:after="0"/>
        <w:ind w:firstLine="0"/>
      </w:pPr>
      <w:r>
        <w:rPr>
          <w:rFonts w:ascii="宋体" w:hAnsi="宋体" w:eastAsia="宋体"/>
          <w:b w:val="0"/>
          <w:sz w:val="24"/>
        </w:rPr>
        <w:t>1. 真机音频、触觉、通知、系统分享和前后台恢复仍需进一步统一签收。</w:t>
      </w:r>
    </w:p>
    <w:p>
      <w:pPr>
        <w:spacing w:line="360" w:lineRule="auto" w:before="0" w:after="0"/>
        <w:ind w:firstLine="0"/>
      </w:pPr>
      <w:r>
        <w:rPr>
          <w:rFonts w:ascii="宋体" w:hAnsi="宋体" w:eastAsia="宋体"/>
          <w:b w:val="0"/>
          <w:sz w:val="24"/>
        </w:rPr>
        <w:t>2. 个别高级多 Agent 场景仍可继续优化演示脚本和评审呈现方式。</w:t>
      </w:r>
    </w:p>
    <w:p>
      <w:pPr>
        <w:spacing w:line="360" w:lineRule="auto" w:before="0" w:after="0"/>
        <w:ind w:firstLine="0"/>
      </w:pPr>
      <w:r>
        <w:rPr>
          <w:rFonts w:ascii="宋体" w:hAnsi="宋体" w:eastAsia="宋体"/>
          <w:b w:val="0"/>
          <w:sz w:val="24"/>
        </w:rPr>
        <w:t>3. 若总决赛需要更强的学术支撑，可在保持正文简洁的前提下补充尾注、论文与官方资料来源。</w:t>
      </w:r>
    </w:p>
    <w:p>
      <w:pPr>
        <w:pStyle w:val="3"/>
        <w:ind w:firstLine="480"/>
      </w:pPr>
    </w:p>
    <w:p>
      <w:pPr>
        <w:pStyle w:val="3"/>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28000931"/>
    <w:rsid w:val="5A4E029F"/>
    <w:rsid w:val="5D745F12"/>
    <w:rsid w:val="5FDC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uiPriority w:val="99"/>
    <w:rPr>
      <w:rFonts w:ascii="宋体"/>
      <w:sz w:val="18"/>
      <w:szCs w:val="18"/>
    </w:rPr>
  </w:style>
  <w:style w:type="paragraph" w:styleId="16">
    <w:name w:val="annotation text"/>
    <w:basedOn w:val="1"/>
    <w:link w:val="109"/>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uiPriority w:val="0"/>
    <w:pPr>
      <w:spacing w:after="120"/>
    </w:pPr>
    <w:rPr>
      <w:sz w:val="24"/>
    </w:rPr>
  </w:style>
  <w:style w:type="paragraph" w:styleId="19">
    <w:name w:val="Body Text Indent"/>
    <w:basedOn w:val="1"/>
    <w:link w:val="180"/>
    <w:unhideWhenUsed/>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8</Pages>
  <Words>236</Words>
  <Characters>1350</Characters>
  <Lines>11</Lines>
  <Paragraphs>3</Paragraphs>
  <TotalTime>7</TotalTime>
  <ScaleCrop>false</ScaleCrop>
  <LinksUpToDate>false</LinksUpToDate>
  <CharactersWithSpaces>1583</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2025-11-27T14:21:40Z</dcterms:modified>
  <dc:title>星火-技术研究报告</dc:title>
  <cp:revision>160</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AFD190F985D8447E8C08A12A34F8BACF_12</vt:lpwstr>
  </property>
</Properties>
</file>