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113" w:name="_GoBack"/>
            <w:bookmarkEnd w:id="11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项目测试文档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0.7.0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目录</w:t>
      </w:r>
      <w:r>
        <w:rPr>
          <w:rStyle w:val="64"/>
          <w:rFonts w:asciiTheme="minorHAnsi" w:hAnsiTheme="minorHAnsi"/>
          <w:b w:val="0"/>
        </w:rPr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"_Toc56721227"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测试计划</w:t>
      </w:r>
      <w:r>
        <w:tab/>
      </w:r>
      <w:r>
        <w:fldChar w:fldCharType="begin"/>
      </w:r>
      <w:r>
        <w:instrText xml:space="preserve"> PAGEREF _Toc56721227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"_Toc56721228"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测试策略与目标</w:t>
      </w:r>
      <w:r>
        <w:tab/>
      </w:r>
      <w:r>
        <w:fldChar w:fldCharType="begin"/>
      </w:r>
      <w:r>
        <w:instrText xml:space="preserve"> PAGEREF _Toc56721228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"_Toc56721229"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测试范围</w:t>
      </w:r>
      <w:r>
        <w:tab/>
      </w:r>
      <w:r>
        <w:fldChar w:fldCharType="begin"/>
      </w:r>
      <w:r>
        <w:instrText xml:space="preserve"> PAGEREF _Toc56721229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"_Toc56721230"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测试环境</w:t>
      </w:r>
      <w:r>
        <w:tab/>
      </w:r>
      <w:r>
        <w:fldChar w:fldCharType="begin"/>
      </w:r>
      <w:r>
        <w:instrText xml:space="preserve"> PAGEREF _Toc56721230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"_Toc56721231"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单元测试</w:t>
      </w:r>
      <w:r>
        <w:tab/>
      </w:r>
      <w:r>
        <w:fldChar w:fldCharType="begin"/>
      </w:r>
      <w:r>
        <w:instrText xml:space="preserve"> PAGEREF _Toc56721231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2.1</w:t>
        <w:tab/>
        <w:t>AI 对话与主链编排</w:t>
        <w:tab/>
        <w:t>2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"_Toc56721233" </w:instrText>
      </w:r>
      <w:r>
        <w:fldChar w:fldCharType="separate"/>
      </w:r>
      <w:r>
        <w:rPr>
          <w:rStyle w:val="63"/>
          <w:rFonts w:cs="Times New Roman"/>
        </w:rPr>
        <w:t>2.1.1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"_Toc56721234" </w:instrText>
      </w:r>
      <w:r>
        <w:fldChar w:fldCharType="separate"/>
      </w:r>
      <w:r>
        <w:rPr>
          <w:rStyle w:val="63"/>
          <w:rFonts w:cs="Times New Roman"/>
        </w:rPr>
        <w:t>2.1.2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"_Toc56721235" </w:instrText>
      </w:r>
      <w:r>
        <w:fldChar w:fldCharType="separate"/>
      </w:r>
      <w:r>
        <w:rPr>
          <w:rStyle w:val="63"/>
          <w:rFonts w:cs="Times New Roman"/>
        </w:rPr>
        <w:t>2.1.3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2.2</w:t>
        <w:tab/>
        <w:t>学习规划与任务执行</w:t>
        <w:tab/>
        <w:t>2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"_Toc56721237"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功能测试</w:t>
      </w:r>
      <w:r>
        <w:tab/>
      </w:r>
      <w:r>
        <w:fldChar w:fldCharType="begin"/>
      </w:r>
      <w:r>
        <w:instrText xml:space="preserve"> PAGEREF _Toc56721237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3.1</w:t>
        <w:tab/>
        <w:t>AI 对话与主链编排</w:t>
        <w:tab/>
        <w:t>3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"_Toc56721239" </w:instrText>
      </w:r>
      <w:r>
        <w:fldChar w:fldCharType="separate"/>
      </w:r>
      <w:r>
        <w:rPr>
          <w:rStyle w:val="63"/>
          <w:rFonts w:cs="Times New Roman"/>
        </w:rPr>
        <w:t>3.1.1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"_Toc56721240" </w:instrText>
      </w:r>
      <w:r>
        <w:fldChar w:fldCharType="separate"/>
      </w:r>
      <w:r>
        <w:rPr>
          <w:rStyle w:val="63"/>
          <w:rFonts w:cs="Times New Roman"/>
        </w:rPr>
        <w:t>3.1.2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"_Toc56721241" </w:instrText>
      </w:r>
      <w:r>
        <w:fldChar w:fldCharType="separate"/>
      </w:r>
      <w:r>
        <w:rPr>
          <w:rStyle w:val="63"/>
          <w:rFonts w:cs="Times New Roman"/>
        </w:rPr>
        <w:t>3.1.3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3.2</w:t>
        <w:tab/>
        <w:t>学习规划与任务执行</w:t>
        <w:tab/>
        <w:t>3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"_Toc56721243"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系统测试</w:t>
      </w:r>
      <w:r>
        <w:tab/>
      </w:r>
      <w:r>
        <w:fldChar w:fldCharType="begin"/>
      </w:r>
      <w:r>
        <w:instrText xml:space="preserve"> PAGEREF _Toc56721243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"_Toc56721244"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模型性能测试</w:t>
      </w:r>
      <w:r>
        <w:tab/>
      </w:r>
      <w:r>
        <w:fldChar w:fldCharType="begin"/>
      </w:r>
      <w:r>
        <w:instrText xml:space="preserve"> PAGEREF _Toc56721244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"_Toc56721245" </w:instrText>
      </w:r>
      <w:r>
        <w:fldChar w:fldCharType="separate"/>
      </w:r>
      <w:r>
        <w:rPr>
          <w:rStyle w:val="63"/>
          <w:rFonts w:cs="Times New Roman"/>
        </w:rPr>
        <w:t>4.1.1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"_Toc56721246" </w:instrText>
      </w:r>
      <w:r>
        <w:fldChar w:fldCharType="separate"/>
      </w:r>
      <w:r>
        <w:rPr>
          <w:rStyle w:val="63"/>
          <w:rFonts w:cs="Times New Roman"/>
        </w:rPr>
        <w:t>4.1.2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"_Toc56721247" </w:instrText>
      </w:r>
      <w:r>
        <w:fldChar w:fldCharType="separate"/>
      </w:r>
      <w:r>
        <w:rPr>
          <w:rStyle w:val="63"/>
          <w:rFonts w:cs="Times New Roman"/>
        </w:rPr>
        <w:t>4.1.3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补全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重构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0.4.0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章节补全、表格渲染修正、语言润色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升级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0.5.0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按总决赛标准重构，强化 China-first 叙事与竞品分析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完善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0.6.0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全模块完成、语言精炼、章节内容饱满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0.7.0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严格贴合模板章节，修复空白节、错位节与重复内容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21227"/>
      <w:bookmarkStart w:id="1" w:name="_Toc56711384"/>
      <w:bookmarkStart w:id="2" w:name="_Toc56710946"/>
      <w:bookmarkStart w:id="3" w:name="_Toc56710839"/>
      <w:bookmarkStart w:id="4" w:name="_Toc56711137"/>
      <w:bookmarkStart w:id="5" w:name="_Toc331243603"/>
      <w:bookmarkStart w:id="6" w:name="_Toc331238769"/>
      <w:bookmarkStart w:id="7" w:name="_Toc331238830"/>
      <w:bookmarkStart w:id="8" w:name="_Toc331545160"/>
      <w:bookmarkStart w:id="9" w:name="_Toc331243703"/>
      <w:bookmarkStart w:id="10" w:name="_Toc331243782"/>
      <w:bookmarkStart w:id="11" w:name="_Toc331243882"/>
      <w:r>
        <w:t>测试</w:t>
      </w:r>
      <w:r>
        <w:rPr>
          <w:rFonts w:hint="eastAsia"/>
        </w:rPr>
        <w:t>计划</w:t>
      </w:r>
      <w:bookmarkEnd w:id="0"/>
      <w:bookmarkEnd w:id="1"/>
      <w:bookmarkEnd w:id="2"/>
      <w:bookmarkEnd w:id="3"/>
      <w:bookmarkEnd w:id="4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</w:p>
    <w:p>
      <w:pPr>
        <w:pStyle w:val="4"/>
      </w:pPr>
      <w:bookmarkStart w:id="12" w:name="_Toc56711385"/>
      <w:bookmarkStart w:id="13" w:name="_Toc56721228"/>
      <w:bookmarkStart w:id="14" w:name="_Toc56710947"/>
      <w:bookmarkStart w:id="15" w:name="_Toc56710840"/>
      <w:bookmarkStart w:id="16" w:name="_Toc56711138"/>
      <w:r>
        <w:rPr>
          <w:rFonts w:hint="eastAsia"/>
        </w:rPr>
        <w:t>测试策略与目标</w:t>
      </w:r>
      <w:bookmarkEnd w:id="12"/>
      <w:bookmarkEnd w:id="13"/>
      <w:bookmarkEnd w:id="14"/>
      <w:bookmarkEnd w:id="15"/>
      <w:bookmarkEnd w:id="1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星火采用“单元测试 + 功能测试 + 系统测试 + benchmark + 工程闸门 + 人工验收”的组合测试策略。测试目标不是证明某一段代码可以运行，而是证明总决赛范围内的全部 10 个功能模块都具备可说明、可验证、可回归的质量基础。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本轮测试策略强调以下五点：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全模块覆盖：项目开发文档 4.2 中涉及到的 10 个功能模块全部进入单元测试和功能测试范围。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创新能力重点覆盖：OpenClaw、Mirofish、知识星图、GraphRAG、学习报告、剧场、模拟、BGM 与多感官体验必须出现在测试文档中。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系统级可信：除模块级测试外，保留构建、smoke、from-zero rebuild、性能阈值和剩余边界等系统级证据。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结果表达真实：明确写出“已完成验证的部分”和“仍待统一签收的部分”，不把未完成项包装成已完成项。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面向比赛展示：测试输出既服务日常回归，也服务比赛评审，强调“评委能看懂我们在测什么、为什么这样测”。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【图位：图Q1  星火测试体系图（单元测试 -&gt; 功能测试 -&gt; 系统测试 -&gt; 验收）】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</w:r>
    </w:p>
    <w:p>
      <w:pPr>
        <w:pStyle w:val="4"/>
      </w:pPr>
      <w:bookmarkStart w:id="17" w:name="_Toc56721229"/>
      <w:bookmarkStart w:id="18" w:name="_Toc56711386"/>
      <w:bookmarkStart w:id="19" w:name="_Toc56711139"/>
      <w:bookmarkStart w:id="20" w:name="_Toc56710841"/>
      <w:bookmarkStart w:id="21" w:name="_Toc56710948"/>
      <w:r>
        <w:rPr>
          <w:rFonts w:hint="eastAsia"/>
        </w:rPr>
        <w:t>测试范围</w:t>
      </w:r>
      <w:bookmarkEnd w:id="17"/>
      <w:bookmarkEnd w:id="18"/>
      <w:bookmarkEnd w:id="19"/>
      <w:bookmarkEnd w:id="20"/>
      <w:bookmarkEnd w:id="2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本轮测试范围按照“模块逻辑 -&gt; 用户场景 -&gt; 系统级稳定性”三层展开，既覆盖开发文档 4.2 中的全部功能模块，也覆盖演示与上线前最容易出问题的系统级环节。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范围层级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覆盖对象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10 个功能模块的核心逻辑、状态流转、关键接口、规则判断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功能测试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10 个功能模块在用户视角下的主要交互场景和关键结果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系统测试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环境与工程闸门、性能阈值、混沌/弹性验证、剩余边界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验收补充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真机体验、演示脚本、专项回归和系统级快照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4"/>
      </w:pPr>
      <w:bookmarkStart w:id="22" w:name="_Toc56711140"/>
      <w:bookmarkStart w:id="23" w:name="_Toc56711387"/>
      <w:bookmarkStart w:id="24" w:name="_Toc56710842"/>
      <w:bookmarkStart w:id="25" w:name="_Toc56721230"/>
      <w:bookmarkStart w:id="26" w:name="_Toc56710949"/>
      <w:r>
        <w:rPr>
          <w:rFonts w:hint="eastAsia"/>
        </w:rPr>
        <w:t>测试环境</w:t>
      </w:r>
      <w:bookmarkEnd w:id="22"/>
      <w:bookmarkEnd w:id="23"/>
      <w:bookmarkEnd w:id="24"/>
      <w:bookmarkEnd w:id="25"/>
      <w:bookmarkEnd w:id="2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测试环境遵循“与真实工程保持一致、同时便于重复回归”的原则。除自动化测试环境外，也保留了联调环境和真机环境，用于验证多感官体验、弱网场景和系统级边界。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测试环境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3.11 + pytest + PostgreSQL + Redis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测试环境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运行环境 + 标准测试框架 + benchmark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测试环境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test + widget / integration / performance 级回归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联调环境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 + Redis + MinIO + Go Gateway + Python AI Engine + Flutter 客户端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bookmarkStart w:id="27" w:name="_Toc56711141"/>
      <w:bookmarkStart w:id="28" w:name="_Toc56710950"/>
      <w:bookmarkStart w:id="29" w:name="_Toc56721231"/>
      <w:bookmarkStart w:id="30" w:name="_Toc56710843"/>
      <w:bookmarkStart w:id="31" w:name="_Toc56711388"/>
      <w:r>
        <w:rPr>
          <w:rFonts w:hint="eastAsia"/>
        </w:rPr>
        <w:t>单元测试</w:t>
      </w:r>
      <w:bookmarkEnd w:id="27"/>
      <w:bookmarkEnd w:id="28"/>
      <w:bookmarkEnd w:id="29"/>
      <w:bookmarkEnd w:id="30"/>
      <w:bookmarkEnd w:id="3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单元测试覆盖矩阵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单元测试覆盖重点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关键入口/对象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当前结论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对话与主链编排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上下文组织、澄清、主链路由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主编排器、意图识别、充分性检查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已覆盖主链核心逻辑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学习规划与任务执行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计划生成、任务拆解、状态更新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计划服务、任务服务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已具备任务链路验证基础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知识星图与 GraphRAG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节点查询、关系更新、路径推理、检索融合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图谱服务、GraphRAG 相关逻辑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已具备专项能力验证基础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多 Agent 协作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路由、协作模式、聚合与重规划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协作工作流、专家路由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已具备专项回归基础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执行闭环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0-4、ExecutionIntent、TrustEngine、回流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执行闭环服务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已具备完整分阶段回归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数据聚合、报告生成、建议输出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报告服务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已具备专项回归基础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知识剧场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路径推演、解释生成、状态联动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剧场服务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已具备专项验证基础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学习模拟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场景初始化、轮次推进、结果反馈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模拟引擎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已具备专项验证基础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成就契约与成长反馈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触发规则、状态变更、成长写入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成就/契约服务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已具备规则级验证基础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 与多感官体验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模式切换、恢复逻辑、弱能力降级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端侧体验服务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已具备端侧专项验证基础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对话与主链编排</w:t>
      </w:r>
    </w:p>
    <w:p>
      <w:pPr>
        <w:pStyle w:val="5"/>
      </w:pPr>
      <w:bookmarkStart w:id="37" w:name="_Toc56711143"/>
      <w:bookmarkStart w:id="38" w:name="_Toc56710952"/>
      <w:bookmarkStart w:id="39" w:name="_Toc56710845"/>
      <w:bookmarkStart w:id="40" w:name="_Toc56721233"/>
      <w:bookmarkStart w:id="41" w:name="_Toc56711390"/>
      <w:r>
        <w:rPr>
          <w:rFonts w:hint="eastAsia"/>
        </w:rPr>
        <w:t>测试用例与结果分析</w:t>
      </w:r>
      <w:bookmarkEnd w:id="37"/>
      <w:bookmarkEnd w:id="38"/>
      <w:bookmarkEnd w:id="39"/>
      <w:bookmarkEnd w:id="40"/>
      <w:bookmarkEnd w:id="41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单元测试用例：围绕主链入口、充分性检查、模块分流和结果合成设计 4 组标准化单元测试用例。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UT-01 / UT-02 / UT-03 / UT-04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测试单元描述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UT-01：主链编排入口</w:t>
              <w:br/>
              <w:t>UT-02：信息充分性检查</w:t>
              <w:br/>
              <w:t>UT-03：模块分流</w:t>
              <w:br/>
              <w:t>UT-04：结果合成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UT-01：验证用户输入能稳定进入主链</w:t>
              <w:br/>
              <w:t>UT-02：验证信息不足时能触发澄清</w:t>
              <w:br/>
              <w:t>UT-03：验证主链能进入规划/图谱/协作/执行</w:t>
              <w:br/>
              <w:t>UT-04：验证结构化结果可继续推进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UT-01：会话环境与状态读取可用</w:t>
              <w:br/>
              <w:t>UT-02：澄清策略已加载</w:t>
              <w:br/>
              <w:t>UT-03：模块路由表可用</w:t>
              <w:br/>
              <w:t>UT-04：各子链路返回正常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UT-01：主链入口 smoke 已通过</w:t>
              <w:br/>
              <w:t>UT-02：需覆盖信息不足场景</w:t>
              <w:br/>
              <w:t>UT-03：覆盖多类目标输入</w:t>
              <w:br/>
              <w:t>UT-04：关注输出可读性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UT-01：依赖上下文构建与消息接收</w:t>
              <w:br/>
              <w:t>UT-02：依赖状态建模与规则判断</w:t>
              <w:br/>
              <w:t>UT-03：依赖意图识别与路由器</w:t>
              <w:br/>
              <w:t>UT-04：依赖结果聚合与回写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期望输出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实际输出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输入学习目标/问题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主链成功接收并装配上下文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符合预期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构造信息不足场景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系统触发澄清或说明缺失项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符合预期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触发不同路由类型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进入对应模块并返回下一步动作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符合预期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</w:tbl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测试结果分析：4 组用例均达到预期，说明主链在单元级别已具备稳定的接入、判断、分流与合成能力。</w:t>
      </w:r>
    </w:p>
    <w:p>
      <w:pPr>
        <w:ind w:firstLine="480"/>
      </w:pPr>
    </w:p>
    <w:p>
      <w:pPr>
        <w:pStyle w:val="5"/>
      </w:pPr>
      <w:bookmarkStart w:id="42" w:name="_Toc56721234"/>
      <w:bookmarkStart w:id="43" w:name="_Toc56711144"/>
      <w:bookmarkStart w:id="44" w:name="_Toc56710953"/>
      <w:bookmarkStart w:id="45" w:name="_Toc56710846"/>
      <w:bookmarkStart w:id="46" w:name="_Toc56711391"/>
      <w:r>
        <w:rPr>
          <w:rFonts w:hint="eastAsia"/>
        </w:rPr>
        <w:t>测试结果综合分析及建议</w:t>
      </w:r>
      <w:bookmarkEnd w:id="42"/>
      <w:bookmarkEnd w:id="43"/>
      <w:bookmarkEnd w:id="44"/>
      <w:bookmarkEnd w:id="45"/>
      <w:bookmarkEnd w:id="4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当前主链已具备稳定验证基础。后续仍可继续补充极端长会话、异常上下文和快速切场景等边界回归。</w:t>
      </w:r>
    </w:p>
    <w:p>
      <w:pPr>
        <w:pStyle w:val="3"/>
        <w:ind w:firstLine="480"/>
      </w:pPr>
    </w:p>
    <w:p>
      <w:pPr>
        <w:pStyle w:val="5"/>
      </w:pPr>
      <w:bookmarkStart w:id="47" w:name="_Toc56710847"/>
      <w:bookmarkStart w:id="48" w:name="_Toc56711145"/>
      <w:bookmarkStart w:id="49" w:name="_Toc56710954"/>
      <w:bookmarkStart w:id="50" w:name="_Toc56711392"/>
      <w:bookmarkStart w:id="51" w:name="_Toc56721235"/>
      <w:r>
        <w:rPr>
          <w:rFonts w:hint="eastAsia"/>
        </w:rPr>
        <w:t>测试经验总结</w:t>
      </w:r>
      <w:bookmarkEnd w:id="47"/>
      <w:bookmarkEnd w:id="48"/>
      <w:bookmarkEnd w:id="49"/>
      <w:bookmarkEnd w:id="50"/>
      <w:bookmarkEnd w:id="5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主链类模块最容易因为上下文丢失或状态判断失真而带来连锁问题，因此必须把澄清、分流和状态读取一起测，而不能拆开孤立测试。</w:t>
      </w:r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2.2 学习规划与任务执行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2.2.1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计划生成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是否能根据目标输出阶段计划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任务拆解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是否能生成可执行任务项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优先级与约束处理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是否能考虑时间、难度和当前状态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状态更新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任务推进后是否能回写状态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本模块测试重点是“可执行性”，而不是文本看起来是否完整。只要计划不能继续转成行动，模块就没有真正成立。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2.2.2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当前该模块已具备“目标 -&gt; 计划 -&gt; 任务 -&gt; 状态更新”的主链验证基础。后续建议继续补充超长周期目标和多约束场景下的回归样本。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2.2.3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计划模块的单元测试不能只验证输出内容，还要验证任务粒度是否合理、是否能够接回主链。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2.3 知识星图与 GraphRAG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2.3.1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知识节点查询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节点与关系是否正确返回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掌握度状态更新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用户节点状态是否能正确写回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GraphRAG 检索融合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向量检索与图关系是否共同支撑路径推荐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推荐路径是否具备基本可解释性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这一模块是星火区别于普通资料整理或搜索工具的核心之一，因此测试既关注“查得到”，也关注“推得通”。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2.3.2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知识星图链路已经具备专项验证基础。后续可继续补充更细粒度的图谱样例和与真实界面联动的回归材料。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2.3.3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图谱类模块必须同时测试数据正确性、关系合理性和路径解释性，三者缺一不可。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2.4 Mirofish 多 Agent 协作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2.4.1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专家路由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能否把问题分配给合适专家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协作模式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sequential / parallel / debate / delegation 是否可运行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结果聚合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多专家结果是否能稳定合并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重规划触发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必要时是否能触发后续重规划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该模块的测试重点不是“多几个角色”，而是“协作是否真的在产生结构化价值”。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2.4.2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已形成专项回归基础。后续重点是让复杂协作场景在演示中更易理解，并继续压缩非必要分支。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2.4.3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 Agent 模块要重点验证“协作稳定性”和“聚合解释性”，而不只是单个专家是否能回答问题。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2.5 OpenClaw 执行闭环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2.5.1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0-4 主链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路由、构建、翻译、执行、回流是否串通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ExecutionIntent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结构化执行协议是否完整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TrustEngine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信任等级与回流规则是否正确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拒绝与降级路径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高风险或低可信结果是否会被拦截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是当前最重要的创新模块之一，因此测试不只看“能不能执行”，还要看“能不能在边界内执行”。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2.5.2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该模块已具备完整分阶段回归基础，是目前最强的专项测试模块之一。后续仍应保留高风险场景的人类接管口径。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2.5.3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执行闭环类模块必须把“能力增强”和“风险治理”一起测试，否则就会变成不可控黑盒。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2.6 学习报告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2.6.1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数据聚合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是否能汇总计划、任务、图谱与执行数据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报告生成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是否能输出结构化反馈与建议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跳转入口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报告结果能否衔接后续动作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趋势表达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是否能形成阶段变化摘要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学习报告模块的单元测试重点在于“反馈能否真正指导下一步”，而不是报告字数是否足够多。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2.6.2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当前报告链路已具备专项回归基础。后续建议补强更高质量的截图和评审版解释材料。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2.6.3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报告模块不能只看生成成功，还要看结果是否可读、是否能导向下一步操作。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2.7 知识剧场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2.7.1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路径推演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是否能生成路径推演结果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预测解释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是否能给出清晰解释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图谱联动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是否与知识星图保持一致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状态提示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是否能说明预测结果的边界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知识剧场模块属于解释型能力，因此测试重点是“说得清楚”而不是“页面看起来炫”。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2.7.2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该模块已具备专项验证基础。后续可进一步标准化评审演示中的文字说明和关键截图。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2.7.3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预测与推演类模块必须显式标注边界，避免用户把“趋势判断”误解为“确定结论”。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2.8 学习模拟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2.8.1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场景初始化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角色和场景是否正确加载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轮次推进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多轮模拟是否可稳定运行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结果反馈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是否能返回结构化结果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上下文保持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多轮互动中上下文是否基本稳定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学习模拟模块的测试重点是“互动过程能否稳定维持”，而不仅仅是结果能否生成。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2.8.2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当前学习模拟已具备专项验证基础。后续应继续补充长轮次、复杂角色和人工验收材料。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2.8.3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模拟模块最需要警惕的是上下文错位、轮次跳变和角色设定漂移。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2.9 成就契约与成长反馈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2.9.1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规则满足时是否正确触发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契约进度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是否能正确更新持续行为进度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反馈展示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是否能返回正确的成长提示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去重控制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是否避免重复或过度触发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该模块的重点在于“反馈准确且克制”，避免把成长系统做成频繁打扰用户的提示系统。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2.9.2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当前该模块已具备规则级验证基础。后续可继续补充更强的体验层证据和真实展示素材。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2.9.3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成长反馈类模块必须把触发条件、展示时机和去打扰策略一起纳入测试。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2.10 BGM 与多感官体验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2.10.1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模式切换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不同场景模式是否可切换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音频恢复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路由切换后是否能恢复正确音景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弱能力降级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无法使用某项能力时是否能平滑降级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状态同步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模式状态是否与页面路由保持一致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多感官模块与常规功能不同，它既要测逻辑，也要测端侧能力缺失时的行为，因此单元测试更强调边界与恢复能力。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2.10.2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当前端侧专项验证已存在，但真机环境下的统一签收仍是后续重点。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2.10.3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多感官模块最容易受设备差异影响，因此必须把“能力缺失时如何降级”纳入核心测试项。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57" w:name="_Toc56710956"/>
      <w:bookmarkStart w:id="58" w:name="_Toc56710849"/>
      <w:bookmarkStart w:id="59" w:name="_Toc56721237"/>
      <w:bookmarkStart w:id="60" w:name="_Toc56711394"/>
      <w:bookmarkStart w:id="61" w:name="_Toc56711147"/>
      <w:r>
        <w:rPr>
          <w:rFonts w:hint="eastAsia"/>
        </w:rPr>
        <w:t>功能测试</w:t>
      </w:r>
      <w:bookmarkEnd w:id="57"/>
      <w:bookmarkEnd w:id="58"/>
      <w:bookmarkEnd w:id="59"/>
      <w:bookmarkEnd w:id="60"/>
      <w:bookmarkEnd w:id="6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功能测试覆盖矩阵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典型功能场景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验证焦点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当前结论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对话与主链编排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从用户输入到主链分流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入口稳定性、澄清节奏、结果可读性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学习规划与任务执行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从目标到计划和任务推进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可执行性、任务粒度、回流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知识星图与 GraphRAG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从主题到路径推荐与节点详情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路径解释性、图谱可读性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多 Agent 协作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从复杂问题到多专家结果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协作稳定性、聚合可解释性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执行闭环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从任务到执行回流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边界控制、回流可信度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从学习数据到报告展示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反馈可读性、下一步建议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知识剧场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从目标到路径推演展示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解释清晰度、预测边界感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学习模拟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从主题到多轮模拟反馈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轮次稳定性、反馈完整性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成就契约与成长反馈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从触发条件到成长反馈展示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反馈节奏、长期连续性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 与多感官体验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从场景切换到音景/触觉反馈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端侧协调与降级能力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对话与主链编排</w:t>
      </w:r>
    </w:p>
    <w:p>
      <w:pPr>
        <w:pStyle w:val="5"/>
      </w:pPr>
      <w:bookmarkStart w:id="67" w:name="_Toc56711396"/>
      <w:bookmarkStart w:id="68" w:name="_Toc56710851"/>
      <w:bookmarkStart w:id="69" w:name="_Toc56710958"/>
      <w:bookmarkStart w:id="70" w:name="_Toc56721239"/>
      <w:bookmarkStart w:id="71" w:name="_Toc56711149"/>
      <w:r>
        <w:rPr>
          <w:rFonts w:hint="eastAsia"/>
        </w:rPr>
        <w:t>测试用例与结果分析</w:t>
      </w:r>
      <w:bookmarkEnd w:id="67"/>
      <w:bookmarkEnd w:id="68"/>
      <w:bookmarkEnd w:id="69"/>
      <w:bookmarkEnd w:id="70"/>
      <w:bookmarkEnd w:id="71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测试用例：围绕“输入目标、澄清信息、继续推进、给出下一步动作”设计 4 组标准化功能场景。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FT-01 / FT-02 / FT-03 / FT-04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功能描述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FT-01：目标输入进入主链</w:t>
              <w:br/>
              <w:t>FT-02：信息不足触发澄清</w:t>
              <w:br/>
              <w:t>FT-03：澄清后继续推进</w:t>
              <w:br/>
              <w:t>FT-04：输出下一步行动建议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FT-01：验证用户输入后能获得清晰反馈</w:t>
              <w:br/>
              <w:t>FT-02：验证系统不会直接给出失真方案</w:t>
              <w:br/>
              <w:t>FT-03：验证澄清结果能接入后续模块</w:t>
              <w:br/>
              <w:t>FT-04：验证结果具备可执行性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FT-01：对话页与主链可用</w:t>
              <w:br/>
              <w:t>FT-02：澄清策略生效</w:t>
              <w:br/>
              <w:t>FT-03：澄清轮完成</w:t>
              <w:br/>
              <w:t>FT-04：主链返回结果正常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FT-01：优先覆盖评审演示路径</w:t>
              <w:br/>
              <w:t>FT-02：覆盖缺时间/缺范围场景</w:t>
              <w:br/>
              <w:t>FT-03：需覆盖规划入口</w:t>
              <w:br/>
              <w:t>FT-04：关注结果可读性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FT-01：依赖 WebSocket 与主链编排</w:t>
              <w:br/>
              <w:t>FT-02：依赖充分性检查</w:t>
              <w:br/>
              <w:t>FT-03：依赖计划模块接口</w:t>
              <w:br/>
              <w:t>FT-04：依赖结果合成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期望结果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实际结果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输入“两周后复习完离散数学”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系统识别目标并返回主链响应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符合预期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省略必要约束条件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系统先澄清而非直接给方案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符合预期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补全信息并继续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系统输出明确下一步与后续入口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符合预期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</w:tbl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测试结果分析：该模块在用户视角下能够稳定接住输入、适时澄清并返回可继续推进的结果，满足演示要求。</w:t>
      </w:r>
    </w:p>
    <w:p>
      <w:pPr>
        <w:ind w:firstLine="480"/>
      </w:pPr>
    </w:p>
    <w:p>
      <w:pPr>
        <w:pStyle w:val="3"/>
        <w:ind w:firstLine="480"/>
      </w:pPr>
    </w:p>
    <w:p>
      <w:pPr>
        <w:pStyle w:val="5"/>
      </w:pPr>
      <w:bookmarkStart w:id="72" w:name="_Toc56710852"/>
      <w:bookmarkStart w:id="73" w:name="_Toc56710959"/>
      <w:bookmarkStart w:id="74" w:name="_Toc56711150"/>
      <w:bookmarkStart w:id="75" w:name="_Toc56721240"/>
      <w:bookmarkStart w:id="76" w:name="_Toc56711397"/>
      <w:r>
        <w:rPr>
          <w:rFonts w:hint="eastAsia"/>
        </w:rPr>
        <w:t>测试结果综合分析及建议</w:t>
      </w:r>
      <w:bookmarkEnd w:id="72"/>
      <w:bookmarkEnd w:id="73"/>
      <w:bookmarkEnd w:id="74"/>
      <w:bookmarkEnd w:id="75"/>
      <w:bookmarkEnd w:id="7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主链功能已具备可演示基础。总决赛阶段建议固定一条最稳定的评审演示路径，减少现场环境波动带来的不确定性。</w:t>
      </w:r>
    </w:p>
    <w:p>
      <w:pPr>
        <w:pStyle w:val="5"/>
      </w:pPr>
      <w:bookmarkStart w:id="77" w:name="_Toc56710960"/>
      <w:bookmarkStart w:id="78" w:name="_Toc56711398"/>
      <w:bookmarkStart w:id="79" w:name="_Toc56710853"/>
      <w:bookmarkStart w:id="80" w:name="_Toc56721241"/>
      <w:bookmarkStart w:id="81" w:name="_Toc56711151"/>
      <w:r>
        <w:rPr>
          <w:rFonts w:hint="eastAsia"/>
        </w:rPr>
        <w:t>测试经验总结</w:t>
      </w:r>
      <w:bookmarkEnd w:id="77"/>
      <w:bookmarkEnd w:id="78"/>
      <w:bookmarkEnd w:id="79"/>
      <w:bookmarkEnd w:id="80"/>
      <w:bookmarkEnd w:id="8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主链功能测试应优先围绕“用户是否马上知道系统在干什么”展开，而不只是看回复是否足够长。</w:t>
      </w:r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3.2 学习规划与任务执行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3.2.1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用户从学习目标进入计划页并确认任务拆解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目标已明确，系统能读取基础状态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输入目标 -&gt; 生成阶段计划 -&gt; 查看任务拆解 -&gt; 修改任务状态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计划可读、任务可执行、状态可更新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计划与任务链路可完成闭环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3.2.2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该模块已具备稳定演示能力。后续可继续补强多阶段复杂约束场景下的演示脚本。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3.2.3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功能测试要关注任务是否真的“可做”，而不是只看计划文案是否漂亮。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3.3 知识星图与 GraphRAG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3.3.1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用户围绕某主题查看星图并获取推荐路径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相关知识节点与关系已存在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打开知识星图 -&gt; 选择主题 -&gt; 查看节点详情与推荐路径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节点、关系、掌握度和推荐路径可解释展示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节点、关系和推荐链路可解释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3.3.2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该模块功能表现稳定，后续重点是补足更高质量的界面截图与路径案例。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3.3.3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图谱页面功能测试必须同时验证“看得懂”和“算得对”。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3.4 Mirofish 多 Agent 协作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3.4.1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复杂学习问题触发多专家协作并返回聚合结论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专家角色、协作模式与聚合逻辑已可运行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发起复杂问题 -&gt; 观察专家协作过程 -&gt; 查看聚合输出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协作路径清晰，聚合结果结构化，可继续推进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协作路径清晰，可解释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3.4.2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建议总决赛展示中优先使用结构最清晰的协作模式，避免在有限时间里展示过多分支。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3.4.3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 Agent 的功能测试不能只看“有没有多个回答”，而要看“协作是否真的提升了复杂任务处理质量”。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3.5 OpenClaw 执行闭环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3.5.1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系统识别任务可执行，进入执行、回流和信任评估流程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ExecutionIntent、执行路由和 TrustEngine 已可运行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触发可执行任务 -&gt; 查看审批与边界说明 -&gt; 观察回流结果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能完整经过执行、可信评估和主链回流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闭环成立，边界说明清晰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3.5.2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该模块已具备明显差异化展示价值。建议比赛展示中同时保留“可执行路径”和“拒绝/降级路径”的说明。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3.5.3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执行闭环的功能测试必须包含成功路径、拒绝路径和人工接管口径。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3.6 学习报告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3.6.1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用户完成阶段学习后查看报告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已存在计划、任务、图谱或执行数据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打开报告页面 -&gt; 查看总结、薄弱点、建议动作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报告可展示完成情况、薄弱点和建议动作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报告能引导用户理解当前状态并继续推进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3.6.2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该模块功能可用，后续建议增强最终视觉材料与案例说明。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3.6.3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报告功能测试要重点看“用户看完后知不知道下一步”，而不是报告字数。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3.7 知识剧场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3.7.1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用户查看路径推演与预测说明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图谱与相关状态已准备完毕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进入剧场页面 -&gt; 查看关键节点与解释说明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能表达路径趋势，并标明预测性质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剧场视图能表达关键节点与解释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3.7.2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功能链路已具备，后续可继续优化文字表达简洁度与页面信息密度。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3.7.3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解释型页面的功能测试应验证用户是否能在较短时间内抓住主结论。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3.8 学习模拟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3.8.1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用户进入模拟场景并完成多轮互动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角色设定、轮次规则与反馈逻辑已建立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进入模拟页面 -&gt; 完成多轮互动 -&gt; 查看结果反馈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模拟流程稳定，反馈结构清晰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模拟流程可运行，反馈清晰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3.8.2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功能稳定，建议固定两到三条最有代表性的模拟场景用于总决赛展示。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3.8.3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模拟功能测试最需要防止上下文错位、角色漂移和反馈跳变。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3.9 成就契约与成长反馈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3.9.1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用户完成阶段行为后触发成就或契约反馈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成就规则、契约规则和成长事件已建立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触发行为 -&gt; 查看反馈提示与成长时间线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反馈及时但不过度打扰，能够形成闭环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反馈形成闭环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3.9.2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功能可用，后续可继续补强最终视觉呈现与阶段案例材料。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3.9.3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成长反馈要保持及时但克制，功能测试要特别关注误触发和过度打扰。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3.10 BGM 与多感官体验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3.10.1 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页面切换、模式切换和弱能力降级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音频、触觉、模式配置等端侧能力已接通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切换页面与模式 -&gt; 观察音景恢复和反馈变化 -&gt; 模拟能力缺失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音景和反馈协调，能力缺失时平滑降级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音景和反馈总体协调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3.10.2 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端侧链路整体可用，真机一致性仍是后续需要进一步收口的重点。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3.10.3 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端侧体验模块的功能测试必须考虑设备差异、权限差异和前后台切换差异。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87" w:name="_Toc56711153"/>
      <w:bookmarkStart w:id="88" w:name="_Toc56710855"/>
      <w:bookmarkStart w:id="89" w:name="_Toc56710962"/>
      <w:bookmarkStart w:id="90" w:name="_Toc56721243"/>
      <w:bookmarkStart w:id="91" w:name="_Toc56711400"/>
      <w:r>
        <w:rPr>
          <w:rFonts w:hint="eastAsia"/>
        </w:rPr>
        <w:t>系统测试</w:t>
      </w:r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End w:id="87"/>
      <w:bookmarkEnd w:id="88"/>
      <w:bookmarkEnd w:id="89"/>
      <w:bookmarkEnd w:id="90"/>
      <w:bookmarkEnd w:id="91"/>
    </w:p>
    <w:p>
      <w:pPr>
        <w:pStyle w:val="4"/>
      </w:pPr>
      <w:bookmarkStart w:id="92" w:name="_Toc56710856"/>
      <w:bookmarkStart w:id="93" w:name="_Toc56711401"/>
      <w:bookmarkStart w:id="94" w:name="_Toc56710963"/>
      <w:bookmarkStart w:id="95" w:name="_Toc56711154"/>
      <w:bookmarkStart w:id="96" w:name="_Toc56721244"/>
      <w:r>
        <w:rPr>
          <w:rFonts w:hint="eastAsia"/>
        </w:rPr>
        <w:t>模型性能测试</w:t>
      </w:r>
      <w:bookmarkEnd w:id="92"/>
      <w:bookmarkEnd w:id="93"/>
      <w:bookmarkEnd w:id="94"/>
      <w:bookmarkEnd w:id="95"/>
      <w:bookmarkEnd w:id="96"/>
    </w:p>
    <w:p>
      <w:pPr>
        <w:pStyle w:val="5"/>
      </w:pPr>
      <w:bookmarkStart w:id="97" w:name="_Toc56710857"/>
      <w:bookmarkStart w:id="98" w:name="_Toc56711155"/>
      <w:bookmarkStart w:id="99" w:name="_Toc56710964"/>
      <w:bookmarkStart w:id="100" w:name="_Toc56711402"/>
      <w:bookmarkStart w:id="101" w:name="_Toc56721245"/>
      <w:r>
        <w:rPr>
          <w:rFonts w:hint="eastAsia"/>
        </w:rPr>
        <w:t>测试用例与结果分析</w:t>
      </w:r>
      <w:bookmarkEnd w:id="97"/>
      <w:bookmarkEnd w:id="98"/>
      <w:bookmarkEnd w:id="99"/>
      <w:bookmarkEnd w:id="100"/>
      <w:bookmarkEnd w:id="101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预期性能指标测试用例：围绕入口识别、充分性检查、路由吞吐和图检索四类关键性能项进行阈值型验证。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PT-01 / PT-02 / PT-03 / PT-04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性能描述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PT-01：Tier-1 意图识别延迟</w:t>
              <w:br/>
              <w:t>PT-02：信息充分性检查延迟</w:t>
              <w:br/>
              <w:t>PT-03：完整路由延迟</w:t>
              <w:br/>
              <w:t>PT-04：并发吞吐量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PT-01：验证高频意图识别满足快速分类目标。</w:t>
              <w:br/>
              <w:t>PT-02：验证澄清前检查不会阻塞主链。</w:t>
              <w:br/>
              <w:t>PT-03：验证不含外部 LLM 网络时延的完整路由满足目标。</w:t>
              <w:br/>
              <w:t>PT-04：验证单机并发场景下具备可接受吞吐能力。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PT-01：性能测试环境准备完成。</w:t>
              <w:br/>
              <w:t>PT-02：性能测试环境准备完成。</w:t>
              <w:br/>
              <w:t>PT-03：性能测试环境准备完成。</w:t>
              <w:br/>
              <w:t>PT-04：性能测试环境准备完成。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PT-01：基于现有性能测试与 benchmark 阈值。</w:t>
              <w:br/>
              <w:t>PT-02：基于现有性能测试与 benchmark 阈值。</w:t>
              <w:br/>
              <w:t>PT-03：基于现有性能测试与 benchmark 阈值。</w:t>
              <w:br/>
              <w:t>PT-04：基于现有性能测试与 benchmark 阈值。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PT-01：依赖 RequestRouter、SufficiencyChecker 和 Go Gateway benchmark。</w:t>
              <w:br/>
              <w:t>PT-02：依赖 RequestRouter、SufficiencyChecker 和 Go Gateway benchmark。</w:t>
              <w:br/>
              <w:t>PT-03：依赖 RequestRouter、SufficiencyChecker 和 Go Gateway benchmark。</w:t>
              <w:br/>
              <w:t>PT-04：依赖 RequestRouter、SufficiencyChecker 和 Go Gateway benchmark。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输入/动作</w:t>
            </w:r>
          </w:p>
        </w:tc>
        <w:tc>
          <w:tcPr>
            <w:tcW w:w="1704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期望的性能</w:t>
              <w:br/>
              <w:t>（平均值）</w:t>
            </w:r>
          </w:p>
        </w:tc>
        <w:tc>
          <w:tcPr>
            <w:tcW w:w="1705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实际的性能</w:t>
              <w:br/>
              <w:t>（平均值）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连续分类请求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10ms，P95 &lt; 25ms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见 intent performance 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充分性检查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50ms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本地回归可验证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路由/吞吐 benchmark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P95 &lt; 100ms；分类 &gt;100 req/s；路由 &gt;50 req/s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满足现有阈值断言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详细数值待统一复测</w:t>
            </w:r>
          </w:p>
        </w:tc>
      </w:tr>
    </w:tbl>
    <w:p>
      <w:pPr>
        <w:pStyle w:val="3"/>
        <w:ind w:firstLine="482"/>
        <w:rPr>
          <w:b/>
          <w:bCs/>
        </w:rPr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测试结果分析：关键性能项均已形成阈值口径，当前重点是保持比赛演示链路稳定，而不是追求脱离场景的峰值分数。</w:t>
      </w:r>
    </w:p>
    <w:p>
      <w:pPr>
        <w:ind w:firstLine="480"/>
      </w:pPr>
    </w:p>
    <w:p>
      <w:pPr>
        <w:pStyle w:val="5"/>
      </w:pPr>
      <w:bookmarkStart w:id="102" w:name="_Toc56710965"/>
      <w:bookmarkStart w:id="103" w:name="_Toc56710858"/>
      <w:bookmarkStart w:id="104" w:name="_Toc56711403"/>
      <w:bookmarkStart w:id="105" w:name="_Toc56711156"/>
      <w:bookmarkStart w:id="106" w:name="_Toc56721246"/>
      <w:r>
        <w:rPr>
          <w:rFonts w:hint="eastAsia"/>
        </w:rPr>
        <w:t>测试结果综合分析及建议</w:t>
      </w:r>
      <w:bookmarkEnd w:id="102"/>
      <w:bookmarkEnd w:id="103"/>
      <w:bookmarkEnd w:id="104"/>
      <w:bookmarkEnd w:id="105"/>
      <w:bookmarkEnd w:id="10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当前性能结果看，星火的入口识别、主链路由和图检索相关能力已经形成可复测的性能边界，足以支撑比赛展示中的核心链路。下一步建议继续统一不同机器、不同网络和不同演示脚本下的性能复测口径，避免“本地很稳、现场波动”的问题。</w:t>
      </w:r>
    </w:p>
    <w:p>
      <w:pPr>
        <w:pStyle w:val="5"/>
      </w:pPr>
      <w:bookmarkStart w:id="107" w:name="_Toc56721247"/>
      <w:bookmarkStart w:id="108" w:name="_Toc56711404"/>
      <w:bookmarkStart w:id="109" w:name="_Toc56711157"/>
      <w:bookmarkStart w:id="110" w:name="_Toc56710859"/>
      <w:bookmarkStart w:id="111" w:name="_Toc56710966"/>
      <w:r>
        <w:rPr>
          <w:rFonts w:hint="eastAsia"/>
        </w:rPr>
        <w:t>测试经验总结</w:t>
      </w:r>
      <w:bookmarkEnd w:id="5"/>
      <w:bookmarkEnd w:id="6"/>
      <w:bookmarkEnd w:id="7"/>
      <w:bookmarkEnd w:id="8"/>
      <w:bookmarkEnd w:id="9"/>
      <w:bookmarkEnd w:id="10"/>
      <w:bookmarkEnd w:id="11"/>
      <w:bookmarkEnd w:id="107"/>
      <w:bookmarkEnd w:id="108"/>
      <w:bookmarkEnd w:id="109"/>
      <w:bookmarkEnd w:id="110"/>
      <w:bookmarkEnd w:id="111"/>
      <w:bookmarkStart w:id="112" w:name="_Toc255826542"/>
      <w:bookmarkEnd w:id="11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性能测试最重要的经验不是追求单一漂亮数字，而是先守住对话入口、充分性检查、路由分流和图检索这几条最影响评审体验的关键链路。对于学生团队项目而言，稳定、可解释、能复测，比脱离场景的极限峰值更有意义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【图位：图Q2  工程闸门与系统级验证图】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4.2 环境与工程闸门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4.2.1 测试环境配置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环境项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后端联调环境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 15 + pgvector + Apache AGE + Redis 7 + MinIO + Go Gateway + Python AI Engine，通过 Docker Compose 一键启动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端测试环境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模拟器（iOS Simulator / Android Emulator）+ 真机（iOS 16+ / Android 11+），覆盖 widget 测试、集成测试和真机验收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测试环境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3.11 + pytest + asyncio_mode=auto，连接测试数据库，支持 unit / integration 两级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测试环境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标准测试框架 + benchmark，覆盖 handler、db、registry 等核心包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网络环境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 WiFi + 弱网模拟（Charles / 系统限速）；演示阶段使用固定稳定网络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4.2.2 工程闸门清单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工程闸门是系统进入演示和评审状态的最低通过标准，每次关键版本合并后须重新验证：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闸门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命令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验收标准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当前状态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from-zero rebuild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make dev-all + 完整重建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从空目录克隆后可完整构建并启动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fresh build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make gateway-dev + make grpc-server + flutter build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清洁环境下端侧与后端可独立构建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env-check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make env-check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依赖环境、配置项和关键服务全部就绪，无报错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smoke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make smoke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核心链路在最小演示路径下可启动和运行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local-backend-smoke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make local-backend-smoke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本地后端主链（WebSocket / gRPC / DB）稳定可用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端侧专项验收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真机手动 + 自动化回归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OpenClaw、Mirofish、Theater、Simulation、Report 通过专项验证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主链已通过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3"/>
        </w:rPr>
        <w:t>4.2.3 闸门失败处理规则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任意工程闸门失败时，视为当前版本不进入演示状态，需优先修复并重新验证。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闸门失败记录需在测试文档或 commit message 中标注原因和修复方式，不得跳过或忽略。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端侧真机能力部分（音频、触觉、通知）允许在文档中诚实标注“已具备基础，部分场景仍待统一签收”，但不得将未完成项包装为已完成。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4.3 混沌测试与弹性验证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混沌与弹性验证重点观察以下场景：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后端依赖波动时主链是否仍能给出可理解的降级说明。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外部执行不可信或失败时是否能正确回退并阻止错误回流。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图谱或检索链路异常时是否能退回到基础解释与保守建议模式。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端侧能力缺失时是否能平滑退化为无音频、无触觉、无通知模式。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页面快速切换、前后台切换或弱网环境下，状态是否能保持基本一致。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4.4 测试数据汇总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当前数据基础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272 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30 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112 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benchmark / 性能文件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26 个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从数据规模可以看出，测试工作并非围绕单一模块进行，而是已经覆盖主链、图谱、协作、执行、报告与端侧体验等多个层面。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4.5 当前未完全完成的系统级验证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目前仍需继续补强的系统级能力如下：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真机音频、触觉、通知和系统分享的一体化签收。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个别复杂协作和复杂模拟场景的人工验收材料。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更高质量的最终展示截图、演示录屏和评审版固定脚本。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多设备、不同权限状态下的端侧一致性验证。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【图位：图Q3  已验证能力与剩余边界矩阵图】</w:t>
      </w:r>
    </w:p>
    <w:p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1ADE7DA6"/>
    <w:rsid w:val="47DC0B74"/>
    <w:rsid w:val="554D3DE6"/>
    <w:rsid w:val="77E746F6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7</Pages>
  <Words>396</Words>
  <Characters>2259</Characters>
  <Lines>18</Lines>
  <Paragraphs>5</Paragraphs>
  <TotalTime>3</TotalTime>
  <ScaleCrop>false</ScaleCrop>
  <LinksUpToDate>false</LinksUpToDate>
  <CharactersWithSpaces>2650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2025-11-27T14:22:00Z</dcterms:modified>
  <dc:title>星火-项目测试文档</dc:title>
  <cp:revision>12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30D7143A308543B582B7B1B3A41B7915_12</vt:lpwstr>
  </property>
</Properties>
</file>