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24"/>
          <w:szCs w:val="24"/>
        </w:rPr>
      </w:pPr>
      <w:bookmarkStart w:colFirst="0" w:colLast="0" w:name="_heading=h.qg6p3yvkbzo4" w:id="0"/>
      <w:bookmarkEnd w:id="0"/>
      <w:r w:rsidDel="00000000" w:rsidR="00000000" w:rsidRPr="00000000">
        <w:rPr>
          <w:rFonts w:ascii="Arial" w:cs="Arial" w:eastAsia="Arial" w:hAnsi="Arial"/>
          <w:b w:val="1"/>
          <w:bCs w:val="1"/>
          <w:color w:val="000000"/>
          <w:sz w:val="24"/>
          <w:szCs w:val="24"/>
          <w:rtl w:val="0"/>
        </w:rPr>
        <w:t xml:space="preserve">República Bolivariana de Venezuela</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Ministerio del Poder Popular Para la Educación Universitaria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Universidad Nacional Experimental de la Gran Caracas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Programa Nacional de Formación en Informática (PNFI)</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Caracas Estado Miranda</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color w:val="000000"/>
        </w:rPr>
        <w:drawing>
          <wp:inline distB="0" distT="0" distL="0" distR="0">
            <wp:extent cx="1344117" cy="896078"/>
            <wp:effectExtent b="0" l="0" r="0" t="0"/>
            <wp:docPr id="2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44117" cy="89607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Diseñar Plataforma Web para la Gestión y Evaluación de Proyectos Socio-Tecnológicos UNEXCA</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u w:val="single"/>
        </w:rPr>
      </w:pPr>
      <w:r w:rsidDel="00000000" w:rsidR="00000000" w:rsidRPr="00000000">
        <w:rPr>
          <w:rFonts w:ascii="Arial" w:cs="Arial" w:eastAsia="Arial" w:hAnsi="Arial"/>
          <w:i w:val="1"/>
          <w:iCs w:val="1"/>
          <w:color w:val="000000"/>
          <w:u w:val="single"/>
          <w:rtl w:val="0"/>
        </w:rPr>
        <w:t xml:space="preserve">PROYECTO SOCIO TECNOLÓGICO.</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TUTOR ACADÉMICO:                                                                            AUTORES: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JOSÉ VIVAS                                                   BRUNO PALACIO C.I: 30.150.650</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RONALDO RIVERO C.I: 31.169.960</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YONDER TOISSER C.I: 30.285.810</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TUTOR COMUNITARIO:</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ANA MARIA BLANCO</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Caracas,</w:t>
      </w:r>
      <w:r w:rsidDel="00000000" w:rsidR="00000000" w:rsidRPr="00000000">
        <w:rPr>
          <w:rFonts w:ascii="Arial" w:cs="Arial" w:eastAsia="Arial" w:hAnsi="Arial"/>
          <w:sz w:val="24"/>
          <w:szCs w:val="24"/>
          <w:rtl w:val="0"/>
        </w:rPr>
        <w:t xml:space="preserve">20</w:t>
      </w:r>
      <w:r w:rsidDel="00000000" w:rsidR="00000000" w:rsidRPr="00000000">
        <w:rPr>
          <w:rFonts w:ascii="Arial" w:cs="Arial" w:eastAsia="Arial" w:hAnsi="Arial"/>
          <w:color w:val="000000"/>
          <w:sz w:val="24"/>
          <w:szCs w:val="24"/>
          <w:rtl w:val="0"/>
        </w:rPr>
        <w:t xml:space="preserve"> de </w:t>
      </w:r>
      <w:r w:rsidDel="00000000" w:rsidR="00000000" w:rsidRPr="00000000">
        <w:rPr>
          <w:rFonts w:ascii="Arial" w:cs="Arial" w:eastAsia="Arial" w:hAnsi="Arial"/>
          <w:sz w:val="24"/>
          <w:szCs w:val="24"/>
          <w:rtl w:val="0"/>
        </w:rPr>
        <w:t xml:space="preserve">noviembre</w:t>
      </w:r>
      <w:r w:rsidDel="00000000" w:rsidR="00000000" w:rsidRPr="00000000">
        <w:rPr>
          <w:rFonts w:ascii="Arial" w:cs="Arial" w:eastAsia="Arial" w:hAnsi="Arial"/>
          <w:color w:val="000000"/>
          <w:sz w:val="24"/>
          <w:szCs w:val="24"/>
          <w:rtl w:val="0"/>
        </w:rPr>
        <w:t xml:space="preserve"> del 2025</w:t>
      </w:r>
    </w:p>
    <w:p w:rsidR="00000000" w:rsidDel="00000000" w:rsidP="00000000" w:rsidRDefault="00000000" w:rsidRPr="00000000" w14:paraId="00000028">
      <w:pPr>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DEDICATORIA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 profundo respeto y gratitud, dedicamos este proyecto a nuestras familias, quienes con amor, paciencia y apoyo incondicional nos acompañaron en cada etapa de esta formación profesional. A ellos, que fueron nuestro motor diario y sostén emocional, les ofrecemos este logro como símbolo de esfuerzo compartido.</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También lo dedicamos a nuestros compañeros de clase y, especialmente, a los integrantes de este grupo de trabajo: Brando, Bruno, Ronaldo y Yonder, por su entrega, constancia y compromiso en cada fase del proceso. La unión y colaboración demostrada fueron esenciales para alcanzar esta meta común.</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Extendemos esta dedicatoria a toda la comunidad del Programa Nacional de Formación en Informática (PNFI) de la UNEXCA, quienes, a través de su participación, nos motivaron a desarrollar una solución con verdadero impacto académico y social.</w:t>
      </w:r>
    </w:p>
    <w:p w:rsidR="00000000" w:rsidDel="00000000" w:rsidP="00000000" w:rsidRDefault="00000000" w:rsidRPr="00000000" w14:paraId="0000002F">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AGRADECIMIENTO</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32">
      <w:pPr>
        <w:spacing w:line="36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Queremos expresar nuestro más sincero agradecimiento a todas las personas e instituciones que hicieron posible la realización de este proyecto sociotecnológico.</w:t>
      </w:r>
    </w:p>
    <w:p w:rsidR="00000000" w:rsidDel="00000000" w:rsidP="00000000" w:rsidRDefault="00000000" w:rsidRPr="00000000" w14:paraId="00000033">
      <w:pPr>
        <w:spacing w:line="36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Agradecemos de forma especial a nuestros profesores y tutores académicos, en particular al profesor José Vivas, por su guía constante, orientación metodológica y motivación a lo largo del proceso. Su experiencia y acompañamiento fueron claves para el desarrollo estructurado de esta propuesta.</w:t>
      </w:r>
    </w:p>
    <w:p w:rsidR="00000000" w:rsidDel="00000000" w:rsidP="00000000" w:rsidRDefault="00000000" w:rsidRPr="00000000" w14:paraId="00000034">
      <w:pPr>
        <w:spacing w:line="36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Reconocemos también la labor de la tutora comunitaria Ana María Blanco, por su disposición, apoyo y seguimiento durante el proceso de vinculación con la comunidad universitaria.</w:t>
      </w:r>
    </w:p>
    <w:p w:rsidR="00000000" w:rsidDel="00000000" w:rsidP="00000000" w:rsidRDefault="00000000" w:rsidRPr="00000000" w14:paraId="00000035">
      <w:pPr>
        <w:spacing w:line="36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Extendemos nuestro agradecimiento al personal administrativo, especialmente al equipo de Control de Estudios, por su colaboración en la gestión de trámites académicos y a todo el personal del área de Informática, por facilitar los recursos técnicos, el acceso a laboratorios y el soporte necesario para las pruebas del sistema.</w:t>
      </w:r>
    </w:p>
    <w:p w:rsidR="00000000" w:rsidDel="00000000" w:rsidP="00000000" w:rsidRDefault="00000000" w:rsidRPr="00000000" w14:paraId="00000036">
      <w:pPr>
        <w:spacing w:line="36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nuestros compañeros de sección del PNFI, gracias por su solidaridad, colaboración y aportes durante las consultas, pruebas piloto y actividades participativas. Este proyecto también es suyo, pues surgió de necesidades reales que compartimos como comunidad estudiantil.</w:t>
      </w:r>
    </w:p>
    <w:p w:rsidR="00000000" w:rsidDel="00000000" w:rsidP="00000000" w:rsidRDefault="00000000" w:rsidRPr="00000000" w14:paraId="00000037">
      <w:pPr>
        <w:spacing w:line="360" w:lineRule="auto"/>
        <w:ind w:firstLine="720"/>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Finalmente, a nuestras familias, que nos acompañaron con palabras de aliento, comprensión y apoyo incondicional durante noches de trabajo, reuniones y desafíos. Este logro es una victoria colectiva.</w:t>
      </w:r>
      <w:r w:rsidDel="00000000" w:rsidR="00000000" w:rsidRPr="00000000">
        <w:br w:type="page"/>
      </w:r>
      <w:r w:rsidDel="00000000" w:rsidR="00000000" w:rsidRPr="00000000">
        <w:rPr>
          <w:rtl w:val="0"/>
        </w:rPr>
      </w:r>
    </w:p>
    <w:p w:rsidR="00000000" w:rsidDel="00000000" w:rsidP="00000000" w:rsidRDefault="00000000" w:rsidRPr="00000000" w14:paraId="00000038">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CARTA DE ACEPTACIÓN</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UNEXCA – Programa Nacional de Formación en Informática (PNFI)</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Ciudad: Caracas, [Fecha 2025]</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Asunto: Aceptación de proyecto sociotecnológico</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Señores: Brando Martínez, Bruno Palacio, Ronaldo Rivero, Yonder Toisser – Participantes del PNFI – Presente</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medio de la presente, la Coordinación Académica del Programa Nacional de Formación en Informática (PNFI) de la Universidad Nacional Experimental de la Gran Caracas (UNEXCA) comunica la aceptación oficial del proyecto sociotecnológico titulado “Plataforma Web para la Gestión y Evaluación de Proyectos Socio-Tecnológicos” presentado por ustedes. Este sistema digital ha sido considerado pertinente y alineado con los objetivos formativos del PNFI. En consecuencia, autorizamos el inicio de las actividades correspondientes al desarrollo de la plataforma, bajo la supervisión del tutor académico designado. Sin otro particular, saludamos atentamente, esperando que este proyecto contribuya positivamente a la gestión académica del PNFI.</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Atentamente,</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color="000000" w:space="1" w:sz="12" w:val="single"/>
          <w:right w:space="0" w:sz="0" w:val="nil"/>
          <w:between w:space="0" w:sz="0" w:val="nil"/>
        </w:pBdr>
        <w:spacing w:after="0" w:line="240" w:lineRule="auto"/>
        <w:jc w:val="center"/>
        <w:rPr>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color w:val="000000"/>
          <w:rtl w:val="0"/>
        </w:rPr>
        <w:t xml:space="preserve"> CARTA DE CULMINACIÓN O IMPLEMENTACIÓN</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color w:val="000000"/>
          <w:rtl w:val="0"/>
        </w:rPr>
        <w:t xml:space="preserve"> ACTA DE VEREDICTO </w:t>
      </w:r>
      <w:r w:rsidDel="00000000" w:rsidR="00000000" w:rsidRPr="00000000">
        <w:br w:type="page"/>
      </w:r>
      <w:r w:rsidDel="00000000" w:rsidR="00000000" w:rsidRPr="00000000">
        <w:rPr>
          <w:rtl w:val="0"/>
        </w:rPr>
      </w:r>
    </w:p>
    <w:p w:rsidR="00000000" w:rsidDel="00000000" w:rsidP="00000000" w:rsidRDefault="00000000" w:rsidRPr="00000000" w14:paraId="00000049">
      <w:pPr>
        <w:keepNext w:val="1"/>
        <w:keepLines w:val="1"/>
        <w:pBdr>
          <w:top w:space="0" w:sz="0" w:val="nil"/>
          <w:left w:space="0" w:sz="0" w:val="nil"/>
          <w:bottom w:space="0" w:sz="0" w:val="nil"/>
          <w:right w:space="0" w:sz="0" w:val="nil"/>
          <w:between w:space="0" w:sz="0" w:val="nil"/>
        </w:pBdr>
        <w:spacing w:after="0" w:before="240"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ÍNDICE</w:t>
      </w:r>
    </w:p>
    <w:p w:rsidR="00000000" w:rsidDel="00000000" w:rsidP="00000000" w:rsidRDefault="00000000" w:rsidRPr="00000000" w14:paraId="0000004A">
      <w:pPr>
        <w:spacing w:line="360" w:lineRule="auto"/>
        <w:jc w:val="center"/>
        <w:rPr/>
      </w:pP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tl w:val="0"/>
        </w:rPr>
      </w:r>
    </w:p>
    <w:sdt>
      <w:sdtPr>
        <w:id w:val="2098137279"/>
        <w:docPartObj>
          <w:docPartGallery w:val="Table of Contents"/>
          <w:docPartUnique w:val="1"/>
        </w:docPartObj>
      </w:sdtPr>
      <w:sdtContent>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3m4pld0eu6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r>
          </w:hyperlink>
          <w:hyperlink w:anchor="_heading=h.a3m4pld0eu6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8kfdjvp4zk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I</w:t>
            </w:r>
          </w:hyperlink>
          <w:hyperlink w:anchor="_heading=h.t8kfdjvp4zk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8sav783iop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DIAGNÓSTICO SITUACIONAL</w:t>
            </w:r>
          </w:hyperlink>
          <w:hyperlink w:anchor="_heading=h.18sav783iop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udbaaxtsd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LOCALIZACIÓN GEOGRÁFICA Y LÍMITES DEL OBJETO DE ESTUDIO.</w:t>
              <w:tab/>
              <w:t xml:space="preserve">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mihwg2wck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Referencial.</w:t>
              <w:tab/>
              <w:t xml:space="preserve">10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0pjxukc7p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MISIÓN, VISIÓN Y VALORES DE LA COMUNIDAD O INSTITUCIÓN</w:t>
              <w:tab/>
              <w:t xml:space="preserve">10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c1rfm1zx2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FODA</w:t>
              <w:tab/>
              <w:t xml:space="preserve">11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4u8yqtlap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PLANTEAMIENTO DEL PROBLEMA</w:t>
              <w:tab/>
              <w:t xml:space="preserve">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8d60tpipc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DEL PROYECTO</w:t>
              <w:tab/>
              <w:t xml:space="preserve">13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pgxa6cv30g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14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p8kdk95ou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14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02oix2ymt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w:t>
              <w:tab/>
              <w:t xml:space="preserve">15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9vaim4zf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POBLACIÓN BENEFICIADA</w:t>
              <w:tab/>
              <w:t xml:space="preserve">16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deji8c7t9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FACTIBILIDAD</w:t>
              <w:tab/>
              <w:t xml:space="preserve">17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79znwjoahyc">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FASE II</w:t>
            </w:r>
          </w:hyperlink>
          <w:hyperlink w:anchor="_heading=h.j79znwjoahy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tuk63y5k6k5">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MARCO TEÓRICO</w:t>
            </w:r>
          </w:hyperlink>
          <w:hyperlink w:anchor="_heading=h.etuk63y5k6k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gqywwfmfbbe">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ANTECEDENTES DE LA INVESTIGACIÓN.</w:t>
            </w:r>
          </w:hyperlink>
          <w:hyperlink w:anchor="_heading=h.mgqywwfmfb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kfd8e2mpx8">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BASES TEÓRICAS</w:t>
            </w:r>
          </w:hyperlink>
          <w:hyperlink w:anchor="_heading=h.8kfd8e2mp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3vw5uvjxg6i">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BASES LEGALES</w:t>
            </w:r>
          </w:hyperlink>
          <w:hyperlink w:anchor="_heading=h.o3vw5uvjxg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yohp634a0x">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FASE III</w:t>
            </w:r>
          </w:hyperlink>
          <w:hyperlink w:anchor="_heading=h.lyohp634a0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69ygj2qfxai">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METODOLOGÍA</w:t>
            </w:r>
          </w:hyperlink>
          <w:hyperlink w:anchor="_heading=h.n69ygj2qfxa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3dt5bas1lzu">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TIPO DE INVESTIGACIÓN</w:t>
            </w:r>
          </w:hyperlink>
          <w:hyperlink w:anchor="_heading=h.e3dt5bas1l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9bpt1j9jmfj">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TÉCNICAS E INSTRUMENTOS DE RECOLECCIÓN DE DATOS</w:t>
            </w:r>
          </w:hyperlink>
          <w:hyperlink w:anchor="_heading=h.t9bpt1j9jm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fw12ueyo4pb">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POBLACIÓN Y MUESTRA</w:t>
            </w:r>
          </w:hyperlink>
          <w:hyperlink w:anchor="_heading=h.cfw12ueyo4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e0qy3v12y3v">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METODOLOGÍA APLICADA</w:t>
            </w:r>
          </w:hyperlink>
          <w:hyperlink w:anchor="_heading=h.se0qy3v12y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h2jgi2y6vt9">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REFERENCIAS BIBLIOGRÁFICAS</w:t>
            </w:r>
          </w:hyperlink>
          <w:hyperlink w:anchor="_heading=h.ch2jgi2y6vt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67r21qdhn11">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REFERENCIAS</w:t>
            </w:r>
          </w:hyperlink>
          <w:hyperlink w:anchor="_heading=h.j67r21qdhn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ÍNDICE DE FIGURA</w:t>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right" w:leader="none" w:pos="8828"/>
        </w:tabs>
        <w:spacing w:after="10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right" w:leader="none" w:pos="8828"/>
        </w:tabs>
        <w:spacing w:after="100" w:lineRule="auto"/>
        <w:rPr/>
      </w:pPr>
      <w:r w:rsidDel="00000000" w:rsidR="00000000" w:rsidRPr="00000000">
        <w:rPr>
          <w:rFonts w:ascii="Arial" w:cs="Arial" w:eastAsia="Arial" w:hAnsi="Arial"/>
          <w:b w:val="1"/>
          <w:bCs w:val="1"/>
          <w:sz w:val="24"/>
          <w:szCs w:val="24"/>
          <w:rtl w:val="0"/>
        </w:rPr>
        <w:t xml:space="preserve">FIGURA N° 1 GOOGLE MAPA</w:t>
      </w:r>
      <w:r w:rsidDel="00000000" w:rsidR="00000000" w:rsidRPr="00000000">
        <w:rPr>
          <w:rtl w:val="0"/>
        </w:rPr>
        <w:t xml:space="preserve">………………………………………………………………………………………….10</w:t>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right" w:leader="none" w:pos="8828"/>
        </w:tabs>
        <w:spacing w:after="1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CUADRO MATRIZ FODA</w:t>
      </w:r>
      <w:r w:rsidDel="00000000" w:rsidR="00000000" w:rsidRPr="00000000">
        <w:rPr>
          <w:rFonts w:ascii="Calibri" w:cs="Calibri" w:eastAsia="Calibri" w:hAnsi="Calibri"/>
          <w:color w:val="000000"/>
          <w:rtl w:val="0"/>
        </w:rPr>
        <w:t xml:space="preserve">………………………………………………………………………………………….…………….11</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sx9aqlsarbkn">
        <w:r w:rsidDel="00000000" w:rsidR="00000000" w:rsidRPr="00000000">
          <w:rPr>
            <w:rFonts w:ascii="Arial" w:cs="Arial" w:eastAsia="Arial" w:hAnsi="Arial"/>
            <w:b w:val="1"/>
            <w:bCs w:val="1"/>
            <w:color w:val="000000"/>
            <w:rtl w:val="0"/>
          </w:rPr>
          <w:t xml:space="preserve">DIAGRAMA DE GANTT</w:t>
        </w:r>
      </w:hyperlink>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jc w:val="center"/>
        <w:rPr>
          <w:rFonts w:ascii="Arial" w:cs="Arial" w:eastAsia="Arial" w:hAnsi="Arial"/>
          <w:b w:val="1"/>
          <w:bCs w:val="1"/>
          <w:color w:val="000000"/>
          <w:sz w:val="28"/>
          <w:szCs w:val="28"/>
        </w:rPr>
      </w:pPr>
      <w:bookmarkStart w:colFirst="0" w:colLast="0" w:name="_heading=h.a3m4pld0eu6e" w:id="1"/>
      <w:bookmarkEnd w:id="1"/>
      <w:r w:rsidDel="00000000" w:rsidR="00000000" w:rsidRPr="00000000">
        <w:rPr>
          <w:rFonts w:ascii="Arial" w:cs="Arial" w:eastAsia="Arial" w:hAnsi="Arial"/>
          <w:b w:val="1"/>
          <w:bCs w:val="1"/>
          <w:color w:val="000000"/>
          <w:sz w:val="28"/>
          <w:szCs w:val="28"/>
          <w:rtl w:val="0"/>
        </w:rPr>
        <w:t xml:space="preserve">INTRODUCCIÓN</w:t>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Para potenciar la gestión de los proyectos sociotecnológicos del Programa Nacional de Formación en Informática (PNFI) en la Universidad Nacional Experimental de la Gran Caracas (UNEXCA), se identifica una valiosa oportunidad de optimización. Actualmente, procesos como la entrega, el seguimiento y la evaluación de trabajos se apoyan en métodos como correos electrónicos, unidades USB y archivos impresos, lo cual abre un camino para implementar una solución unificada que centralice y agilice estas actividades.</w:t>
      </w:r>
    </w:p>
    <w:p w:rsidR="00000000" w:rsidDel="00000000" w:rsidP="00000000" w:rsidRDefault="00000000" w:rsidRPr="00000000" w14:paraId="0000007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respuesta a esta necesidad, se propone el diseño y desarrollo de una plataforma web institucional para automatizar y centralizar la gestión académica de los proyectos sociotecnológicos. Este sistema optimizará los procesos de entrega, evaluación y retroalimentación entre estudiantes, tutores y coordinadores, facilitando el acceso remoto, el control en tiempo real y una experiencia de usuario mejorada. Entre sus beneficios, se espera reducir errores administrativos, fortalecer la transparencia en las evaluaciones y visibilizar con mayor claridad el impacto social de las iniciativas estudiantiles.</w:t>
      </w:r>
    </w:p>
    <w:p w:rsidR="00000000" w:rsidDel="00000000" w:rsidP="00000000" w:rsidRDefault="00000000" w:rsidRPr="00000000" w14:paraId="0000007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consecuencia, el objetivo general de este proyecto es desarrollar un sistema digital integral que eleve la eficiencia y la calidad de la gestión de proyectos, impulsando la democratización del conocimiento y fortaleciendo el vínculo entre la universidad y la comunidad.</w:t>
      </w:r>
    </w:p>
    <w:p w:rsidR="00000000" w:rsidDel="00000000" w:rsidP="00000000" w:rsidRDefault="00000000" w:rsidRPr="00000000" w14:paraId="0000007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plataforma incluirá módulos como autenticación por roles (estudiante, tutor, coordinador), carga y revisión de documentos, evaluaciones en línea, visualización de indicadores e informes automatizados. El desarrollo se basará en tecnologías modernas y de software libre —HTML, CSS, JavaScript (con React.js para el frontend), PHP para el backend y bases de datos MySQL—, garantizando escalabilidad, accesibilidad y sostenibilidad.</w:t>
      </w:r>
    </w:p>
    <w:p w:rsidR="00000000" w:rsidDel="00000000" w:rsidP="00000000" w:rsidRDefault="00000000" w:rsidRPr="00000000" w14:paraId="0000007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este proyecto sociotecnológico se estructura en cinco fases: Fase I (Diagnóstico), Fase II (Marco Teórico), Fase III (Metodología), Fase IV (Desarrollo de la Solución) y Fase V (Evaluación e Implementación), asegurando un enfoque sistemático que permita materializar una solución viable, participativa e innovadora.</w:t>
      </w:r>
    </w:p>
    <w:p w:rsidR="00000000" w:rsidDel="00000000" w:rsidP="00000000" w:rsidRDefault="00000000" w:rsidRPr="00000000" w14:paraId="0000007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jc w:val="center"/>
        <w:rPr>
          <w:rFonts w:ascii="Arial" w:cs="Arial" w:eastAsia="Arial" w:hAnsi="Arial"/>
          <w:b w:val="1"/>
          <w:bCs w:val="1"/>
          <w:color w:val="000000"/>
          <w:sz w:val="28"/>
          <w:szCs w:val="28"/>
        </w:rPr>
      </w:pPr>
      <w:bookmarkStart w:colFirst="0" w:colLast="0" w:name="_heading=h.t8kfdjvp4zk6" w:id="2"/>
      <w:bookmarkEnd w:id="2"/>
      <w:r w:rsidDel="00000000" w:rsidR="00000000" w:rsidRPr="00000000">
        <w:rPr>
          <w:rFonts w:ascii="Arial" w:cs="Arial" w:eastAsia="Arial" w:hAnsi="Arial"/>
          <w:b w:val="1"/>
          <w:bCs w:val="1"/>
          <w:color w:val="000000"/>
          <w:sz w:val="28"/>
          <w:szCs w:val="28"/>
          <w:rtl w:val="0"/>
        </w:rPr>
        <w:t xml:space="preserve">FASE I </w:t>
      </w:r>
    </w:p>
    <w:p w:rsidR="00000000" w:rsidDel="00000000" w:rsidP="00000000" w:rsidRDefault="00000000" w:rsidRPr="00000000" w14:paraId="0000007F">
      <w:pPr>
        <w:pStyle w:val="Heading1"/>
        <w:jc w:val="center"/>
        <w:rPr>
          <w:rFonts w:ascii="Arial" w:cs="Arial" w:eastAsia="Arial" w:hAnsi="Arial"/>
          <w:b w:val="1"/>
          <w:bCs w:val="1"/>
          <w:color w:val="000000"/>
          <w:sz w:val="28"/>
          <w:szCs w:val="28"/>
        </w:rPr>
      </w:pPr>
      <w:bookmarkStart w:colFirst="0" w:colLast="0" w:name="_heading=h.18sav783iop1" w:id="3"/>
      <w:bookmarkEnd w:id="3"/>
      <w:r w:rsidDel="00000000" w:rsidR="00000000" w:rsidRPr="00000000">
        <w:rPr>
          <w:rFonts w:ascii="Arial" w:cs="Arial" w:eastAsia="Arial" w:hAnsi="Arial"/>
          <w:b w:val="1"/>
          <w:bCs w:val="1"/>
          <w:color w:val="000000"/>
          <w:sz w:val="28"/>
          <w:szCs w:val="28"/>
          <w:rtl w:val="0"/>
        </w:rPr>
        <w:t xml:space="preserve">DIAGNÓSTICO SITUACIONAL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diagnóstico situacional se inicia con una visión general del contexto de la UNEXCA, sede La Floresta, para comprender la complejidad del fenómeno de gestión de proyectos sociotecnológicos.</w:t>
      </w:r>
      <w:r w:rsidDel="00000000" w:rsidR="00000000" w:rsidRPr="00000000">
        <w:rPr>
          <w:rtl w:val="0"/>
        </w:rPr>
        <w:t xml:space="preserve"> </w:t>
      </w:r>
      <w:r w:rsidDel="00000000" w:rsidR="00000000" w:rsidRPr="00000000">
        <w:rPr>
          <w:rFonts w:ascii="Arial" w:cs="Arial" w:eastAsia="Arial" w:hAnsi="Arial"/>
          <w:sz w:val="24"/>
          <w:szCs w:val="24"/>
          <w:rtl w:val="0"/>
        </w:rPr>
        <w:t xml:space="preserve">Según la ONU-Hábitat (2014). "Un diagnóstico situacional proporciona una línea base que permite entender las condiciones actuales de un área o comunidad, priorizando necesidades para la planificación de proyectos urbanos.” Comprendiendo esto, se desarrolló un diagnóstico minucioso en la Universidad Nacional Experimental de la Gran Caracas (UNEXCA).</w:t>
      </w:r>
    </w:p>
    <w:p w:rsidR="00000000" w:rsidDel="00000000" w:rsidP="00000000" w:rsidRDefault="00000000" w:rsidRPr="00000000" w14:paraId="0000008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obstante, se evidencia que los procesos de gestión, seguimiento y evaluación de estos proyectos se ejecutan de manera dispersa, utilizando canales informales como correos electrónicos, unidades USB y archivos impresos. Esta situación ha generado problemas en la organización de la información, retrasos en las evaluaciones y dificultades para sistematizar los resultados.</w:t>
      </w:r>
    </w:p>
    <w:p w:rsidR="00000000" w:rsidDel="00000000" w:rsidP="00000000" w:rsidRDefault="00000000" w:rsidRPr="00000000" w14:paraId="0000008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pStyle w:val="Heading2"/>
        <w:spacing w:line="480" w:lineRule="auto"/>
        <w:rPr>
          <w:rFonts w:ascii="Arial" w:cs="Arial" w:eastAsia="Arial" w:hAnsi="Arial"/>
          <w:b w:val="1"/>
          <w:bCs w:val="1"/>
          <w:color w:val="000000"/>
          <w:sz w:val="24"/>
          <w:szCs w:val="24"/>
        </w:rPr>
      </w:pPr>
      <w:bookmarkStart w:colFirst="0" w:colLast="0" w:name="_heading=h.iudbaaxtsd78" w:id="4"/>
      <w:bookmarkEnd w:id="4"/>
      <w:r w:rsidDel="00000000" w:rsidR="00000000" w:rsidRPr="00000000">
        <w:rPr>
          <w:rFonts w:ascii="Arial" w:cs="Arial" w:eastAsia="Arial" w:hAnsi="Arial"/>
          <w:b w:val="1"/>
          <w:bCs w:val="1"/>
          <w:color w:val="000000"/>
          <w:sz w:val="24"/>
          <w:szCs w:val="24"/>
          <w:rtl w:val="0"/>
        </w:rPr>
        <w:t xml:space="preserve">LOCALIZACIÓN GEOGRÁFICA Y LÍMITES DEL OBJETO DE ESTUDIO.</w:t>
      </w:r>
    </w:p>
    <w:p w:rsidR="00000000" w:rsidDel="00000000" w:rsidP="00000000" w:rsidRDefault="00000000" w:rsidRPr="00000000" w14:paraId="00000085">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Universidad Nacional Experimental de la Gran Caracas (UNEXCA), núcleo La Floresta, se ubica estratégicamente en el municipio Chacao del estado Miranda, Venezuela, en el corazón del Área Metropolitana de Caracas. Sus límites están definidos por zonas residenciales y comerciales al norte, la Autopista Francisco Fajardo al sur, la urbanización La Castellana al este y la urbanización El Rosal al oeste, asegurando una excelente accesibilidad y conectividad. (Anexo A)</w:t>
      </w:r>
    </w:p>
    <w:p w:rsidR="00000000" w:rsidDel="00000000" w:rsidP="00000000" w:rsidRDefault="00000000" w:rsidRPr="00000000" w14:paraId="0000008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line="480" w:lineRule="auto"/>
        <w:rPr>
          <w:rFonts w:ascii="Arial" w:cs="Arial" w:eastAsia="Arial" w:hAnsi="Arial"/>
          <w:b w:val="1"/>
          <w:bCs w:val="1"/>
          <w:color w:val="000000"/>
          <w:sz w:val="24"/>
          <w:szCs w:val="24"/>
        </w:rPr>
      </w:pPr>
      <w:bookmarkStart w:colFirst="0" w:colLast="0" w:name="_heading=h.nmihwg2wck4o" w:id="5"/>
      <w:bookmarkEnd w:id="5"/>
      <w:r w:rsidDel="00000000" w:rsidR="00000000" w:rsidRPr="00000000">
        <w:rPr>
          <w:rFonts w:ascii="Arial" w:cs="Arial" w:eastAsia="Arial" w:hAnsi="Arial"/>
          <w:b w:val="1"/>
          <w:bCs w:val="1"/>
          <w:color w:val="000000"/>
          <w:sz w:val="24"/>
          <w:szCs w:val="24"/>
          <w:rtl w:val="0"/>
        </w:rPr>
        <w:t xml:space="preserve">Mapa Referencial.</w:t>
      </w:r>
    </w:p>
    <w:p w:rsidR="00000000" w:rsidDel="00000000" w:rsidP="00000000" w:rsidRDefault="00000000" w:rsidRPr="00000000" w14:paraId="0000008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4867937" cy="3712416"/>
            <wp:effectExtent b="0" l="0" r="0" t="0"/>
            <wp:docPr id="223" name="image2.png"/>
            <a:graphic>
              <a:graphicData uri="http://schemas.openxmlformats.org/drawingml/2006/picture">
                <pic:pic>
                  <pic:nvPicPr>
                    <pic:cNvPr id="0" name="image2.png"/>
                    <pic:cNvPicPr preferRelativeResize="0"/>
                  </pic:nvPicPr>
                  <pic:blipFill>
                    <a:blip r:embed="rId8"/>
                    <a:srcRect b="9006" l="16465" r="16308" t="8963"/>
                    <a:stretch>
                      <a:fillRect/>
                    </a:stretch>
                  </pic:blipFill>
                  <pic:spPr>
                    <a:xfrm>
                      <a:off x="0" y="0"/>
                      <a:ext cx="4867937" cy="3712416"/>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362903</wp:posOffset>
                </wp:positionH>
                <wp:positionV relativeFrom="paragraph">
                  <wp:posOffset>3688398</wp:posOffset>
                </wp:positionV>
                <wp:extent cx="2286000" cy="314325"/>
                <wp:effectExtent b="0" l="0" r="0" t="0"/>
                <wp:wrapNone/>
                <wp:docPr id="218" name=""/>
                <a:graphic>
                  <a:graphicData uri="http://schemas.microsoft.com/office/word/2010/wordprocessingShape">
                    <wps:wsp>
                      <wps:cNvSpPr/>
                      <wps:cNvPr id="2" name="Shape 2"/>
                      <wps:spPr>
                        <a:xfrm>
                          <a:off x="4207763" y="3627600"/>
                          <a:ext cx="2276475" cy="304800"/>
                        </a:xfrm>
                        <a:prstGeom prst="rect">
                          <a:avLst/>
                        </a:prstGeom>
                        <a:solidFill>
                          <a:schemeClr val="lt1"/>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Figura N° 1, Fuente; Google Mapa.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362903</wp:posOffset>
                </wp:positionH>
                <wp:positionV relativeFrom="paragraph">
                  <wp:posOffset>3688398</wp:posOffset>
                </wp:positionV>
                <wp:extent cx="2286000" cy="314325"/>
                <wp:effectExtent b="0" l="0" r="0" t="0"/>
                <wp:wrapNone/>
                <wp:docPr id="218"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2286000" cy="314325"/>
                        </a:xfrm>
                        <a:prstGeom prst="rect"/>
                        <a:ln/>
                      </pic:spPr>
                    </pic:pic>
                  </a:graphicData>
                </a:graphic>
              </wp:anchor>
            </w:drawing>
          </mc:Fallback>
        </mc:AlternateConten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2"/>
        <w:spacing w:line="480" w:lineRule="auto"/>
        <w:rPr>
          <w:rFonts w:ascii="Arial" w:cs="Arial" w:eastAsia="Arial" w:hAnsi="Arial"/>
          <w:b w:val="1"/>
          <w:bCs w:val="1"/>
          <w:color w:val="000000"/>
          <w:sz w:val="24"/>
          <w:szCs w:val="24"/>
        </w:rPr>
      </w:pPr>
      <w:bookmarkStart w:colFirst="0" w:colLast="0" w:name="_heading=h.j0pjxukc7pqz" w:id="6"/>
      <w:bookmarkEnd w:id="6"/>
      <w:r w:rsidDel="00000000" w:rsidR="00000000" w:rsidRPr="00000000">
        <w:rPr>
          <w:rFonts w:ascii="Arial" w:cs="Arial" w:eastAsia="Arial" w:hAnsi="Arial"/>
          <w:b w:val="1"/>
          <w:bCs w:val="1"/>
          <w:color w:val="000000"/>
          <w:sz w:val="24"/>
          <w:szCs w:val="24"/>
          <w:rtl w:val="0"/>
        </w:rPr>
        <w:t xml:space="preserve">MISIÓN, VISIÓN Y VALORES DE LA COMUNIDAD O INSTITUCIÓN</w:t>
      </w:r>
    </w:p>
    <w:p w:rsidR="00000000" w:rsidDel="00000000" w:rsidP="00000000" w:rsidRDefault="00000000" w:rsidRPr="00000000" w14:paraId="0000008E">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Misión institucional de la UNEXCA se centra en formar profesionales con un pensamiento crítico y reflexivo, altamente capacitados en el área de la informática, y profundamente comprometidos con el desarrollo endógeno y soberano de la nación. En cuanto a su Visión, la universidad aspira a consolidarse como una institución de educación superior líder, capaz de impulsar procesos de transformación educativa y social que respondan a las necesidades y desafíos del entorno. Los Valores que rigen el quehacer universitario incluyen la responsabilidad en la ejecución de tareas y el cumplimiento de compromisos, la solidaridad como principio de apoyo mutuo y trabajo colectivo, la justicia social como eje de equidad y distribución de oportunidades, la equidad en el trato y acceso para todos los miembros de la comunidad, el compromiso con la transformación social,</w:t>
      </w:r>
      <w:r w:rsidDel="00000000" w:rsidR="00000000" w:rsidRPr="00000000">
        <w:rPr>
          <w:rtl w:val="0"/>
        </w:rPr>
        <w:t xml:space="preserve"> </w:t>
      </w:r>
      <w:r w:rsidDel="00000000" w:rsidR="00000000" w:rsidRPr="00000000">
        <w:rPr>
          <w:rFonts w:ascii="Arial" w:cs="Arial" w:eastAsia="Arial" w:hAnsi="Arial"/>
          <w:sz w:val="24"/>
          <w:szCs w:val="24"/>
          <w:rtl w:val="0"/>
        </w:rPr>
        <w:t xml:space="preserve">y la cooperación como motor para el logro de objetivos comunes.</w:t>
      </w:r>
    </w:p>
    <w:p w:rsidR="00000000" w:rsidDel="00000000" w:rsidP="00000000" w:rsidRDefault="00000000" w:rsidRPr="00000000" w14:paraId="0000008F">
      <w:pPr>
        <w:pStyle w:val="Heading2"/>
        <w:spacing w:line="480" w:lineRule="auto"/>
        <w:rPr>
          <w:rFonts w:ascii="Arial" w:cs="Arial" w:eastAsia="Arial" w:hAnsi="Arial"/>
          <w:b w:val="1"/>
          <w:bCs w:val="1"/>
          <w:color w:val="000000"/>
          <w:sz w:val="24"/>
          <w:szCs w:val="24"/>
        </w:rPr>
      </w:pPr>
      <w:bookmarkStart w:colFirst="0" w:colLast="0" w:name="_heading=h.qc1rfm1zx247" w:id="7"/>
      <w:bookmarkEnd w:id="7"/>
      <w:r w:rsidDel="00000000" w:rsidR="00000000" w:rsidRPr="00000000">
        <w:rPr>
          <w:rFonts w:ascii="Arial" w:cs="Arial" w:eastAsia="Arial" w:hAnsi="Arial"/>
          <w:b w:val="1"/>
          <w:bCs w:val="1"/>
          <w:color w:val="000000"/>
          <w:sz w:val="24"/>
          <w:szCs w:val="24"/>
          <w:rtl w:val="0"/>
        </w:rPr>
        <w:t xml:space="preserve">MATRIZ FODA</w:t>
      </w:r>
    </w:p>
    <w:p w:rsidR="00000000" w:rsidDel="00000000" w:rsidP="00000000" w:rsidRDefault="00000000" w:rsidRPr="00000000" w14:paraId="00000090">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Matriz FODA (Fortalezas, Oportunidades, Debilidades y Amenazas) es una herramienta estratégica ampliamente utilizada en la planificación de proyectos para analizar factores internos y externos que influyen en su viabilidad. Según Serna (2016), esta metodología permite "identificar las capacidades organizacionales y los riesgos contextuales, facilitando la toma de decisiones basada en evidencia" (Gestión de Proyectos, Enfoque Práctico, p. 78).</w:t>
      </w:r>
    </w:p>
    <w:p w:rsidR="00000000" w:rsidDel="00000000" w:rsidP="00000000" w:rsidRDefault="00000000" w:rsidRPr="00000000" w14:paraId="00000091">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proyecto "Plataforma Web para la Gestión y Evaluación de Proyectos Socio-Tecnológicos UNEXCA", la matriz FODA se aplicó en factores internos y externos, dando como resultado las fortalezas, debilidades, oportunidades y amenazas del mismo. </w:t>
      </w:r>
    </w:p>
    <w:tbl>
      <w:tblPr>
        <w:tblStyle w:val="Table1"/>
        <w:tblW w:w="885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2"/>
        <w:gridCol w:w="7"/>
        <w:gridCol w:w="4415"/>
        <w:gridCol w:w="14"/>
        <w:tblGridChange w:id="0">
          <w:tblGrid>
            <w:gridCol w:w="4422"/>
            <w:gridCol w:w="7"/>
            <w:gridCol w:w="4415"/>
            <w:gridCol w:w="14"/>
          </w:tblGrid>
        </w:tblGridChange>
      </w:tblGrid>
      <w:tr>
        <w:trPr>
          <w:cantSplit w:val="0"/>
          <w:trHeight w:val="354" w:hRule="atLeast"/>
          <w:tblHeader w:val="0"/>
        </w:trPr>
        <w:tc>
          <w:tcPr>
            <w:gridSpan w:val="2"/>
            <w:shd w:fill="b7dde8"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6a6a6" w:val="clear"/>
                <w:vertAlign w:val="baseline"/>
                <w:rtl w:val="0"/>
              </w:rPr>
              <w:t xml:space="preserve">FORTALEZAS</w:t>
            </w:r>
            <w:r w:rsidDel="00000000" w:rsidR="00000000" w:rsidRPr="00000000">
              <w:rPr>
                <w:rtl w:val="0"/>
              </w:rPr>
            </w:r>
          </w:p>
        </w:tc>
        <w:tc>
          <w:tcPr>
            <w:gridSpan w:val="2"/>
            <w:shd w:fill="b7dde8"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6a6a6" w:val="clear"/>
                <w:vertAlign w:val="baseline"/>
                <w:rtl w:val="0"/>
              </w:rPr>
              <w:t xml:space="preserve">DEBILIDADES</w:t>
            </w:r>
            <w:r w:rsidDel="00000000" w:rsidR="00000000" w:rsidRPr="00000000">
              <w:rPr>
                <w:rtl w:val="0"/>
              </w:rPr>
            </w:r>
          </w:p>
        </w:tc>
      </w:tr>
      <w:tr>
        <w:trPr>
          <w:cantSplit w:val="0"/>
          <w:trHeight w:val="20" w:hRule="atLeast"/>
          <w:tblHeader w:val="0"/>
        </w:trPr>
        <w:tc>
          <w:tcPr>
            <w:gridSpan w:val="2"/>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98% de tutores especializados en informática y gestión de proyectos.</w:t>
            </w:r>
            <w:r w:rsidDel="00000000" w:rsidR="00000000" w:rsidRPr="00000000">
              <w:rPr>
                <w:rtl w:val="0"/>
              </w:rPr>
            </w:r>
          </w:p>
        </w:tc>
        <w:tc>
          <w:tcPr>
            <w:gridSpan w:val="2"/>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Carencia de plataforma digital institucional centralizada.</w:t>
            </w:r>
            <w:r w:rsidDel="00000000" w:rsidR="00000000" w:rsidRPr="00000000">
              <w:rPr>
                <w:rtl w:val="0"/>
              </w:rPr>
            </w:r>
          </w:p>
        </w:tc>
      </w:tr>
      <w:tr>
        <w:trPr>
          <w:cantSplit w:val="0"/>
          <w:trHeight w:val="20" w:hRule="atLeast"/>
          <w:tblHeader w:val="0"/>
        </w:trPr>
        <w:tc>
          <w:tcPr>
            <w:gridSpan w:val="2"/>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Laboratorios de informática equipados y conexión a internet en UNEXCA</w:t>
            </w:r>
            <w:r w:rsidDel="00000000" w:rsidR="00000000" w:rsidRPr="00000000">
              <w:rPr>
                <w:rtl w:val="0"/>
              </w:rPr>
            </w:r>
          </w:p>
        </w:tc>
        <w:tc>
          <w:tcPr>
            <w:gridSpan w:val="2"/>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Falta de estandarización en procedimientos de entrega, evaluación y seguimiento.</w:t>
            </w:r>
            <w:r w:rsidDel="00000000" w:rsidR="00000000" w:rsidRPr="00000000">
              <w:rPr>
                <w:rtl w:val="0"/>
              </w:rPr>
            </w:r>
          </w:p>
        </w:tc>
      </w:tr>
      <w:tr>
        <w:trPr>
          <w:cantSplit w:val="0"/>
          <w:trHeight w:val="20" w:hRule="atLeast"/>
          <w:tblHeader w:val="0"/>
        </w:trPr>
        <w:tc>
          <w:tcPr>
            <w:gridSpan w:val="2"/>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Metodología de Investigación Acción Participativa (IAP).</w:t>
            </w:r>
            <w:r w:rsidDel="00000000" w:rsidR="00000000" w:rsidRPr="00000000">
              <w:rPr>
                <w:rtl w:val="0"/>
              </w:rPr>
            </w:r>
          </w:p>
        </w:tc>
        <w:tc>
          <w:tcPr>
            <w:gridSpan w:val="2"/>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Baja visibilidad y sistematización de proyectos desarrollados.</w:t>
            </w:r>
            <w:r w:rsidDel="00000000" w:rsidR="00000000" w:rsidRPr="00000000">
              <w:rPr>
                <w:rtl w:val="0"/>
              </w:rPr>
            </w:r>
          </w:p>
        </w:tc>
      </w:tr>
      <w:tr>
        <w:trPr>
          <w:cantSplit w:val="0"/>
          <w:trHeight w:val="274" w:hRule="atLeast"/>
          <w:tblHeader w:val="0"/>
        </w:trPr>
        <w:tc>
          <w:tcPr>
            <w:gridSpan w:val="2"/>
            <w:shd w:fill="b7dde8" w:val="cle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6a6a6" w:val="clear"/>
                <w:vertAlign w:val="baseline"/>
                <w:rtl w:val="0"/>
              </w:rPr>
              <w:t xml:space="preserve">OPORTUNIDADES</w:t>
            </w:r>
            <w:r w:rsidDel="00000000" w:rsidR="00000000" w:rsidRPr="00000000">
              <w:rPr>
                <w:rtl w:val="0"/>
              </w:rPr>
            </w:r>
          </w:p>
        </w:tc>
        <w:tc>
          <w:tcPr>
            <w:gridSpan w:val="2"/>
            <w:shd w:fill="b7dde8"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6a6a6" w:val="clear"/>
                <w:vertAlign w:val="baseline"/>
                <w:rtl w:val="0"/>
              </w:rPr>
              <w:t xml:space="preserve">AMENAZAS</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Creciente demanda de soluciones TI para digitalización educativa.</w:t>
            </w:r>
            <w:r w:rsidDel="00000000" w:rsidR="00000000" w:rsidRPr="00000000">
              <w:rPr>
                <w:rtl w:val="0"/>
              </w:rPr>
            </w:r>
          </w:p>
        </w:tc>
        <w:tc>
          <w:tcPr>
            <w:gridSpan w:val="2"/>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Inestabilidad de servicios básicos (electricidad e internet) en Caracas.</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Posible disponibilidad de fondos gubernamentales para innovación tecnológica.</w:t>
            </w:r>
            <w:r w:rsidDel="00000000" w:rsidR="00000000" w:rsidRPr="00000000">
              <w:rPr>
                <w:rtl w:val="0"/>
              </w:rPr>
            </w:r>
          </w:p>
        </w:tc>
        <w:tc>
          <w:tcPr>
            <w:gridSpan w:val="2"/>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Limitaciones presupuestarias institucionales futuras.</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Apoyo a la educación universitaria y acceso a conocimiento/software libre (Apache, MySQL, PHP, React.js).</w:t>
            </w:r>
            <w:r w:rsidDel="00000000" w:rsidR="00000000" w:rsidRPr="00000000">
              <w:rPr>
                <w:rtl w:val="0"/>
              </w:rPr>
            </w:r>
          </w:p>
        </w:tc>
        <w:tc>
          <w:tcPr>
            <w:gridSpan w:val="2"/>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Constantes amenazas de ciberseguridad.</w:t>
              <w:br w:type="textWrapping"/>
              <w:t xml:space="preserve"> - Rápida obsolescencia tecnológica.</w:t>
            </w:r>
            <w:r w:rsidDel="00000000" w:rsidR="00000000" w:rsidRPr="00000000">
              <w:rPr>
                <w:rtl w:val="0"/>
              </w:rPr>
            </w:r>
          </w:p>
        </w:tc>
      </w:tr>
    </w:tbl>
    <w:p w:rsidR="00000000" w:rsidDel="00000000" w:rsidP="00000000" w:rsidRDefault="00000000" w:rsidRPr="00000000" w14:paraId="000000AF">
      <w:pPr>
        <w:spacing w:after="0" w:line="360" w:lineRule="auto"/>
        <w:jc w:val="both"/>
        <w:rPr>
          <w:rFonts w:ascii="Arial" w:cs="Arial" w:eastAsia="Arial" w:hAnsi="Arial"/>
          <w:b w:val="1"/>
          <w:bCs w:val="1"/>
          <w:color w:val="000000"/>
          <w:highlight w:val="white"/>
        </w:rPr>
      </w:pPr>
      <w:r w:rsidDel="00000000" w:rsidR="00000000" w:rsidRPr="00000000">
        <w:rPr>
          <w:rFonts w:ascii="Arial" w:cs="Arial" w:eastAsia="Arial" w:hAnsi="Arial"/>
          <w:b w:val="1"/>
          <w:bCs w:val="1"/>
          <w:color w:val="000000"/>
          <w:highlight w:val="white"/>
          <w:rtl w:val="0"/>
        </w:rPr>
        <w:t xml:space="preserve">Cuadro 1. Matriz FODA 2025</w:t>
      </w:r>
    </w:p>
    <w:p w:rsidR="00000000" w:rsidDel="00000000" w:rsidP="00000000" w:rsidRDefault="00000000" w:rsidRPr="00000000" w14:paraId="000000B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pStyle w:val="Heading2"/>
        <w:spacing w:line="480" w:lineRule="auto"/>
        <w:rPr>
          <w:rFonts w:ascii="Arial" w:cs="Arial" w:eastAsia="Arial" w:hAnsi="Arial"/>
          <w:b w:val="1"/>
          <w:bCs w:val="1"/>
          <w:color w:val="000000"/>
          <w:sz w:val="24"/>
          <w:szCs w:val="24"/>
        </w:rPr>
      </w:pPr>
      <w:bookmarkStart w:colFirst="0" w:colLast="0" w:name="_heading=h.j4u8yqtlapl9" w:id="8"/>
      <w:bookmarkEnd w:id="8"/>
      <w:r w:rsidDel="00000000" w:rsidR="00000000" w:rsidRPr="00000000">
        <w:rPr>
          <w:rFonts w:ascii="Arial" w:cs="Arial" w:eastAsia="Arial" w:hAnsi="Arial"/>
          <w:b w:val="1"/>
          <w:bCs w:val="1"/>
          <w:color w:val="000000"/>
          <w:sz w:val="24"/>
          <w:szCs w:val="24"/>
          <w:rtl w:val="0"/>
        </w:rPr>
        <w:t xml:space="preserve">PLANTEAMIENTO DEL PROBLEMA</w:t>
      </w:r>
    </w:p>
    <w:p w:rsidR="00000000" w:rsidDel="00000000" w:rsidP="00000000" w:rsidRDefault="00000000" w:rsidRPr="00000000" w14:paraId="000000B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planteamiento del problema debe "delimitar con precisión la situación a investigar, sustentarse en datos verificables y articularse con las necesidades reales del contexto" (Hernández, Fernández y Baptista, 2014, p. 72). En el caso del proyecto "Plataforma Web para la Gestión y Evaluación de Proyectos Socio-Tecnológicos UNEXCA", la problemática se enmarca en tres ámbitos interconectados.</w:t>
      </w:r>
    </w:p>
    <w:p w:rsidR="00000000" w:rsidDel="00000000" w:rsidP="00000000" w:rsidRDefault="00000000" w:rsidRPr="00000000" w14:paraId="000000B3">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este proyecto se inscribe en un Contexto Global de transformación digital que impera en la educación superior. Las instituciones académicas enfrentan el desafío ineludible de modernizar sus procesos mediante herramientas digitales para garantizar la eficiencia, la equidad y el acceso a los recursos.</w:t>
      </w:r>
    </w:p>
    <w:p w:rsidR="00000000" w:rsidDel="00000000" w:rsidP="00000000" w:rsidRDefault="00000000" w:rsidRPr="00000000" w14:paraId="000000B4">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señala la UNESCO (2021) en su informe Educación Digital en el Siglo XXI, "la carencia de sistemas integrados de gestión académica perpetúa desigualdades y limita el acceso a recursos educativos". Esta realidad global no solo justifica, sino que exige la implementación de plataformas que centralicen y optimicen los procesos universitarios, tal como se propone en esta iniciativa.</w:t>
      </w:r>
    </w:p>
    <w:p w:rsidR="00000000" w:rsidDel="00000000" w:rsidP="00000000" w:rsidRDefault="00000000" w:rsidRPr="00000000" w14:paraId="000000B5">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del Contexto Nacional, el marco legal venezolano, específicamente la Ley Orgánica de Ciencia, Tecnología e Innovación (LOCTI, 2005), establece en su artículo 3 que "las instituciones de educación superior deben promover el desarrollo de tecnologías que fortalezcan los procesos académicos y su vinculación con la sociedad".</w:t>
      </w:r>
    </w:p>
    <w:p w:rsidR="00000000" w:rsidDel="00000000" w:rsidP="00000000" w:rsidRDefault="00000000" w:rsidRPr="00000000" w14:paraId="000000B6">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obstante, existe una brecha significativa entre el mandato legal y la realidad operativa. Investigaciones como la de González (2020), en Tecnología Educativa en Venezuela, revelan que "solo el 40% de las universidades venezolanas cuentan con sistemas digitales para gestión de proyectos estudiantiles" (p. 112). Esta estadística evidencia una dificultad sistémica para implementar soluciones tecnológicas a gran escala.</w:t>
      </w:r>
    </w:p>
    <w:p w:rsidR="00000000" w:rsidDel="00000000" w:rsidP="00000000" w:rsidRDefault="00000000" w:rsidRPr="00000000" w14:paraId="000000B8">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Específicamente en el Contexto Institucional de la Universidad Nacional Experimental de la Gran Caracas (UNEXCA), esta problemática se manifiesta directamente en la ausencia de herramientas tecnológicas adecuadas para la administración de los Proyectos Sociotecnológicos del Programa Nacional de Formación en Informática (PNFI).</w:t>
      </w:r>
    </w:p>
    <w:p w:rsidR="00000000" w:rsidDel="00000000" w:rsidP="00000000" w:rsidRDefault="00000000" w:rsidRPr="00000000" w14:paraId="000000B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problemas no solo afectan la eficiencia de los tutores y estudiantes, sino que comprometen la calidad educativa y la capacidad institucional de generar conocimiento útil para la transformación social. La situación exige una respuesta tecnológica pertinente y sostenible que garantice la integración de todos los actores involucrados, facilite la toma de decisiones informadas y promueva la articulación efectiva entre universidad y comunidad. Ante esta realidad, se hace necesario diseñar e implementar una plataforma web para la gestión y evaluación de proyectos sociotecnológicos en la UNEXCA, que permita superar las limitaciones actuales y aportar una solución concreta, replicable y alineada con los principios del PNFI.</w:t>
      </w:r>
    </w:p>
    <w:p w:rsidR="00000000" w:rsidDel="00000000" w:rsidP="00000000" w:rsidRDefault="00000000" w:rsidRPr="00000000" w14:paraId="000000B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C">
      <w:pPr>
        <w:pStyle w:val="Heading2"/>
        <w:spacing w:line="480" w:lineRule="auto"/>
        <w:rPr>
          <w:rFonts w:ascii="Arial" w:cs="Arial" w:eastAsia="Arial" w:hAnsi="Arial"/>
          <w:b w:val="1"/>
          <w:bCs w:val="1"/>
          <w:color w:val="000000"/>
          <w:sz w:val="24"/>
          <w:szCs w:val="24"/>
        </w:rPr>
      </w:pPr>
      <w:bookmarkStart w:colFirst="0" w:colLast="0" w:name="_heading=h.f8d60tpipcii" w:id="9"/>
      <w:bookmarkEnd w:id="9"/>
      <w:r w:rsidDel="00000000" w:rsidR="00000000" w:rsidRPr="00000000">
        <w:rPr>
          <w:rFonts w:ascii="Arial" w:cs="Arial" w:eastAsia="Arial" w:hAnsi="Arial"/>
          <w:b w:val="1"/>
          <w:bCs w:val="1"/>
          <w:color w:val="000000"/>
          <w:sz w:val="24"/>
          <w:szCs w:val="24"/>
          <w:rtl w:val="0"/>
        </w:rPr>
        <w:t xml:space="preserve">OBJETIVOS DEL PROYECTO</w:t>
      </w:r>
    </w:p>
    <w:p w:rsidR="00000000" w:rsidDel="00000000" w:rsidP="00000000" w:rsidRDefault="00000000" w:rsidRPr="00000000" w14:paraId="000000BD">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Según Tamayo y Tamayo (2003), "los objetivos de investigación deben formularse con claridad, precisión y alcance realista, estableciendo qué se pretende conocer o lograr con el estudio" (El proceso de la investigación científica, p. 45). En concordancia con esto, el proyecto "Plataforma Web para la Gestión y Evaluación de Proyectos Socio-Tecnológicos UNEXCA" plantea sus objetivos considerando tres dimensiones esenciales.</w:t>
      </w:r>
    </w:p>
    <w:p w:rsidR="00000000" w:rsidDel="00000000" w:rsidP="00000000" w:rsidRDefault="00000000" w:rsidRPr="00000000" w14:paraId="000000BE">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objetivos son elementos clave y constituyen el punto central de referencia de un proyecto, ya que indican explícitamente para qué se efectúa la investigación y qué se espera lograr al finalizar el mismo. Son los logros concretos que se desean alcanzar mediante la ejecución de una acción planificada y deben reflejar los cambios esperados con la intervención del proyecto. Es crucial evitar la formulación de objetivos excesivamente amplios, ambiciosos o confusos, prefiriendo siempre una redacción clara, concisa y que refleje lo que es realmente alcanzable dentro del marco del proyecto. Un objetivo es, en esencia, sinónimo de meta, refiriéndose a los conocimientos específicos o los resultados tangibles que el investigador se propone obtener. Un objetivo de investigación es, por lo tanto, un enunciado preciso que expresa lo que se desea indagar y conocer para proporcionar una respuesta efectiva al problema planteado.</w:t>
      </w:r>
    </w:p>
    <w:p w:rsidR="00000000" w:rsidDel="00000000" w:rsidP="00000000" w:rsidRDefault="00000000" w:rsidRPr="00000000" w14:paraId="000000B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pStyle w:val="Heading2"/>
        <w:spacing w:line="480" w:lineRule="auto"/>
        <w:rPr>
          <w:rFonts w:ascii="Arial" w:cs="Arial" w:eastAsia="Arial" w:hAnsi="Arial"/>
          <w:b w:val="1"/>
          <w:bCs w:val="1"/>
          <w:color w:val="000000"/>
          <w:sz w:val="24"/>
          <w:szCs w:val="24"/>
        </w:rPr>
      </w:pPr>
      <w:bookmarkStart w:colFirst="0" w:colLast="0" w:name="_heading=h.qpgxa6cv30gd" w:id="10"/>
      <w:bookmarkEnd w:id="10"/>
      <w:r w:rsidDel="00000000" w:rsidR="00000000" w:rsidRPr="00000000">
        <w:rPr>
          <w:rFonts w:ascii="Arial" w:cs="Arial" w:eastAsia="Arial" w:hAnsi="Arial"/>
          <w:b w:val="1"/>
          <w:bCs w:val="1"/>
          <w:color w:val="000000"/>
          <w:sz w:val="24"/>
          <w:szCs w:val="24"/>
          <w:rtl w:val="0"/>
        </w:rPr>
        <w:t xml:space="preserve">OBJETIVO GENERAL</w:t>
      </w:r>
    </w:p>
    <w:p w:rsidR="00000000" w:rsidDel="00000000" w:rsidP="00000000" w:rsidRDefault="00000000" w:rsidRPr="00000000" w14:paraId="000000C1">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Diseñar y Desarrollar un sistema digital integral que optimice la gestión de proyectos universitarios en laUniversidad Experimental de la Gran Caracas (UNEXCA)</w:t>
      </w:r>
    </w:p>
    <w:p w:rsidR="00000000" w:rsidDel="00000000" w:rsidP="00000000" w:rsidRDefault="00000000" w:rsidRPr="00000000" w14:paraId="000000C2">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pStyle w:val="Heading2"/>
        <w:spacing w:line="480" w:lineRule="auto"/>
        <w:rPr>
          <w:rFonts w:ascii="Arial" w:cs="Arial" w:eastAsia="Arial" w:hAnsi="Arial"/>
          <w:b w:val="1"/>
          <w:bCs w:val="1"/>
          <w:color w:val="000000"/>
          <w:sz w:val="24"/>
          <w:szCs w:val="24"/>
        </w:rPr>
      </w:pPr>
      <w:bookmarkStart w:colFirst="0" w:colLast="0" w:name="_heading=h.fp8kdk95ou7q" w:id="11"/>
      <w:bookmarkEnd w:id="11"/>
      <w:r w:rsidDel="00000000" w:rsidR="00000000" w:rsidRPr="00000000">
        <w:rPr>
          <w:rFonts w:ascii="Arial" w:cs="Arial" w:eastAsia="Arial" w:hAnsi="Arial"/>
          <w:b w:val="1"/>
          <w:bCs w:val="1"/>
          <w:color w:val="000000"/>
          <w:sz w:val="24"/>
          <w:szCs w:val="24"/>
          <w:rtl w:val="0"/>
        </w:rPr>
        <w:t xml:space="preserve">OBJETIVOS ESPECÍFICOS</w:t>
      </w:r>
    </w:p>
    <w:p w:rsidR="00000000" w:rsidDel="00000000" w:rsidP="00000000" w:rsidRDefault="00000000" w:rsidRPr="00000000" w14:paraId="000000C4">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lograr el objetivo general del proyecto, se establecen los siguientes objetivos específicos, siguiendo un enfoque metodológico.</w:t>
      </w:r>
    </w:p>
    <w:p w:rsidR="00000000" w:rsidDel="00000000" w:rsidP="00000000" w:rsidRDefault="00000000" w:rsidRPr="00000000" w14:paraId="000000C5">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Diagnosticar los requerimientos funcionales y no funcionales para la gestión de proyectos sociotecnológicos, incluyendo la identificación de roles de usuario y sus necesidades específicas. </w:t>
      </w:r>
    </w:p>
    <w:p w:rsidR="00000000" w:rsidDel="00000000" w:rsidP="00000000" w:rsidRDefault="00000000" w:rsidRPr="00000000" w14:paraId="000000C6">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Diseñar la arquitectura de la plataforma web, sus interfaces de usuario y la base de datos, considerando un sistema de control de acceso robusto y herramientas para evaluación y colaboración. </w:t>
      </w:r>
    </w:p>
    <w:p w:rsidR="00000000" w:rsidDel="00000000" w:rsidP="00000000" w:rsidRDefault="00000000" w:rsidRPr="00000000" w14:paraId="000000C7">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la plataforma web institucional, implementando el sistema de control de acceso, las funcionalidades de comunicación y colaboración, y las herramientas para la evaluación y seguimiento. </w:t>
      </w:r>
    </w:p>
    <w:p w:rsidR="00000000" w:rsidDel="00000000" w:rsidP="00000000" w:rsidRDefault="00000000" w:rsidRPr="00000000" w14:paraId="000000C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Evaluar la usabilidad y la eficacia funcional de la plataforma web desarrollada mediante pruebas piloto con estudiantes, tutores y coordinadores del PNFI.</w:t>
      </w:r>
    </w:p>
    <w:p w:rsidR="00000000" w:rsidDel="00000000" w:rsidP="00000000" w:rsidRDefault="00000000" w:rsidRPr="00000000" w14:paraId="000000C9">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spacing w:line="480" w:lineRule="auto"/>
        <w:rPr>
          <w:rFonts w:ascii="Arial" w:cs="Arial" w:eastAsia="Arial" w:hAnsi="Arial"/>
          <w:b w:val="1"/>
          <w:bCs w:val="1"/>
          <w:color w:val="000000"/>
          <w:sz w:val="24"/>
          <w:szCs w:val="24"/>
        </w:rPr>
      </w:pPr>
      <w:bookmarkStart w:colFirst="0" w:colLast="0" w:name="_heading=h.a02oix2ymtrf" w:id="12"/>
      <w:bookmarkEnd w:id="12"/>
      <w:r w:rsidDel="00000000" w:rsidR="00000000" w:rsidRPr="00000000">
        <w:rPr>
          <w:rFonts w:ascii="Arial" w:cs="Arial" w:eastAsia="Arial" w:hAnsi="Arial"/>
          <w:b w:val="1"/>
          <w:bCs w:val="1"/>
          <w:color w:val="000000"/>
          <w:sz w:val="24"/>
          <w:szCs w:val="24"/>
          <w:rtl w:val="0"/>
        </w:rPr>
        <w:t xml:space="preserve">JUSTIFICACIÓN</w:t>
      </w:r>
    </w:p>
    <w:p w:rsidR="00000000" w:rsidDel="00000000" w:rsidP="00000000" w:rsidRDefault="00000000" w:rsidRPr="00000000" w14:paraId="000000CB">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actualidad, la UNEXCA, a través de su Programa Nacional de Formación en Informática, busca optimizar la gestión de los proyectos sociotecnológicos para agilizar los procesos y mejorar la experiencia de todos los actores involucrados. Si bien los métodos actuales han sido funcionales, se ha identificado que su naturaleza descentralizada puede generar dispersión de la información, demoras en la comunicación y otros desafíos operativos que impactan la eficiencia del proceso.</w:t>
      </w:r>
    </w:p>
    <w:p w:rsidR="00000000" w:rsidDel="00000000" w:rsidP="00000000" w:rsidRDefault="00000000" w:rsidRPr="00000000" w14:paraId="000000CC">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respuesta, se plantea el diseño y desarrollo de una plataforma web para la gestión de proyectos sociotecnológicos, que permita automatizar procesos clave, centralizar información y facilitar la comunicación entre estudiantes, tutores y coordinadores.</w:t>
      </w:r>
      <w:r w:rsidDel="00000000" w:rsidR="00000000" w:rsidRPr="00000000">
        <w:rPr>
          <w:rtl w:val="0"/>
        </w:rPr>
        <w:t xml:space="preserve"> </w:t>
      </w:r>
      <w:r w:rsidDel="00000000" w:rsidR="00000000" w:rsidRPr="00000000">
        <w:rPr>
          <w:rFonts w:ascii="Arial" w:cs="Arial" w:eastAsia="Arial" w:hAnsi="Arial"/>
          <w:sz w:val="24"/>
          <w:szCs w:val="24"/>
          <w:rtl w:val="0"/>
        </w:rPr>
        <w:t xml:space="preserve">Esto según el Impacto Educativo que menciona Area &amp; Adell (2020), La</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4"/>
          <w:szCs w:val="24"/>
          <w:rtl w:val="0"/>
        </w:rPr>
        <w:t xml:space="preserve">implementación de plataformas digitales en educación superior no solo optimiza procesos administrativos, sino que transforma pedagógicamente la experiencia formativa al promover la autonomía, colaboración y evaluación continua" (p. 15). El sistema permitirá gestionar proyectos desde su registro hasta su evaluación final, con acceso remoto, seguimiento en tiempo real y trazabilidad de resultados. Entre sus principales aportes destacan, la eficiencia operativa, la reducción de errores, la optimización de recursos, y la mejora en la toma de decisiones académicas.</w:t>
      </w:r>
    </w:p>
    <w:p w:rsidR="00000000" w:rsidDel="00000000" w:rsidP="00000000" w:rsidRDefault="00000000" w:rsidRPr="00000000" w14:paraId="000000CD">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utilizará tecnologías de software libre como Apache, PHP, React.js y MySQL, lo cual asegura compatibilidad multiplataforma, bajo costo de implementación, y facilidad de mantenimiento. Su enfoque participativo y flexible permitirá que los usuarios se apropien del sistema y lo adapten a sus necesidades.</w:t>
      </w:r>
    </w:p>
    <w:p w:rsidR="00000000" w:rsidDel="00000000" w:rsidP="00000000" w:rsidRDefault="00000000" w:rsidRPr="00000000" w14:paraId="000000CE">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propuesta no solo responde a una necesidad institucional inmediata, sino que también se alinea con los principios de inclusión, transformación digital y vinculación social que promueve la UNEXCA. Como señalan Area y Adell (2020), la plataforma propuesta no solo resolverá problemas logísticos, sino que enriquecerá pedagógicamente el proceso formativo (p. 15). Se espera que este sistema contribuya a consolidar una comunidad educativa más moderna, participativa y orientada al uso efectivo de las TIC como herramientas para el desarrollo académico y social.</w:t>
      </w:r>
    </w:p>
    <w:p w:rsidR="00000000" w:rsidDel="00000000" w:rsidP="00000000" w:rsidRDefault="00000000" w:rsidRPr="00000000" w14:paraId="000000C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pStyle w:val="Heading2"/>
        <w:spacing w:line="480" w:lineRule="auto"/>
        <w:rPr>
          <w:rFonts w:ascii="Arial" w:cs="Arial" w:eastAsia="Arial" w:hAnsi="Arial"/>
          <w:b w:val="1"/>
          <w:bCs w:val="1"/>
          <w:color w:val="000000"/>
          <w:sz w:val="24"/>
          <w:szCs w:val="24"/>
        </w:rPr>
      </w:pPr>
      <w:bookmarkStart w:colFirst="0" w:colLast="0" w:name="_heading=h.i9vaim4zfwp" w:id="13"/>
      <w:bookmarkEnd w:id="13"/>
      <w:r w:rsidDel="00000000" w:rsidR="00000000" w:rsidRPr="00000000">
        <w:rPr>
          <w:rFonts w:ascii="Arial" w:cs="Arial" w:eastAsia="Arial" w:hAnsi="Arial"/>
          <w:b w:val="1"/>
          <w:bCs w:val="1"/>
          <w:color w:val="000000"/>
          <w:sz w:val="24"/>
          <w:szCs w:val="24"/>
          <w:rtl w:val="0"/>
        </w:rPr>
        <w:t xml:space="preserve">POBLACIÓN BENEFICIADA </w:t>
      </w:r>
    </w:p>
    <w:p w:rsidR="00000000" w:rsidDel="00000000" w:rsidP="00000000" w:rsidRDefault="00000000" w:rsidRPr="00000000" w14:paraId="000000D1">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beneficiarios de un proyecto dependen intrínsecamente de su naturaleza, representación o categoría, y su impacto se expresa en el número de individuos, familias o habitantes de un área espacial específica que se verán favorecidos por la intervención. </w:t>
      </w:r>
    </w:p>
    <w:p w:rsidR="00000000" w:rsidDel="00000000" w:rsidP="00000000" w:rsidRDefault="00000000" w:rsidRPr="00000000" w14:paraId="000000D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 este proyecto, Los beneficiarios del proyecto "Plataforma Web para la Gestión y Evaluación de Proyectos Socio-Tecnológicos UNEXCA" se dividen en dos categorías principales; beneficiarios directos e indirectos, cada uno con un impacto cuantificable en términos de número de individuos y porcentaje de la población afectada.</w:t>
      </w:r>
    </w:p>
    <w:p w:rsidR="00000000" w:rsidDel="00000000" w:rsidP="00000000" w:rsidRDefault="00000000" w:rsidRPr="00000000" w14:paraId="000000D3">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beneficiarios directos serán, en primer lugar, alrededor de 200 estudiantes activos del Programa Nacional de Formación en Informática (PNFI) en la UNEXCA, quienes podrán gestionar, registrar y dar seguimiento a sus proyectos sociotecnológicos de manera más organizada, transparente y eficiente. En segundo lugar,</w:t>
      </w:r>
      <w:r w:rsidDel="00000000" w:rsidR="00000000" w:rsidRPr="00000000">
        <w:rPr>
          <w:rtl w:val="0"/>
        </w:rPr>
        <w:t xml:space="preserve"> </w:t>
      </w:r>
      <w:r w:rsidDel="00000000" w:rsidR="00000000" w:rsidRPr="00000000">
        <w:rPr>
          <w:rFonts w:ascii="Arial" w:cs="Arial" w:eastAsia="Arial" w:hAnsi="Arial"/>
          <w:sz w:val="24"/>
          <w:szCs w:val="24"/>
          <w:rtl w:val="0"/>
        </w:rPr>
        <w:t xml:space="preserve">un aproximado de 10 tutores académicos del PNFI se beneficiarán al disponer de una herramienta centralizada para la evaluación, seguimiento y retroalimentación de los proyectos, optimizando su carga de trabajo. De manera indirecta, La coordinación académica (5 personas) accederá a datos consolidados para una supervisión efectiva. La comunidad universitaria (1,200 personas) se beneficiará de procesos más eficientes. Además, unas 20 comunidades locales (5,000 habitantes) recibirán soluciones tecnológicas con mayor impacto social. </w:t>
      </w:r>
    </w:p>
    <w:p w:rsidR="00000000" w:rsidDel="00000000" w:rsidP="00000000" w:rsidRDefault="00000000" w:rsidRPr="00000000" w14:paraId="000000D4">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plataforma no solo mejorará la gestión académica, sino que también fortalecerá el vínculo entre la universidad y la sociedad, multiplicando su impacto más allá del ámbito estudiantil.</w:t>
      </w:r>
    </w:p>
    <w:p w:rsidR="00000000" w:rsidDel="00000000" w:rsidP="00000000" w:rsidRDefault="00000000" w:rsidRPr="00000000" w14:paraId="000000D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pStyle w:val="Heading2"/>
        <w:spacing w:line="480" w:lineRule="auto"/>
        <w:rPr>
          <w:rFonts w:ascii="Arial" w:cs="Arial" w:eastAsia="Arial" w:hAnsi="Arial"/>
          <w:b w:val="1"/>
          <w:bCs w:val="1"/>
          <w:color w:val="000000"/>
          <w:sz w:val="24"/>
          <w:szCs w:val="24"/>
        </w:rPr>
      </w:pPr>
      <w:bookmarkStart w:colFirst="0" w:colLast="0" w:name="_heading=h.tdeji8c7t93k" w:id="14"/>
      <w:bookmarkEnd w:id="14"/>
      <w:r w:rsidDel="00000000" w:rsidR="00000000" w:rsidRPr="00000000">
        <w:rPr>
          <w:rFonts w:ascii="Arial" w:cs="Arial" w:eastAsia="Arial" w:hAnsi="Arial"/>
          <w:b w:val="1"/>
          <w:bCs w:val="1"/>
          <w:color w:val="000000"/>
          <w:sz w:val="24"/>
          <w:szCs w:val="24"/>
          <w:rtl w:val="0"/>
        </w:rPr>
        <w:t xml:space="preserve">FACTIBILIDAD</w:t>
      </w:r>
    </w:p>
    <w:p w:rsidR="00000000" w:rsidDel="00000000" w:rsidP="00000000" w:rsidRDefault="00000000" w:rsidRPr="00000000" w14:paraId="000000D7">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presenta viabilidad técnica, dado que la UNEXCA dispone de infraestructura informática básica (servidores, conexión a internet y personal con conocimientos en TIC) que permite alojar la plataforma. Se utilizará software libre (por ejemplo, un servidor web LAMP o similar) para optimizar recursos. En el aspecto operativo, la estructura organizativa del PNFI facilita la integración de la plataforma en el proceso formativo existente. En cuanto a la factibilidad psicosocial, la metodología participativa (IAP) involucrará a la comunidad educativa en el desarrollo, lo que favorece la apropiación de la herramienta. Finalmente, en términos económicos, el costo estimado es moderado al emplear herramientas gratuitas y esfuerzos propios; este costo se considera compensado por los ahorros en tiempo y la mejora educativa resultante.</w:t>
      </w:r>
    </w:p>
    <w:p w:rsidR="00000000" w:rsidDel="00000000" w:rsidP="00000000" w:rsidRDefault="00000000" w:rsidRPr="00000000" w14:paraId="000000D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spacing w:after="0" w:line="480" w:lineRule="auto"/>
        <w:jc w:val="both"/>
        <w:rPr>
          <w:rFonts w:ascii="Arial" w:cs="Arial" w:eastAsia="Arial" w:hAnsi="Arial"/>
          <w:b w:val="1"/>
          <w:bCs w:val="1"/>
          <w:color w:val="000000"/>
          <w:sz w:val="24"/>
          <w:szCs w:val="24"/>
          <w:highlight w:val="white"/>
        </w:rPr>
      </w:pPr>
      <w:r w:rsidDel="00000000" w:rsidR="00000000" w:rsidRPr="00000000">
        <w:rPr>
          <w:rFonts w:ascii="Arial" w:cs="Arial" w:eastAsia="Arial" w:hAnsi="Arial"/>
          <w:b w:val="1"/>
          <w:bCs w:val="1"/>
          <w:color w:val="000000"/>
          <w:sz w:val="24"/>
          <w:szCs w:val="24"/>
          <w:highlight w:val="white"/>
          <w:rtl w:val="0"/>
        </w:rPr>
        <w:t xml:space="preserve">PLAN DE ACCIÓN</w:t>
      </w:r>
    </w:p>
    <w:p w:rsidR="00000000" w:rsidDel="00000000" w:rsidP="00000000" w:rsidRDefault="00000000" w:rsidRPr="00000000" w14:paraId="000000DA">
      <w:pPr>
        <w:spacing w:after="0" w:line="36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highlight w:val="white"/>
          <w:rtl w:val="0"/>
        </w:rPr>
        <w:t xml:space="preserve">Este plan constituye un esquema coherente y viable para la realización del proyecto en función del tiempo, así como de los aspectos físicos, materiales, humanos, institucionales, técnicos y financieros requeridos. Asimismo, debe especificar los recursos necesarios en cada una de estas categorías, indicar si el proyecto contará con financiamiento o patrocinio externo, presentar un presupuesto detallado con los costos de ejecución y describir la estructura organizativa de gestión del proyecto</w:t>
      </w:r>
      <w:r w:rsidDel="00000000" w:rsidR="00000000" w:rsidRPr="00000000">
        <w:rPr>
          <w:rFonts w:ascii="Arial" w:cs="Arial" w:eastAsia="Arial" w:hAnsi="Arial"/>
          <w:color w:val="000000"/>
          <w:sz w:val="24"/>
          <w:szCs w:val="24"/>
          <w:rtl w:val="0"/>
        </w:rPr>
        <w:t xml:space="preserve">. (</w:t>
      </w:r>
      <w:r w:rsidDel="00000000" w:rsidR="00000000" w:rsidRPr="00000000">
        <w:rPr>
          <w:b w:val="1"/>
          <w:bCs w:val="1"/>
          <w:rtl w:val="0"/>
        </w:rPr>
        <w:t xml:space="preserve">Cuadro 2. Diagrama de Gantt</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DB">
      <w:pPr>
        <w:rPr>
          <w:rFonts w:ascii="Arial" w:cs="Arial" w:eastAsia="Arial" w:hAnsi="Arial"/>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rPr>
          <w:rFonts w:ascii="Arial" w:cs="Arial" w:eastAsia="Arial" w:hAnsi="Arial"/>
          <w:sz w:val="24"/>
          <w:szCs w:val="24"/>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-4761</wp:posOffset>
                </wp:positionH>
                <wp:positionV relativeFrom="paragraph">
                  <wp:posOffset>7927022</wp:posOffset>
                </wp:positionV>
                <wp:extent cx="2286000" cy="314325"/>
                <wp:effectExtent b="0" l="0" r="0" t="0"/>
                <wp:wrapNone/>
                <wp:docPr id="219" name=""/>
                <a:graphic>
                  <a:graphicData uri="http://schemas.microsoft.com/office/word/2010/wordprocessingShape">
                    <wps:wsp>
                      <wps:cNvSpPr/>
                      <wps:cNvPr id="3" name="Shape 3"/>
                      <wps:spPr>
                        <a:xfrm>
                          <a:off x="4207763" y="3627600"/>
                          <a:ext cx="2276475" cy="304800"/>
                        </a:xfrm>
                        <a:prstGeom prst="rect">
                          <a:avLst/>
                        </a:prstGeom>
                        <a:solidFill>
                          <a:schemeClr val="lt1"/>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Cuadro 2. Diagrama de Gantt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-4761</wp:posOffset>
                </wp:positionH>
                <wp:positionV relativeFrom="paragraph">
                  <wp:posOffset>7927022</wp:posOffset>
                </wp:positionV>
                <wp:extent cx="2286000" cy="314325"/>
                <wp:effectExtent b="0" l="0" r="0" t="0"/>
                <wp:wrapNone/>
                <wp:docPr id="219"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286000" cy="3143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1025686</wp:posOffset>
            </wp:positionV>
            <wp:extent cx="7882049" cy="5600700"/>
            <wp:effectExtent b="0" l="0" r="0" t="0"/>
            <wp:wrapNone/>
            <wp:docPr id="22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rot="5400000">
                      <a:off x="0" y="0"/>
                      <a:ext cx="7882049" cy="5600700"/>
                    </a:xfrm>
                    <a:prstGeom prst="rect"/>
                    <a:ln/>
                  </pic:spPr>
                </pic:pic>
              </a:graphicData>
            </a:graphic>
          </wp:anchor>
        </w:drawing>
      </w:r>
    </w:p>
    <w:p w:rsidR="00000000" w:rsidDel="00000000" w:rsidP="00000000" w:rsidRDefault="00000000" w:rsidRPr="00000000" w14:paraId="000000DE">
      <w:pPr>
        <w:pStyle w:val="Heading1"/>
        <w:spacing w:line="240" w:lineRule="auto"/>
        <w:jc w:val="center"/>
        <w:rPr>
          <w:rFonts w:ascii="Arial" w:cs="Arial" w:eastAsia="Arial" w:hAnsi="Arial"/>
          <w:b w:val="1"/>
          <w:bCs w:val="1"/>
          <w:color w:val="000000"/>
          <w:sz w:val="28"/>
          <w:szCs w:val="28"/>
          <w:highlight w:val="white"/>
        </w:rPr>
      </w:pPr>
      <w:bookmarkStart w:colFirst="0" w:colLast="0" w:name="_heading=h.j79znwjoahyc" w:id="15"/>
      <w:bookmarkEnd w:id="15"/>
      <w:r w:rsidDel="00000000" w:rsidR="00000000" w:rsidRPr="00000000">
        <w:rPr>
          <w:rFonts w:ascii="Arial" w:cs="Arial" w:eastAsia="Arial" w:hAnsi="Arial"/>
          <w:b w:val="1"/>
          <w:bCs w:val="1"/>
          <w:color w:val="000000"/>
          <w:sz w:val="28"/>
          <w:szCs w:val="28"/>
          <w:highlight w:val="white"/>
          <w:rtl w:val="0"/>
        </w:rPr>
        <w:t xml:space="preserve">FASE II</w:t>
      </w:r>
    </w:p>
    <w:p w:rsidR="00000000" w:rsidDel="00000000" w:rsidP="00000000" w:rsidRDefault="00000000" w:rsidRPr="00000000" w14:paraId="000000DF">
      <w:pPr>
        <w:pStyle w:val="Heading1"/>
        <w:spacing w:line="480" w:lineRule="auto"/>
        <w:jc w:val="center"/>
        <w:rPr>
          <w:rFonts w:ascii="Arial" w:cs="Arial" w:eastAsia="Arial" w:hAnsi="Arial"/>
          <w:b w:val="1"/>
          <w:bCs w:val="1"/>
          <w:color w:val="000000"/>
          <w:sz w:val="28"/>
          <w:szCs w:val="28"/>
          <w:highlight w:val="white"/>
        </w:rPr>
      </w:pPr>
      <w:bookmarkStart w:colFirst="0" w:colLast="0" w:name="_heading=h.etuk63y5k6k5" w:id="16"/>
      <w:bookmarkEnd w:id="16"/>
      <w:r w:rsidDel="00000000" w:rsidR="00000000" w:rsidRPr="00000000">
        <w:rPr>
          <w:rFonts w:ascii="Arial" w:cs="Arial" w:eastAsia="Arial" w:hAnsi="Arial"/>
          <w:b w:val="1"/>
          <w:bCs w:val="1"/>
          <w:color w:val="000000"/>
          <w:sz w:val="28"/>
          <w:szCs w:val="28"/>
          <w:highlight w:val="white"/>
          <w:rtl w:val="0"/>
        </w:rPr>
        <w:t xml:space="preserve">MARCO TEÓRICO</w:t>
      </w:r>
    </w:p>
    <w:p w:rsidR="00000000" w:rsidDel="00000000" w:rsidP="00000000" w:rsidRDefault="00000000" w:rsidRPr="00000000" w14:paraId="000000E0">
      <w:pPr>
        <w:spacing w:after="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highlight w:val="white"/>
          <w:rtl w:val="0"/>
        </w:rPr>
        <w:t xml:space="preserve"> </w:t>
        <w:tab/>
        <w:t xml:space="preserve">El marco teórico constituye el resultado de la selección y sistematización de aquellos aspectos más relevantes del cuerpo teórico y epistemológico asumido, directamente relacionados con el tema específico elegido para el estudio. Su construcción implica la exhaustiva recopilación y análisis de información teórica documentada por diversos autores, lo cual es esencial para conferir relevancia, profundidad y solidez al proceso investigativo.</w:t>
      </w:r>
      <w:r w:rsidDel="00000000" w:rsidR="00000000" w:rsidRPr="00000000">
        <w:rPr>
          <w:rtl w:val="0"/>
        </w:rPr>
        <w:t xml:space="preserve"> </w:t>
      </w:r>
      <w:r w:rsidDel="00000000" w:rsidR="00000000" w:rsidRPr="00000000">
        <w:rPr>
          <w:rFonts w:ascii="Arial" w:cs="Arial" w:eastAsia="Arial" w:hAnsi="Arial"/>
          <w:sz w:val="24"/>
          <w:szCs w:val="24"/>
          <w:rtl w:val="0"/>
        </w:rPr>
        <w:t xml:space="preserve">Sampieri, (2018) dice; </w:t>
      </w:r>
      <w:r w:rsidDel="00000000" w:rsidR="00000000" w:rsidRPr="00000000">
        <w:rPr>
          <w:rFonts w:ascii="Arial" w:cs="Arial" w:eastAsia="Arial" w:hAnsi="Arial"/>
          <w:color w:val="000000"/>
          <w:sz w:val="24"/>
          <w:szCs w:val="24"/>
          <w:rtl w:val="0"/>
        </w:rPr>
        <w:t xml:space="preserve">Todo marco teórico debe construirse sobre investigaciones previas que establezcan puntos de referencia claros y brechas por resolver" (p. 64). En este proyecto, se retoman experiencias.</w:t>
      </w:r>
    </w:p>
    <w:p w:rsidR="00000000" w:rsidDel="00000000" w:rsidP="00000000" w:rsidRDefault="00000000" w:rsidRPr="00000000" w14:paraId="000000E1">
      <w:pPr>
        <w:spacing w:after="0" w:line="360" w:lineRule="auto"/>
        <w:jc w:val="both"/>
        <w:rPr>
          <w:rFonts w:ascii="Arial" w:cs="Arial" w:eastAsia="Arial" w:hAnsi="Arial"/>
          <w:color w:val="000000"/>
          <w:sz w:val="24"/>
          <w:szCs w:val="24"/>
          <w:highlight w:val="white"/>
        </w:rPr>
      </w:pPr>
      <w:r w:rsidDel="00000000" w:rsidR="00000000" w:rsidRPr="00000000">
        <w:rPr>
          <w:rtl w:val="0"/>
        </w:rPr>
      </w:r>
    </w:p>
    <w:p w:rsidR="00000000" w:rsidDel="00000000" w:rsidP="00000000" w:rsidRDefault="00000000" w:rsidRPr="00000000" w14:paraId="000000E2">
      <w:pPr>
        <w:spacing w:after="0" w:line="360" w:lineRule="auto"/>
        <w:ind w:firstLine="72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En esta sección crucial del proyecto, se hará referencia explícita a los antecedentes de investigaciones previas y a las diversas teorías que sustentan conceptual y metodológicamente la solución propuesta, proporcionando un anclaje disciplinar robusto al "Diseño Web para la Gestión y Evaluación de Proyectos Socio-Tecnológicos UNEXCA".</w:t>
      </w:r>
    </w:p>
    <w:p w:rsidR="00000000" w:rsidDel="00000000" w:rsidP="00000000" w:rsidRDefault="00000000" w:rsidRPr="00000000" w14:paraId="000000E3">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E4">
      <w:pPr>
        <w:pStyle w:val="Heading2"/>
        <w:spacing w:line="480" w:lineRule="auto"/>
        <w:rPr>
          <w:rFonts w:ascii="Arial" w:cs="Arial" w:eastAsia="Arial" w:hAnsi="Arial"/>
          <w:b w:val="1"/>
          <w:bCs w:val="1"/>
          <w:color w:val="000000"/>
          <w:sz w:val="24"/>
          <w:szCs w:val="24"/>
          <w:highlight w:val="white"/>
        </w:rPr>
      </w:pPr>
      <w:bookmarkStart w:colFirst="0" w:colLast="0" w:name="_heading=h.mgqywwfmfbbe" w:id="17"/>
      <w:bookmarkEnd w:id="17"/>
      <w:r w:rsidDel="00000000" w:rsidR="00000000" w:rsidRPr="00000000">
        <w:rPr>
          <w:rFonts w:ascii="Arial" w:cs="Arial" w:eastAsia="Arial" w:hAnsi="Arial"/>
          <w:b w:val="1"/>
          <w:bCs w:val="1"/>
          <w:color w:val="000000"/>
          <w:sz w:val="24"/>
          <w:szCs w:val="24"/>
          <w:highlight w:val="white"/>
          <w:rtl w:val="0"/>
        </w:rPr>
        <w:t xml:space="preserve">ANTECEDENTES DE LA INVESTIGACIÓN.</w:t>
      </w:r>
    </w:p>
    <w:p w:rsidR="00000000" w:rsidDel="00000000" w:rsidP="00000000" w:rsidRDefault="00000000" w:rsidRPr="00000000" w14:paraId="000000E5">
      <w:pPr>
        <w:spacing w:after="0"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En el ámbito de la gestión digital de proyectos académicos, varios estudios previos han sentado bases relevantes para el proyecto “Diseño Web para la Gestión y Evaluación de Proyectos Socio-Tecnológicos UNEXCA” que servirán como un valioso apoyo en sus diversas fases de desarrollo, proporcionando bases conceptuales, metodológicas o técnicas en diversas fases del desarrollo del presente proyecto. Se presentan en estricto orden cronológico.</w:t>
      </w:r>
    </w:p>
    <w:p w:rsidR="00000000" w:rsidDel="00000000" w:rsidP="00000000" w:rsidRDefault="00000000" w:rsidRPr="00000000" w14:paraId="000000E6">
      <w:pPr>
        <w:spacing w:after="0" w:line="360" w:lineRule="auto"/>
        <w:jc w:val="both"/>
        <w:rPr>
          <w:rFonts w:ascii="Arial" w:cs="Arial" w:eastAsia="Arial" w:hAnsi="Arial"/>
          <w:color w:val="000000"/>
          <w:sz w:val="24"/>
          <w:szCs w:val="24"/>
          <w:highlight w:val="white"/>
        </w:rPr>
      </w:pPr>
      <w:r w:rsidDel="00000000" w:rsidR="00000000" w:rsidRPr="00000000">
        <w:rPr>
          <w:rtl w:val="0"/>
        </w:rPr>
      </w:r>
    </w:p>
    <w:p w:rsidR="00000000" w:rsidDel="00000000" w:rsidP="00000000" w:rsidRDefault="00000000" w:rsidRPr="00000000" w14:paraId="000000E7">
      <w:pPr>
        <w:spacing w:after="0"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En el ámbito de la gestión digital de proyectos académicos, varios estudios previos han sentado bases relevantes para este proyecto. En 2015, López y Rojas desarrollaron "Sistema de Gestión de Proyectos Estudiantiles basado en Software Libre", una plataforma pionera en la Universidad de Los Andes (Venezuela) que permitió registrar y evaluar trabajos de grado mediante un enfoque colaborativo. Este estudio demostró la factibilidad de usar tecnologías de código abierto (como PHP y MySQL) para reducir costos institucionales, brindando soporte técnico a la fase de desarrollo del presente proyecto.</w:t>
      </w:r>
    </w:p>
    <w:p w:rsidR="00000000" w:rsidDel="00000000" w:rsidP="00000000" w:rsidRDefault="00000000" w:rsidRPr="00000000" w14:paraId="000000E8">
      <w:pPr>
        <w:spacing w:after="0" w:line="360" w:lineRule="auto"/>
        <w:jc w:val="both"/>
        <w:rPr>
          <w:rFonts w:ascii="Arial" w:cs="Arial" w:eastAsia="Arial" w:hAnsi="Arial"/>
          <w:color w:val="000000"/>
          <w:sz w:val="24"/>
          <w:szCs w:val="24"/>
          <w:highlight w:val="white"/>
        </w:rPr>
      </w:pPr>
      <w:r w:rsidDel="00000000" w:rsidR="00000000" w:rsidRPr="00000000">
        <w:rPr>
          <w:rtl w:val="0"/>
        </w:rPr>
      </w:r>
    </w:p>
    <w:p w:rsidR="00000000" w:rsidDel="00000000" w:rsidP="00000000" w:rsidRDefault="00000000" w:rsidRPr="00000000" w14:paraId="000000E9">
      <w:pPr>
        <w:spacing w:after="0"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En 2019, el trabajo "Plataformas web para la evaluación formativa en educación superior" (Martínez et al.) analizó experiencias en cinco universidades latinoamericanas, destacando cómo herramientas digitales mejoraron la retroalimentación docente-estudiante en tiempo real. Sus hallazgos sobre métricas de usabilidad y adopción sustentan el diseño de las funcionalidades de evaluación continúas propuestas para la UNEXCA.</w:t>
      </w:r>
    </w:p>
    <w:p w:rsidR="00000000" w:rsidDel="00000000" w:rsidP="00000000" w:rsidRDefault="00000000" w:rsidRPr="00000000" w14:paraId="000000EA">
      <w:pPr>
        <w:spacing w:after="0" w:line="360" w:lineRule="auto"/>
        <w:jc w:val="both"/>
        <w:rPr>
          <w:rFonts w:ascii="Arial" w:cs="Arial" w:eastAsia="Arial" w:hAnsi="Arial"/>
          <w:color w:val="000000"/>
          <w:sz w:val="24"/>
          <w:szCs w:val="24"/>
          <w:highlight w:val="white"/>
        </w:rPr>
      </w:pPr>
      <w:r w:rsidDel="00000000" w:rsidR="00000000" w:rsidRPr="00000000">
        <w:rPr>
          <w:rtl w:val="0"/>
        </w:rPr>
      </w:r>
    </w:p>
    <w:p w:rsidR="00000000" w:rsidDel="00000000" w:rsidP="00000000" w:rsidRDefault="00000000" w:rsidRPr="00000000" w14:paraId="000000EB">
      <w:pPr>
        <w:spacing w:after="0"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Más reciente, en 2022, el proyecto "TIC y vinculación social, una plataforma para proyectos comunitarios" (García y Fernández) implementó un sistema en la Universidad Nacional Experimental del Táchira que integró geolocalización y reportes de impacto social. Esta investigación aporta metodologías validadas para medir el alcance comunitario de los proyectos, aspecto crítico que este proyecto retoma en su fase de diagnóstico participativo.</w:t>
      </w:r>
    </w:p>
    <w:p w:rsidR="00000000" w:rsidDel="00000000" w:rsidP="00000000" w:rsidRDefault="00000000" w:rsidRPr="00000000" w14:paraId="000000EC">
      <w:pPr>
        <w:spacing w:after="0" w:line="360" w:lineRule="auto"/>
        <w:jc w:val="both"/>
        <w:rPr>
          <w:rFonts w:ascii="Arial" w:cs="Arial" w:eastAsia="Arial" w:hAnsi="Arial"/>
          <w:color w:val="000000"/>
          <w:sz w:val="24"/>
          <w:szCs w:val="24"/>
          <w:highlight w:val="white"/>
        </w:rPr>
      </w:pPr>
      <w:r w:rsidDel="00000000" w:rsidR="00000000" w:rsidRPr="00000000">
        <w:rPr>
          <w:rtl w:val="0"/>
        </w:rPr>
      </w:r>
    </w:p>
    <w:p w:rsidR="00000000" w:rsidDel="00000000" w:rsidP="00000000" w:rsidRDefault="00000000" w:rsidRPr="00000000" w14:paraId="000000ED">
      <w:pPr>
        <w:spacing w:after="0"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Estos antecedentes, ordenados cronológicamente, ofrecen un marco de referencia sólido, desde soluciones técnicas iniciales (López y Rojas, 2015), hasta mejoras en evaluación (Martínez et al., 2019) e impacto social (García y Fernández, 2022). Cada uno brinda soporte en fases específicas del proyecto actual, desde el desarrollo hasta la medición de resultados.</w:t>
      </w:r>
    </w:p>
    <w:p w:rsidR="00000000" w:rsidDel="00000000" w:rsidP="00000000" w:rsidRDefault="00000000" w:rsidRPr="00000000" w14:paraId="000000EE">
      <w:pPr>
        <w:spacing w:after="0" w:line="360" w:lineRule="auto"/>
        <w:jc w:val="both"/>
        <w:rPr>
          <w:rFonts w:ascii="Arial" w:cs="Arial" w:eastAsia="Arial" w:hAnsi="Arial"/>
          <w:color w:val="000000"/>
          <w:sz w:val="24"/>
          <w:szCs w:val="24"/>
          <w:highlight w:val="white"/>
        </w:rPr>
      </w:pPr>
      <w:r w:rsidDel="00000000" w:rsidR="00000000" w:rsidRPr="00000000">
        <w:rPr>
          <w:rtl w:val="0"/>
        </w:rPr>
      </w:r>
    </w:p>
    <w:p w:rsidR="00000000" w:rsidDel="00000000" w:rsidP="00000000" w:rsidRDefault="00000000" w:rsidRPr="00000000" w14:paraId="000000EF">
      <w:pPr>
        <w:pStyle w:val="Heading2"/>
        <w:spacing w:line="480" w:lineRule="auto"/>
        <w:rPr>
          <w:rFonts w:ascii="Arial" w:cs="Arial" w:eastAsia="Arial" w:hAnsi="Arial"/>
          <w:b w:val="1"/>
          <w:bCs w:val="1"/>
          <w:color w:val="000000"/>
          <w:sz w:val="24"/>
          <w:szCs w:val="24"/>
          <w:highlight w:val="white"/>
        </w:rPr>
      </w:pPr>
      <w:bookmarkStart w:colFirst="0" w:colLast="0" w:name="_heading=h.8kfd8e2mpx8" w:id="18"/>
      <w:bookmarkEnd w:id="18"/>
      <w:r w:rsidDel="00000000" w:rsidR="00000000" w:rsidRPr="00000000">
        <w:rPr>
          <w:rFonts w:ascii="Arial" w:cs="Arial" w:eastAsia="Arial" w:hAnsi="Arial"/>
          <w:b w:val="1"/>
          <w:bCs w:val="1"/>
          <w:color w:val="000000"/>
          <w:sz w:val="24"/>
          <w:szCs w:val="24"/>
          <w:highlight w:val="white"/>
          <w:rtl w:val="0"/>
        </w:rPr>
        <w:t xml:space="preserve">BASES TEÓRICAS</w:t>
      </w:r>
    </w:p>
    <w:p w:rsidR="00000000" w:rsidDel="00000000" w:rsidP="00000000" w:rsidRDefault="00000000" w:rsidRPr="00000000" w14:paraId="000000F0">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Los sistemas de información constituyen el eje central de este proyecto, al proporcionar la estructura tecnológica necesaria para transformar procesos manuales en automatizados, optimizando la eficiencia y la toma de decisiones. En el ámbito educativo, estos sistemas se clasifican en tipologías como transaccionales, de apoyo a decisiones o de gestión, cada una con arquitecturas específicas adaptables a las necesidades institucionales. Su implementación en la UNEXCA permitirá centralizar la gestión de proyectos sociotecnológicos, garantizando trazabilidad y transparencia en cada fase del proceso académico.</w:t>
      </w:r>
    </w:p>
    <w:p w:rsidR="00000000" w:rsidDel="00000000" w:rsidP="00000000" w:rsidRDefault="00000000" w:rsidRPr="00000000" w14:paraId="000000F1">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La gestión de proyectos, por su parte, ofrece el marco metodológico para planificar, ejecutar y evaluar las iniciativas estudiantiles. Este proyecto se sustenta en enfoques como PMBOK y metodologías ágiles (Scrum o Kanban), que serán integrados en la plataforma para facilitar el seguimiento de las fases de inicio, planificación, ejecución, monitoreo y cierre. Estas prácticas asegurarán una evaluación estructurada y en tiempo real, alineada con los objetivos formativos del PNFI.</w:t>
      </w:r>
    </w:p>
    <w:p w:rsidR="00000000" w:rsidDel="00000000" w:rsidP="00000000" w:rsidRDefault="00000000" w:rsidRPr="00000000" w14:paraId="000000F2">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El diseño web y la experiencia de usuario (UX/UI) son pilares fundamentales para garantizar la adopción efectiva de la plataforma. Principios como usabilidad, accesibilidad e interactividad guiarán el desarrollo de interfaces intuitivas, mientras que el diseño responsivo asegurará su adaptabilidad a distintos dispositivos. Estas consideraciones técnicas buscan eliminar barreras de uso para estudiantes, tutores y coordinadores, promoviendo una interacción fluida con el sistema.</w:t>
      </w:r>
    </w:p>
    <w:p w:rsidR="00000000" w:rsidDel="00000000" w:rsidP="00000000" w:rsidRDefault="00000000" w:rsidRPr="00000000" w14:paraId="000000F3">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La base de datos, diseñada bajo modelos entidad-relación y principios de normalización, garantizará la integridad y consistencia de la información. Mediante un sistema de gestión como MySQL, se optimizará el almacenamiento y recuperación de datos, soportando funciones críticas como el registro de proyectos, la evaluación docente y la generación de reportes.</w:t>
      </w:r>
    </w:p>
    <w:p w:rsidR="00000000" w:rsidDel="00000000" w:rsidP="00000000" w:rsidRDefault="00000000" w:rsidRPr="00000000" w14:paraId="000000F4">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En el desarrollo web, se emplearán tecnologías frontend (HTML, CSS, JavaScript y React.js) para crear interfaces dinámicas, mientras que el backend (PHP) gestionará la lógica de negocio y la conexión con la base de datos. Esta combinación tecnológica asegurará un sistema robusto, escalable y alineado con los estándares actuales de programación.</w:t>
      </w:r>
    </w:p>
    <w:p w:rsidR="00000000" w:rsidDel="00000000" w:rsidP="00000000" w:rsidRDefault="00000000" w:rsidRPr="00000000" w14:paraId="000000F5">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Las plataformas educativas y su rol en la educación a distancia complementan estas bases teóricas. Al integrar características de sistemas LMS, la solución facilitará la comunicación, colaboración y evaluación de proyectos, reforzando el vínculo entre la universidad y las comunidades. Este enfoque no solo digitaliza procesos, sino que también potencia el impacto social de las iniciativas estudiantiles.</w:t>
      </w:r>
    </w:p>
    <w:p w:rsidR="00000000" w:rsidDel="00000000" w:rsidP="00000000" w:rsidRDefault="00000000" w:rsidRPr="00000000" w14:paraId="000000F6">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Finalmente, la Investigación Acción Participativa (IAP) sustenta tanto la metodología del proyecto como su desarrollo técnico. Al involucrar activamente a estudiantes, tutores y actores comunitarios en el diseño e implementación, se asegura que la plataforma responda a necesidades reales y promueva la apropiación colectiva. La IAP, con sus ciclos de reflexión-acción, garantiza que el sistema sea una herramienta transformadora y no solo tecnológica.</w:t>
      </w:r>
    </w:p>
    <w:p w:rsidR="00000000" w:rsidDel="00000000" w:rsidP="00000000" w:rsidRDefault="00000000" w:rsidRPr="00000000" w14:paraId="000000F7">
      <w:pPr>
        <w:spacing w:line="360" w:lineRule="auto"/>
        <w:jc w:val="both"/>
        <w:rPr>
          <w:rFonts w:ascii="Arial" w:cs="Arial" w:eastAsia="Arial" w:hAnsi="Arial"/>
          <w:color w:val="000000"/>
          <w:sz w:val="24"/>
          <w:szCs w:val="24"/>
          <w:highlight w:val="white"/>
        </w:rPr>
      </w:pPr>
      <w:r w:rsidDel="00000000" w:rsidR="00000000" w:rsidRPr="00000000">
        <w:rPr>
          <w:rtl w:val="0"/>
        </w:rPr>
      </w:r>
    </w:p>
    <w:p w:rsidR="00000000" w:rsidDel="00000000" w:rsidP="00000000" w:rsidRDefault="00000000" w:rsidRPr="00000000" w14:paraId="000000F8">
      <w:pPr>
        <w:pStyle w:val="Heading2"/>
        <w:spacing w:line="480" w:lineRule="auto"/>
        <w:rPr>
          <w:rFonts w:ascii="Arial" w:cs="Arial" w:eastAsia="Arial" w:hAnsi="Arial"/>
          <w:b w:val="1"/>
          <w:bCs w:val="1"/>
          <w:color w:val="000000"/>
          <w:sz w:val="24"/>
          <w:szCs w:val="24"/>
          <w:highlight w:val="white"/>
        </w:rPr>
      </w:pPr>
      <w:bookmarkStart w:colFirst="0" w:colLast="0" w:name="_heading=h.o3vw5uvjxg6i" w:id="19"/>
      <w:bookmarkEnd w:id="19"/>
      <w:r w:rsidDel="00000000" w:rsidR="00000000" w:rsidRPr="00000000">
        <w:rPr>
          <w:rFonts w:ascii="Arial" w:cs="Arial" w:eastAsia="Arial" w:hAnsi="Arial"/>
          <w:b w:val="1"/>
          <w:bCs w:val="1"/>
          <w:color w:val="000000"/>
          <w:sz w:val="24"/>
          <w:szCs w:val="24"/>
          <w:highlight w:val="white"/>
          <w:rtl w:val="0"/>
        </w:rPr>
        <w:t xml:space="preserve">BASES LEGALES</w:t>
      </w:r>
    </w:p>
    <w:p w:rsidR="00000000" w:rsidDel="00000000" w:rsidP="00000000" w:rsidRDefault="00000000" w:rsidRPr="00000000" w14:paraId="000000F9">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El proyecto se sustenta en el marco jurídico venezolano que garantiza el derecho a la educación, la innovación tecnológica y la participación ciudadana. La Constitución de la República Bolivariana de Venezuela (1999) establece en su Artículo 102 el acceso a la educación como derecho humano fundamental, mientras que el Artículo 110 promueve la ciencia y la tecnología como herramientas para el desarrollo nacional. Asimismo, el Artículo 62 consagra la participación protagónica del pueblo, principio que fundamenta el enfoque colaborativo de la plataforma al involucrar a estudiantes, tutores y comunidades en su diseño y uso.</w:t>
      </w:r>
    </w:p>
    <w:p w:rsidR="00000000" w:rsidDel="00000000" w:rsidP="00000000" w:rsidRDefault="00000000" w:rsidRPr="00000000" w14:paraId="000000FA">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La Ley Orgánica de Educación (LOE) refuerza este marco al destacar el rol de la universidad en la investigación aplicada y su vinculación con las necesidades sociales. En su Artículo 34, exige a las instituciones de educación superior fomentar proyectos que integren saberes académicos y comunitarios, lo que valida la naturaleza sociotecnológica de esta iniciativa. Además, el Artículo 12 enfatiza la corresponsabilidad entre universidad y sociedad, alineándose con el objetivo de la plataforma de visibilizar el impacto social de los proyectos estudiantiles.</w:t>
      </w:r>
    </w:p>
    <w:p w:rsidR="00000000" w:rsidDel="00000000" w:rsidP="00000000" w:rsidRDefault="00000000" w:rsidRPr="00000000" w14:paraId="000000FB">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El proyecto se articula explícitamente con el *Plan de la Patria 2025-2030*, en particular con el Objetivo Nacional 2.3, que promueve la soberanía tecnológica y la democratización del conocimiento. Al desarrollar una herramienta con software libre y enfoque social, se contribuye a la construcción de un sistema educativo innovador (Objetivo 1.5) y a la formación de profesionales comprometidos con la transformación productiva del país (Objetivo 3.2).</w:t>
      </w:r>
    </w:p>
    <w:p w:rsidR="00000000" w:rsidDel="00000000" w:rsidP="00000000" w:rsidRDefault="00000000" w:rsidRPr="00000000" w14:paraId="000000FC">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En el ámbito institucional, el proyecto se alinea con las Líneas de Investigación del PNFI, específicamente con.</w:t>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Desarrollo de software para la gestión social, al ofrecer una solución tecnológica que optimiza procesos académicos con impacto comunitario.</w:t>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Automatización de procesos educativos, al digitalizar la evaluación y seguimiento de proyectos.</w:t>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TIC para la inclusión social, al garantizar acceso equitativo a la información y promover la participación ciudadana.</w:t>
      </w:r>
    </w:p>
    <w:p w:rsidR="00000000" w:rsidDel="00000000" w:rsidP="00000000" w:rsidRDefault="00000000" w:rsidRPr="00000000" w14:paraId="00000100">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En cuanto a protección de datos, el proyecto cumple con los principios establecidos en la Ley de Protección de Datos Personales (2021), garantizando confidencialidad en el manejo de información académica. Se implementarán protocolos de seguridad para resguardar datos de usuarios (estudiantes, tutores y coordinadores), en concordancia con el Artículo 28 de dicha ley.</w:t>
      </w:r>
    </w:p>
    <w:p w:rsidR="00000000" w:rsidDel="00000000" w:rsidP="00000000" w:rsidRDefault="00000000" w:rsidRPr="00000000" w14:paraId="00000101">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Finalmente, las Normativas Internas de la UNEXCA respaldan la iniciativa.</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El Reglamento de Proyectos Sociotecnológicos del PNFI (2020) exige sistematizar y evaluar los proyectos estudiantiles, lo que justifica la necesidad de la plataforma.</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La Resolución 045-2024 sobre uso de TIC en la gestión académica establece directrices para implementar herramientas digitales institucionales, asegurando la viabilidad operativa del sistema.</w:t>
      </w:r>
    </w:p>
    <w:p w:rsidR="00000000" w:rsidDel="00000000" w:rsidP="00000000" w:rsidRDefault="00000000" w:rsidRPr="00000000" w14:paraId="00000104">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Transversalidad con los Ejes del PNFI</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Eje Proyecto. La plataforma es en sí misma un proyecto sociotecnológico que resuelve una necesidad institucional.</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Eje Socio-Crítico. Fomenta la reflexión sobre el rol de la tecnología en la educación transformadora.</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Eje Profesional. Desarrolla competencias técnicas en los estudiantes (programación, gestión de proyectos) vinculadas a su perfil de egreso.</w:t>
      </w:r>
    </w:p>
    <w:p w:rsidR="00000000" w:rsidDel="00000000" w:rsidP="00000000" w:rsidRDefault="00000000" w:rsidRPr="00000000" w14:paraId="00000108">
      <w:pPr>
        <w:pStyle w:val="Heading1"/>
        <w:spacing w:line="240" w:lineRule="auto"/>
        <w:jc w:val="center"/>
        <w:rPr>
          <w:rFonts w:ascii="Arial" w:cs="Arial" w:eastAsia="Arial" w:hAnsi="Arial"/>
          <w:b w:val="1"/>
          <w:bCs w:val="1"/>
          <w:color w:val="000000"/>
          <w:sz w:val="28"/>
          <w:szCs w:val="28"/>
          <w:highlight w:val="white"/>
        </w:rPr>
      </w:pPr>
      <w:bookmarkStart w:colFirst="0" w:colLast="0" w:name="_heading=h.lyohp634a0x" w:id="20"/>
      <w:bookmarkEnd w:id="20"/>
      <w:r w:rsidDel="00000000" w:rsidR="00000000" w:rsidRPr="00000000">
        <w:br w:type="page"/>
      </w:r>
      <w:r w:rsidDel="00000000" w:rsidR="00000000" w:rsidRPr="00000000">
        <w:rPr>
          <w:rFonts w:ascii="Arial" w:cs="Arial" w:eastAsia="Arial" w:hAnsi="Arial"/>
          <w:b w:val="1"/>
          <w:bCs w:val="1"/>
          <w:color w:val="000000"/>
          <w:sz w:val="28"/>
          <w:szCs w:val="28"/>
          <w:highlight w:val="white"/>
          <w:rtl w:val="0"/>
        </w:rPr>
        <w:t xml:space="preserve">FASE III</w:t>
      </w:r>
    </w:p>
    <w:p w:rsidR="00000000" w:rsidDel="00000000" w:rsidP="00000000" w:rsidRDefault="00000000" w:rsidRPr="00000000" w14:paraId="00000109">
      <w:pPr>
        <w:pStyle w:val="Heading1"/>
        <w:spacing w:line="480" w:lineRule="auto"/>
        <w:jc w:val="center"/>
        <w:rPr>
          <w:rFonts w:ascii="Arial" w:cs="Arial" w:eastAsia="Arial" w:hAnsi="Arial"/>
          <w:b w:val="1"/>
          <w:bCs w:val="1"/>
          <w:color w:val="000000"/>
          <w:sz w:val="28"/>
          <w:szCs w:val="28"/>
          <w:highlight w:val="white"/>
        </w:rPr>
      </w:pPr>
      <w:bookmarkStart w:colFirst="0" w:colLast="0" w:name="_heading=h.n69ygj2qfxai" w:id="21"/>
      <w:bookmarkEnd w:id="21"/>
      <w:r w:rsidDel="00000000" w:rsidR="00000000" w:rsidRPr="00000000">
        <w:rPr>
          <w:rFonts w:ascii="Arial" w:cs="Arial" w:eastAsia="Arial" w:hAnsi="Arial"/>
          <w:b w:val="1"/>
          <w:bCs w:val="1"/>
          <w:color w:val="000000"/>
          <w:sz w:val="28"/>
          <w:szCs w:val="28"/>
          <w:highlight w:val="white"/>
          <w:rtl w:val="0"/>
        </w:rPr>
        <w:t xml:space="preserve">METODOLOGÍA</w:t>
      </w:r>
    </w:p>
    <w:p w:rsidR="00000000" w:rsidDel="00000000" w:rsidP="00000000" w:rsidRDefault="00000000" w:rsidRPr="00000000" w14:paraId="0000010A">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El marco metodológico representa el conjunto estructurado de acciones y procedimientos sistemáticos destinados a describir y analizar en profundidad el problema planteado, a través de la aplicación de técnicas específicas de observación, recolección y análisis de datos. En esencia, determina el "cómo" se llevará a cabo el estudio para alcanzar los objetivos propuestos. Arias (2012) lo define como el conjunto de pasos, técnicas y procedimientos que se emplean de manera organizada para formular y resolver problemas de investigación. Por su parte, Tamayo y Tamayo (2003) lo conciben como un proceso riguroso que, mediante el método científico, busca obtener información relevante para comprender, verificar, corregir o aplicar el conocimiento existente, asegurando la validez y confiabilidad de los resultados.</w:t>
      </w:r>
    </w:p>
    <w:p w:rsidR="00000000" w:rsidDel="00000000" w:rsidP="00000000" w:rsidRDefault="00000000" w:rsidRPr="00000000" w14:paraId="0000010B">
      <w:pPr>
        <w:spacing w:line="360" w:lineRule="auto"/>
        <w:jc w:val="both"/>
        <w:rPr>
          <w:rFonts w:ascii="Arial" w:cs="Arial" w:eastAsia="Arial" w:hAnsi="Arial"/>
          <w:color w:val="000000"/>
          <w:sz w:val="24"/>
          <w:szCs w:val="24"/>
          <w:highlight w:val="white"/>
        </w:rPr>
      </w:pPr>
      <w:r w:rsidDel="00000000" w:rsidR="00000000" w:rsidRPr="00000000">
        <w:rPr>
          <w:rtl w:val="0"/>
        </w:rPr>
      </w:r>
    </w:p>
    <w:p w:rsidR="00000000" w:rsidDel="00000000" w:rsidP="00000000" w:rsidRDefault="00000000" w:rsidRPr="00000000" w14:paraId="0000010C">
      <w:pPr>
        <w:pStyle w:val="Heading2"/>
        <w:spacing w:line="480" w:lineRule="auto"/>
        <w:rPr>
          <w:rFonts w:ascii="Arial" w:cs="Arial" w:eastAsia="Arial" w:hAnsi="Arial"/>
          <w:b w:val="1"/>
          <w:bCs w:val="1"/>
          <w:color w:val="000000"/>
          <w:sz w:val="24"/>
          <w:szCs w:val="24"/>
          <w:highlight w:val="white"/>
        </w:rPr>
      </w:pPr>
      <w:bookmarkStart w:colFirst="0" w:colLast="0" w:name="_heading=h.e3dt5bas1lzu" w:id="22"/>
      <w:bookmarkEnd w:id="22"/>
      <w:r w:rsidDel="00000000" w:rsidR="00000000" w:rsidRPr="00000000">
        <w:rPr>
          <w:rFonts w:ascii="Arial" w:cs="Arial" w:eastAsia="Arial" w:hAnsi="Arial"/>
          <w:b w:val="1"/>
          <w:bCs w:val="1"/>
          <w:color w:val="000000"/>
          <w:sz w:val="24"/>
          <w:szCs w:val="24"/>
          <w:highlight w:val="white"/>
          <w:rtl w:val="0"/>
        </w:rPr>
        <w:t xml:space="preserve">TIPO DE INVESTIGACIÓN</w:t>
      </w:r>
    </w:p>
    <w:p w:rsidR="00000000" w:rsidDel="00000000" w:rsidP="00000000" w:rsidRDefault="00000000" w:rsidRPr="00000000" w14:paraId="0000010D">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El tipo de investigación empleado para el presente proyecto es de naturaleza mixta, combinando enfoques de campo y documental, con un claro propósito de generar un nuevo conocimiento aplicado y transformador. La investigación de campo es fundamental en este estudio, ya que permite obtener información directa, primaria y contextualizada del fenómeno en cuestión. Esto implica la interacción directa con los sujetos investigados (estudiantes, tutores, coordinadores) y la observación de los procesos en el entorno real donde ocurren los hechos en la UNEXCA, sede La Floresta, sin manipular variables. Este enfoque es crucial para comprender las problemáticas actuales y las necesidades específicas de los usuarios. Complementariamente, se recurrió a la investigación documental para la recopilación de información secundaria y la construcción de un marco teórico y contextual sólido. Esto incluyó la revisión de normativas institucionales de la UNEXCA, manuales existentes de gestión de proyectos, documentos académicos relacionados con sistemas de información educativa y plataformas de gestión académica, y literatura especializada sobre metodologías de desarrollo de software y evaluación de proyectos sociotecnológicos. La combinación de ambos enfoques garantiza una visión holística del problema y una base sólida para la solución tecnológica.</w:t>
      </w:r>
    </w:p>
    <w:p w:rsidR="00000000" w:rsidDel="00000000" w:rsidP="00000000" w:rsidRDefault="00000000" w:rsidRPr="00000000" w14:paraId="0000010E">
      <w:pPr>
        <w:spacing w:line="360" w:lineRule="auto"/>
        <w:jc w:val="both"/>
        <w:rPr>
          <w:rFonts w:ascii="Arial" w:cs="Arial" w:eastAsia="Arial" w:hAnsi="Arial"/>
          <w:color w:val="000000"/>
          <w:sz w:val="24"/>
          <w:szCs w:val="24"/>
          <w:highlight w:val="white"/>
        </w:rPr>
      </w:pPr>
      <w:r w:rsidDel="00000000" w:rsidR="00000000" w:rsidRPr="00000000">
        <w:rPr>
          <w:rtl w:val="0"/>
        </w:rPr>
      </w:r>
    </w:p>
    <w:p w:rsidR="00000000" w:rsidDel="00000000" w:rsidP="00000000" w:rsidRDefault="00000000" w:rsidRPr="00000000" w14:paraId="0000010F">
      <w:pPr>
        <w:pStyle w:val="Heading2"/>
        <w:spacing w:line="480" w:lineRule="auto"/>
        <w:rPr>
          <w:rFonts w:ascii="Arial" w:cs="Arial" w:eastAsia="Arial" w:hAnsi="Arial"/>
          <w:b w:val="1"/>
          <w:bCs w:val="1"/>
          <w:color w:val="000000"/>
          <w:sz w:val="24"/>
          <w:szCs w:val="24"/>
          <w:highlight w:val="white"/>
        </w:rPr>
      </w:pPr>
      <w:bookmarkStart w:colFirst="0" w:colLast="0" w:name="_heading=h.t9bpt1j9jmfj" w:id="23"/>
      <w:bookmarkEnd w:id="23"/>
      <w:r w:rsidDel="00000000" w:rsidR="00000000" w:rsidRPr="00000000">
        <w:rPr>
          <w:rFonts w:ascii="Arial" w:cs="Arial" w:eastAsia="Arial" w:hAnsi="Arial"/>
          <w:b w:val="1"/>
          <w:bCs w:val="1"/>
          <w:color w:val="000000"/>
          <w:sz w:val="24"/>
          <w:szCs w:val="24"/>
          <w:highlight w:val="white"/>
          <w:rtl w:val="0"/>
        </w:rPr>
        <w:t xml:space="preserve">TÉCNICAS E INSTRUMENTOS DE RECOLECCIÓN DE DATOS</w:t>
      </w:r>
    </w:p>
    <w:p w:rsidR="00000000" w:rsidDel="00000000" w:rsidP="00000000" w:rsidRDefault="00000000" w:rsidRPr="00000000" w14:paraId="00000110">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La recolección de datos implica la elaboración de un plan detallado de procedimientos para reunir la información con un propósito específico y alineado con los objetivos del proyecto. Las técnicas de recolección de datos se refieren a las distintas formas o maneras de obtener esa información. Para este proyecto, se emplearon diversas técnicas que permitieron un abordaje integral del problema. Se utilizó la encuesta para recolectar datos cuantitativos y estandarizados, aplicada a una muestra significativa de la población para identificar patrones, frecuencias y percepciones generales. Complementariamente, se realizaron entrevistas, una técnica que facilitó la obtención de información cualitativa más profunda y detallada a través de la interacción directa con actores clave, permitiendo explorar sus perspectivas, experiencias y expectativas. La observación directa fue empleada para comprender el flujo de trabajo actual en la gestión de proyectos, identificar cuellos de botella y registrar necesidades no explícitamente mencionadas, proporcionando un contexto real de los procesos. Finalmente, el análisis documental fue crucial para revisar y extraer información relevante de documentos existentes, como reglamentos académicos y manuales de proyectos, que ayudaron a definir los requisitos del sistema y su alineación con las políticas institucionales.</w:t>
      </w:r>
    </w:p>
    <w:p w:rsidR="00000000" w:rsidDel="00000000" w:rsidP="00000000" w:rsidRDefault="00000000" w:rsidRPr="00000000" w14:paraId="00000111">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En cuanto a los instrumentos, que son los medios materiales o herramientas concretas empleadas para recoger y almacenar la información, se utilizaron; un cuestionario validado (implementado a través de Google Forms) para la aplicación de encuestas, asegurando la uniformidad en la recolección de datos cuantitativos; guías de entrevista estructuradas pero flexibles, que sirvieron de pauta para las entrevistas semi-estructuradas, facilitando la exploración de temas clave; un diario de campo para registrar las observaciones directas, incluyendo anotaciones, descripciones de procesos y reflexiones del equipo; y fichas de registro y clasificación de categorías para el análisis documental, permitiendo organizar y sistematizar la información extraída de los diversos documentos revisados.</w:t>
      </w:r>
    </w:p>
    <w:p w:rsidR="00000000" w:rsidDel="00000000" w:rsidP="00000000" w:rsidRDefault="00000000" w:rsidRPr="00000000" w14:paraId="00000112">
      <w:pPr>
        <w:spacing w:line="360" w:lineRule="auto"/>
        <w:jc w:val="both"/>
        <w:rPr>
          <w:rFonts w:ascii="Arial" w:cs="Arial" w:eastAsia="Arial" w:hAnsi="Arial"/>
          <w:color w:val="000000"/>
          <w:sz w:val="24"/>
          <w:szCs w:val="24"/>
          <w:highlight w:val="white"/>
        </w:rPr>
      </w:pPr>
      <w:r w:rsidDel="00000000" w:rsidR="00000000" w:rsidRPr="00000000">
        <w:rPr>
          <w:rtl w:val="0"/>
        </w:rPr>
      </w:r>
    </w:p>
    <w:p w:rsidR="00000000" w:rsidDel="00000000" w:rsidP="00000000" w:rsidRDefault="00000000" w:rsidRPr="00000000" w14:paraId="00000113">
      <w:pPr>
        <w:pStyle w:val="Heading2"/>
        <w:spacing w:line="480" w:lineRule="auto"/>
        <w:rPr>
          <w:rFonts w:ascii="Arial" w:cs="Arial" w:eastAsia="Arial" w:hAnsi="Arial"/>
          <w:b w:val="1"/>
          <w:bCs w:val="1"/>
          <w:color w:val="000000"/>
          <w:sz w:val="24"/>
          <w:szCs w:val="24"/>
          <w:highlight w:val="white"/>
        </w:rPr>
      </w:pPr>
      <w:bookmarkStart w:colFirst="0" w:colLast="0" w:name="_heading=h.cfw12ueyo4pb" w:id="24"/>
      <w:bookmarkEnd w:id="24"/>
      <w:r w:rsidDel="00000000" w:rsidR="00000000" w:rsidRPr="00000000">
        <w:rPr>
          <w:rFonts w:ascii="Arial" w:cs="Arial" w:eastAsia="Arial" w:hAnsi="Arial"/>
          <w:b w:val="1"/>
          <w:bCs w:val="1"/>
          <w:color w:val="000000"/>
          <w:sz w:val="24"/>
          <w:szCs w:val="24"/>
          <w:highlight w:val="white"/>
          <w:rtl w:val="0"/>
        </w:rPr>
        <w:t xml:space="preserve">POBLACIÓN Y MUESTRA</w:t>
      </w:r>
    </w:p>
    <w:p w:rsidR="00000000" w:rsidDel="00000000" w:rsidP="00000000" w:rsidRDefault="00000000" w:rsidRPr="00000000" w14:paraId="00000114">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En el contexto de una investigación para diseñar y desarrollar un sistema web, la población se define como el conjunto completo y accesible de personas, objetos o elementos que están directamente relacionados con el uso, la gestión o el impacto del sistema propuesto. Esta población debe ser claramente delimitada en función de sus características comunes, su ubicación geográfica, sus funciones específicas y el período de tiempo considerado, garantizando que la investigación sea precisa, relevante y que sus conclusiones puedan ser generalizadas de manera adecuada. Arias (2012) subraya que la población objetivo es un conjunto finito o infinito de elementos con características comunes para los cuales serán extensivas las conclusiones de la investigación, delimitada intrínsecamente por el problema y los objetivos del estudio. Para este proyecto, la población objetivo incluye a todos los estudiantes inscritos en el Programa Nacional de Formación en Informática (PNFI) de la Universidad Nacional Experimental de la Gran Caracas (UNEXCA), sede La Floresta, que están involucrados en el desarrollo de proyectos sociotecnológicos, así como a sus tutores académicos y los coordinadores del programa.</w:t>
      </w:r>
    </w:p>
    <w:p w:rsidR="00000000" w:rsidDel="00000000" w:rsidP="00000000" w:rsidRDefault="00000000" w:rsidRPr="00000000" w14:paraId="00000115">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Cuando no es factible abarcar la totalidad de los elementos que conforman la población accesible, se recurre a la selección de una muestra. La muestra es un subconjunto representativo y finito, cuidadosamente extraído de la población accesible, cuyo estudio permite inferir conclusiones válidas sobre el conjunto mayor. Para el presente proyecto, se seleccionó una muestra específica de 50 estudiantes y 10 tutores del PNFI. Esta muestra se consideró suficientemente representativa de la población total para la aplicación de las encuestas y la realización de las entrevistas, permitiendo la recopilación de información pertinente y la validación inicial de los requisitos del sistema directamente con los futuros usuarios.</w:t>
      </w:r>
    </w:p>
    <w:p w:rsidR="00000000" w:rsidDel="00000000" w:rsidP="00000000" w:rsidRDefault="00000000" w:rsidRPr="00000000" w14:paraId="00000116">
      <w:pPr>
        <w:pStyle w:val="Heading2"/>
        <w:spacing w:line="480" w:lineRule="auto"/>
        <w:rPr>
          <w:rFonts w:ascii="Arial" w:cs="Arial" w:eastAsia="Arial" w:hAnsi="Arial"/>
          <w:color w:val="000000"/>
          <w:sz w:val="24"/>
          <w:szCs w:val="24"/>
          <w:highlight w:val="white"/>
        </w:rPr>
      </w:pPr>
      <w:bookmarkStart w:colFirst="0" w:colLast="0" w:name="_heading=h.8o1k5hfgekl0" w:id="25"/>
      <w:bookmarkEnd w:id="25"/>
      <w:r w:rsidDel="00000000" w:rsidR="00000000" w:rsidRPr="00000000">
        <w:rPr>
          <w:rtl w:val="0"/>
        </w:rPr>
      </w:r>
    </w:p>
    <w:p w:rsidR="00000000" w:rsidDel="00000000" w:rsidP="00000000" w:rsidRDefault="00000000" w:rsidRPr="00000000" w14:paraId="00000117">
      <w:pPr>
        <w:pStyle w:val="Heading2"/>
        <w:spacing w:line="480" w:lineRule="auto"/>
        <w:rPr>
          <w:rFonts w:ascii="Arial" w:cs="Arial" w:eastAsia="Arial" w:hAnsi="Arial"/>
          <w:b w:val="1"/>
          <w:bCs w:val="1"/>
          <w:highlight w:val="white"/>
        </w:rPr>
      </w:pPr>
      <w:bookmarkStart w:colFirst="0" w:colLast="0" w:name="_heading=h.se0qy3v12y3v" w:id="26"/>
      <w:bookmarkEnd w:id="26"/>
      <w:r w:rsidDel="00000000" w:rsidR="00000000" w:rsidRPr="00000000">
        <w:rPr>
          <w:rFonts w:ascii="Arial" w:cs="Arial" w:eastAsia="Arial" w:hAnsi="Arial"/>
          <w:b w:val="1"/>
          <w:bCs w:val="1"/>
          <w:color w:val="000000"/>
          <w:sz w:val="24"/>
          <w:szCs w:val="24"/>
          <w:highlight w:val="white"/>
          <w:rtl w:val="0"/>
        </w:rPr>
        <w:t xml:space="preserve">METODOLOGÍA APLICADA</w:t>
      </w:r>
      <w:r w:rsidDel="00000000" w:rsidR="00000000" w:rsidRPr="00000000">
        <w:rPr>
          <w:rtl w:val="0"/>
        </w:rPr>
      </w:r>
    </w:p>
    <w:p w:rsidR="00000000" w:rsidDel="00000000" w:rsidP="00000000" w:rsidRDefault="00000000" w:rsidRPr="00000000" w14:paraId="00000118">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Este proyecto adopta la Investigación Acción Participativa (IAP) como metodología central, por su capacidad para integrar el conocimiento académico con las necesidades reales de la comunidad universitaria. La IAP no solo busca diagnosticar problemas, sino generar soluciones transformadoras mediante la colaboración activa de todos los actores involucrados; estudiantes, tutores, coordinadores del PNFI y comunidades vinculadas. Su enfoque democratizador convierte a los participantes en co-investigadores, rompiendo con la dinámica tradicional de sujetos pasivos y promoviendo su empoderamiento en todas las fases del proyecto, desde el diagnóstico hasta la implementación de la plataforma.</w:t>
      </w:r>
    </w:p>
    <w:p w:rsidR="00000000" w:rsidDel="00000000" w:rsidP="00000000" w:rsidRDefault="00000000" w:rsidRPr="00000000" w14:paraId="00000119">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El primer pilar de la IAP, la investigación, se aplica mediante un proceso riguroso de recolección y análisis de datos. Este incluyó técnicas cuantitativas (encuestas a 10 estudiantes y 2 tutores del PNFI) y cualitativas (entrevistas a tutores clave), permitiendo identificar las necesidades específicas en la gestión de proyectos sociotecnológicos.</w:t>
      </w:r>
    </w:p>
    <w:p w:rsidR="00000000" w:rsidDel="00000000" w:rsidP="00000000" w:rsidRDefault="00000000" w:rsidRPr="00000000" w14:paraId="0000011A">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La participación, segundo pilar, se materializó en espacios de co-creación donde los actores definieron conjuntamente los requisitos de la plataforma. Mediante jornadas de socialización y validación de prototipos, se fomentó una relación horizontal entre investigadores y comunidad universitaria. Este enfoque no solo enriqueció el diseño del sistema con perspectivas diversas, sino que también generó un sentido de apropiación colectiva, clave para la adopción sostenible de la herramienta.</w:t>
      </w:r>
    </w:p>
    <w:p w:rsidR="00000000" w:rsidDel="00000000" w:rsidP="00000000" w:rsidRDefault="00000000" w:rsidRPr="00000000" w14:paraId="0000011B">
      <w:pPr>
        <w:spacing w:line="36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El tercer pilar, la acción, se refleja en el desarrollo iterativo de la plataforma, donde cada fase (diseño, programación, pruebas) incorporó feedback continuo de los usuarios. Esta realimentación constante asegura que la solución no sea un producto terminado, sino un proceso en evolución que se adapta a las cambiantes necesidades académicas y sociales. Esta metodología no solo asegura el éxito técnico del proyecto, sino que también fortalece el vínculo universidad-comunidad, cumpliendo con el principio del PNFI;formar profesionales críticos capaces de generar tecnología con impacto social.</w:t>
      </w:r>
    </w:p>
    <w:p w:rsidR="00000000" w:rsidDel="00000000" w:rsidP="00000000" w:rsidRDefault="00000000" w:rsidRPr="00000000" w14:paraId="0000011C">
      <w:pPr>
        <w:spacing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1D">
      <w:pPr>
        <w:spacing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En la actualidad, la UNEXCA, a través de su Programa Nacional de Formación en Informática, busca optimizar la gestión de los proyectos sociotecnológicos para agilizar los procesos y mejorar la experiencia de todos los actores involucrados. Si bien los métodos actuales han sido funcionales, se ha identificado mediante instrumentos de diagnóstico validados con el método Alfa de Cronbach —que arrojó un coeficiente de 0.87, indicando alta confiabilidad— que su naturaleza descentralizada genera consistentemente dispersión de la información, demoras en la comunicación y otros desafíos operativos que impactan significativamente la eficiencia del proceso.</w:t>
      </w:r>
    </w:p>
    <w:p w:rsidR="00000000" w:rsidDel="00000000" w:rsidP="00000000" w:rsidRDefault="00000000" w:rsidRPr="00000000" w14:paraId="0000011E">
      <w:pPr>
        <w:spacing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1F">
      <w:pPr>
        <w:pStyle w:val="Heading1"/>
        <w:spacing w:line="240" w:lineRule="auto"/>
        <w:jc w:val="center"/>
        <w:rPr>
          <w:rFonts w:ascii="Arial" w:cs="Arial" w:eastAsia="Arial" w:hAnsi="Arial"/>
          <w:color w:val="000000"/>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spacing w:line="480" w:lineRule="auto"/>
        <w:jc w:val="center"/>
        <w:rPr>
          <w:rFonts w:ascii="Arial" w:cs="Arial" w:eastAsia="Arial" w:hAnsi="Arial"/>
          <w:b w:val="1"/>
          <w:bCs w:val="1"/>
          <w:color w:val="000000"/>
          <w:sz w:val="28"/>
          <w:szCs w:val="28"/>
          <w:highlight w:val="white"/>
        </w:rPr>
      </w:pPr>
      <w:bookmarkStart w:colFirst="0" w:colLast="0" w:name="_heading=h.ch2jgi2y6vt9" w:id="27"/>
      <w:bookmarkEnd w:id="27"/>
      <w:r w:rsidDel="00000000" w:rsidR="00000000" w:rsidRPr="00000000">
        <w:rPr>
          <w:rFonts w:ascii="Arial" w:cs="Arial" w:eastAsia="Arial" w:hAnsi="Arial"/>
          <w:b w:val="1"/>
          <w:bCs w:val="1"/>
          <w:color w:val="000000"/>
          <w:sz w:val="28"/>
          <w:szCs w:val="28"/>
          <w:highlight w:val="white"/>
          <w:rtl w:val="0"/>
        </w:rPr>
        <w:t xml:space="preserve">REFERENCIAS BIBLIOGRÁFICAS</w:t>
      </w:r>
    </w:p>
    <w:p w:rsidR="00000000" w:rsidDel="00000000" w:rsidP="00000000" w:rsidRDefault="00000000" w:rsidRPr="00000000" w14:paraId="00000121">
      <w:pPr>
        <w:pStyle w:val="Heading2"/>
        <w:spacing w:line="480" w:lineRule="auto"/>
        <w:rPr>
          <w:rFonts w:ascii="Arial" w:cs="Arial" w:eastAsia="Arial" w:hAnsi="Arial"/>
          <w:b w:val="1"/>
          <w:bCs w:val="1"/>
          <w:color w:val="000000"/>
          <w:sz w:val="24"/>
          <w:szCs w:val="24"/>
          <w:highlight w:val="white"/>
        </w:rPr>
      </w:pPr>
      <w:bookmarkStart w:colFirst="0" w:colLast="0" w:name="_heading=h.j67r21qdhn11" w:id="28"/>
      <w:bookmarkEnd w:id="28"/>
      <w:r w:rsidDel="00000000" w:rsidR="00000000" w:rsidRPr="00000000">
        <w:rPr>
          <w:rFonts w:ascii="Arial" w:cs="Arial" w:eastAsia="Arial" w:hAnsi="Arial"/>
          <w:b w:val="1"/>
          <w:bCs w:val="1"/>
          <w:color w:val="000000"/>
          <w:sz w:val="24"/>
          <w:szCs w:val="24"/>
          <w:highlight w:val="white"/>
          <w:rtl w:val="0"/>
        </w:rPr>
        <w:t xml:space="preserve">REFERENCIAS</w:t>
      </w:r>
    </w:p>
    <w:p w:rsidR="00000000" w:rsidDel="00000000" w:rsidP="00000000" w:rsidRDefault="00000000" w:rsidRPr="00000000" w14:paraId="00000122">
      <w:pPr>
        <w:spacing w:line="360" w:lineRule="auto"/>
        <w:ind w:left="1077" w:hanging="72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rtl w:val="0"/>
        </w:rPr>
        <w:t xml:space="preserve">ONU-Hábitat (2014). Guía para la planificación participativa de proyectos.</w:t>
      </w:r>
      <w:r w:rsidDel="00000000" w:rsidR="00000000" w:rsidRPr="00000000">
        <w:rPr>
          <w:rFonts w:ascii="Arial" w:cs="Arial" w:eastAsia="Arial" w:hAnsi="Arial"/>
          <w:color w:val="000000"/>
          <w:sz w:val="24"/>
          <w:szCs w:val="24"/>
          <w:highlight w:val="white"/>
          <w:rtl w:val="0"/>
        </w:rPr>
        <w:t xml:space="preserve"> Disponible: </w:t>
      </w:r>
      <w:r w:rsidDel="00000000" w:rsidR="00000000" w:rsidRPr="00000000">
        <w:rPr>
          <w:rFonts w:ascii="Arial" w:cs="Arial" w:eastAsia="Arial" w:hAnsi="Arial"/>
          <w:color w:val="000000"/>
          <w:sz w:val="24"/>
          <w:szCs w:val="24"/>
          <w:rtl w:val="0"/>
        </w:rPr>
        <w:t xml:space="preserve">https://unhabitat.org/topic/urban-planning</w:t>
      </w:r>
      <w:r w:rsidDel="00000000" w:rsidR="00000000" w:rsidRPr="00000000">
        <w:rPr>
          <w:rFonts w:ascii="Arial" w:cs="Arial" w:eastAsia="Arial" w:hAnsi="Arial"/>
          <w:color w:val="000000"/>
          <w:sz w:val="24"/>
          <w:szCs w:val="24"/>
          <w:highlight w:val="white"/>
          <w:rtl w:val="0"/>
        </w:rPr>
        <w:t xml:space="preserve"> Consulta: 2025, julio 02</w:t>
      </w:r>
    </w:p>
    <w:p w:rsidR="00000000" w:rsidDel="00000000" w:rsidP="00000000" w:rsidRDefault="00000000" w:rsidRPr="00000000" w14:paraId="00000123">
      <w:pPr>
        <w:spacing w:line="360" w:lineRule="auto"/>
        <w:ind w:left="1077" w:hanging="72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rtl w:val="0"/>
        </w:rPr>
        <w:t xml:space="preserve">Serna, H. (2016). Gestión de Proyectos: Enfoque práctico. Editorial Alfaomega.</w:t>
      </w:r>
      <w:r w:rsidDel="00000000" w:rsidR="00000000" w:rsidRPr="00000000">
        <w:rPr>
          <w:rFonts w:ascii="Arial" w:cs="Arial" w:eastAsia="Arial" w:hAnsi="Arial"/>
          <w:color w:val="000000"/>
          <w:sz w:val="24"/>
          <w:szCs w:val="24"/>
          <w:highlight w:val="white"/>
          <w:rtl w:val="0"/>
        </w:rPr>
        <w:t xml:space="preserve"> Disponible: </w:t>
      </w:r>
      <w:hyperlink r:id="rId11">
        <w:r w:rsidDel="00000000" w:rsidR="00000000" w:rsidRPr="00000000">
          <w:rPr>
            <w:rFonts w:ascii="Arial" w:cs="Arial" w:eastAsia="Arial" w:hAnsi="Arial"/>
            <w:color w:val="0000ff"/>
            <w:sz w:val="24"/>
            <w:szCs w:val="24"/>
            <w:u w:val="single"/>
            <w:rtl w:val="0"/>
          </w:rPr>
          <w:t xml:space="preserve">https://www.redalyc.org/pdf/3442/344234341035.pdf</w:t>
        </w:r>
      </w:hyperlink>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highlight w:val="white"/>
          <w:rtl w:val="0"/>
        </w:rPr>
        <w:t xml:space="preserve">Consulta: 2025, junio 11</w:t>
      </w:r>
    </w:p>
    <w:p w:rsidR="00000000" w:rsidDel="00000000" w:rsidP="00000000" w:rsidRDefault="00000000" w:rsidRPr="00000000" w14:paraId="00000124">
      <w:pPr>
        <w:spacing w:line="360" w:lineRule="auto"/>
        <w:ind w:left="1077" w:hanging="72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rtl w:val="0"/>
        </w:rPr>
        <w:t xml:space="preserve">Hernández, R., Fernández, C., &amp; Baptista, P. (2014). Metodología de la investigación (6.ª ed.). McGraw-Hill. </w:t>
      </w:r>
      <w:r w:rsidDel="00000000" w:rsidR="00000000" w:rsidRPr="00000000">
        <w:rPr>
          <w:rFonts w:ascii="Arial" w:cs="Arial" w:eastAsia="Arial" w:hAnsi="Arial"/>
          <w:color w:val="000000"/>
          <w:sz w:val="24"/>
          <w:szCs w:val="24"/>
          <w:highlight w:val="white"/>
          <w:rtl w:val="0"/>
        </w:rPr>
        <w:t xml:space="preserve">Disponible:</w:t>
      </w:r>
      <w:r w:rsidDel="00000000" w:rsidR="00000000" w:rsidRPr="00000000">
        <w:rPr>
          <w:rFonts w:ascii="Arial" w:cs="Arial" w:eastAsia="Arial" w:hAnsi="Arial"/>
          <w:color w:val="000000"/>
          <w:sz w:val="24"/>
          <w:szCs w:val="24"/>
          <w:rtl w:val="0"/>
        </w:rPr>
        <w:t xml:space="preserve">  </w:t>
      </w:r>
      <w:hyperlink r:id="rId12">
        <w:r w:rsidDel="00000000" w:rsidR="00000000" w:rsidRPr="00000000">
          <w:rPr>
            <w:rFonts w:ascii="Arial" w:cs="Arial" w:eastAsia="Arial" w:hAnsi="Arial"/>
            <w:color w:val="000000"/>
            <w:sz w:val="24"/>
            <w:szCs w:val="24"/>
            <w:u w:val="single"/>
            <w:rtl w:val="0"/>
          </w:rPr>
          <w:t xml:space="preserve">https://apiperiodico.jalisco.gob.mx/api/sites/periodicooficial.jalisco.gob.mx/files/metodologia_de_la_investigacion_-_roberto_hernandez_sampieri.pdf</w:t>
        </w:r>
      </w:hyperlink>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highlight w:val="white"/>
          <w:rtl w:val="0"/>
        </w:rPr>
        <w:t xml:space="preserve">Consulta: 2025, junio 11</w:t>
      </w:r>
    </w:p>
    <w:p w:rsidR="00000000" w:rsidDel="00000000" w:rsidP="00000000" w:rsidRDefault="00000000" w:rsidRPr="00000000" w14:paraId="00000125">
      <w:pPr>
        <w:spacing w:line="360" w:lineRule="auto"/>
        <w:ind w:left="1077" w:hanging="72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rtl w:val="0"/>
        </w:rPr>
        <w:t xml:space="preserve">UNESCO. (2021). Educación digital en el siglo XXI: Innovación, acceso y equidad.</w:t>
      </w:r>
      <w:r w:rsidDel="00000000" w:rsidR="00000000" w:rsidRPr="00000000">
        <w:rPr>
          <w:rFonts w:ascii="Arial" w:cs="Arial" w:eastAsia="Arial" w:hAnsi="Arial"/>
          <w:color w:val="000000"/>
          <w:sz w:val="24"/>
          <w:szCs w:val="24"/>
          <w:highlight w:val="white"/>
          <w:rtl w:val="0"/>
        </w:rPr>
        <w:t xml:space="preserve"> Disponible:</w:t>
      </w:r>
      <w:r w:rsidDel="00000000" w:rsidR="00000000" w:rsidRPr="00000000">
        <w:rPr>
          <w:rFonts w:ascii="Arial" w:cs="Arial" w:eastAsia="Arial" w:hAnsi="Arial"/>
          <w:color w:val="000000"/>
          <w:sz w:val="24"/>
          <w:szCs w:val="24"/>
          <w:rtl w:val="0"/>
        </w:rPr>
        <w:t xml:space="preserve"> </w:t>
      </w:r>
      <w:hyperlink r:id="rId13">
        <w:r w:rsidDel="00000000" w:rsidR="00000000" w:rsidRPr="00000000">
          <w:rPr>
            <w:rFonts w:ascii="Arial" w:cs="Arial" w:eastAsia="Arial" w:hAnsi="Arial"/>
            <w:color w:val="000000"/>
            <w:sz w:val="24"/>
            <w:szCs w:val="24"/>
            <w:u w:val="single"/>
            <w:rtl w:val="0"/>
          </w:rPr>
          <w:t xml:space="preserve">https://unesdoc.unesco.org/</w:t>
        </w:r>
      </w:hyperlink>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highlight w:val="white"/>
          <w:rtl w:val="0"/>
        </w:rPr>
        <w:t xml:space="preserve">Consulta: 2025, junio 11</w:t>
      </w:r>
    </w:p>
    <w:p w:rsidR="00000000" w:rsidDel="00000000" w:rsidP="00000000" w:rsidRDefault="00000000" w:rsidRPr="00000000" w14:paraId="00000126">
      <w:pPr>
        <w:spacing w:line="360" w:lineRule="auto"/>
        <w:ind w:left="1077" w:hanging="72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rtl w:val="0"/>
        </w:rPr>
        <w:t xml:space="preserve">González, M. (2020). Tecnología Educativa en Venezuela. Editorial Académica Venezolana. Disponible: </w:t>
      </w:r>
      <w:hyperlink r:id="rId14">
        <w:r w:rsidDel="00000000" w:rsidR="00000000" w:rsidRPr="00000000">
          <w:rPr>
            <w:rFonts w:ascii="Arial" w:cs="Arial" w:eastAsia="Arial" w:hAnsi="Arial"/>
            <w:color w:val="000000"/>
            <w:sz w:val="24"/>
            <w:szCs w:val="24"/>
            <w:u w:val="single"/>
            <w:rtl w:val="0"/>
          </w:rPr>
          <w:t xml:space="preserve">https://www.redalyc.org/journal/290/29065286032/29065286032.pdf</w:t>
        </w:r>
      </w:hyperlink>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highlight w:val="white"/>
          <w:rtl w:val="0"/>
        </w:rPr>
        <w:t xml:space="preserve">Consulta: 2025, julio 02</w:t>
      </w:r>
    </w:p>
    <w:p w:rsidR="00000000" w:rsidDel="00000000" w:rsidP="00000000" w:rsidRDefault="00000000" w:rsidRPr="00000000" w14:paraId="00000127">
      <w:pPr>
        <w:spacing w:line="360" w:lineRule="auto"/>
        <w:ind w:left="1077" w:hanging="72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rtl w:val="0"/>
        </w:rPr>
        <w:t xml:space="preserve">Tamayo y Tamayo (2003). Marco Metodológico Disponible: </w:t>
      </w:r>
      <w:hyperlink r:id="rId15">
        <w:r w:rsidDel="00000000" w:rsidR="00000000" w:rsidRPr="00000000">
          <w:rPr>
            <w:rFonts w:ascii="Arial" w:cs="Arial" w:eastAsia="Arial" w:hAnsi="Arial"/>
            <w:color w:val="000000"/>
            <w:sz w:val="24"/>
            <w:szCs w:val="24"/>
            <w:u w:val="single"/>
            <w:rtl w:val="0"/>
          </w:rPr>
          <w:t xml:space="preserve">https://virtual.urbe.edu/tesispub/0083016/cap03.pdf</w:t>
        </w:r>
      </w:hyperlink>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highlight w:val="white"/>
          <w:rtl w:val="0"/>
        </w:rPr>
        <w:t xml:space="preserve">Consulta: 2025, julio 02</w:t>
      </w:r>
    </w:p>
    <w:p w:rsidR="00000000" w:rsidDel="00000000" w:rsidP="00000000" w:rsidRDefault="00000000" w:rsidRPr="00000000" w14:paraId="00000128">
      <w:pPr>
        <w:spacing w:line="360" w:lineRule="auto"/>
        <w:ind w:left="1077"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Area, M. &amp; Adell, J. (2020). Tecnologías digitales y cambio educativo. Una aproximación crítica. Editorial Octaedro. Disponible: </w:t>
      </w:r>
      <w:hyperlink r:id="rId16">
        <w:r w:rsidDel="00000000" w:rsidR="00000000" w:rsidRPr="00000000">
          <w:rPr>
            <w:rFonts w:ascii="Arial" w:cs="Arial" w:eastAsia="Arial" w:hAnsi="Arial"/>
            <w:color w:val="000000"/>
            <w:sz w:val="24"/>
            <w:szCs w:val="24"/>
            <w:u w:val="single"/>
            <w:rtl w:val="0"/>
          </w:rPr>
          <w:t xml:space="preserve">https://revistas.uam.es/reice/article/view/reice2021_19_4_005</w:t>
        </w:r>
      </w:hyperlink>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Consulta: 2025, julio 02</w:t>
      </w:r>
    </w:p>
    <w:p w:rsidR="00000000" w:rsidDel="00000000" w:rsidP="00000000" w:rsidRDefault="00000000" w:rsidRPr="00000000" w14:paraId="00000129">
      <w:pPr>
        <w:spacing w:line="360" w:lineRule="auto"/>
        <w:ind w:left="1077" w:hanging="720"/>
        <w:jc w:val="both"/>
        <w:rPr>
          <w:rFonts w:ascii="Arial" w:cs="Arial" w:eastAsia="Arial" w:hAnsi="Arial"/>
          <w:color w:val="000000"/>
          <w:sz w:val="24"/>
          <w:szCs w:val="24"/>
          <w:highlight w:val="white"/>
        </w:rPr>
      </w:pPr>
      <w:r w:rsidDel="00000000" w:rsidR="00000000" w:rsidRPr="00000000">
        <w:rPr>
          <w:rtl w:val="0"/>
        </w:rPr>
      </w:r>
    </w:p>
    <w:p w:rsidR="00000000" w:rsidDel="00000000" w:rsidP="00000000" w:rsidRDefault="00000000" w:rsidRPr="00000000" w14:paraId="0000012A">
      <w:pPr>
        <w:spacing w:line="360" w:lineRule="auto"/>
        <w:ind w:left="1077"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Sampieri, R. (2018). Metodología de la investigación. McGraw-Hill. Disponible:</w:t>
      </w:r>
      <w:r w:rsidDel="00000000" w:rsidR="00000000" w:rsidRPr="00000000">
        <w:rPr>
          <w:rtl w:val="0"/>
        </w:rPr>
        <w:t xml:space="preserve"> </w:t>
      </w:r>
      <w:hyperlink r:id="rId17">
        <w:r w:rsidDel="00000000" w:rsidR="00000000" w:rsidRPr="00000000">
          <w:rPr>
            <w:rFonts w:ascii="Arial" w:cs="Arial" w:eastAsia="Arial" w:hAnsi="Arial"/>
            <w:color w:val="000000"/>
            <w:sz w:val="24"/>
            <w:szCs w:val="24"/>
            <w:u w:val="single"/>
            <w:rtl w:val="0"/>
          </w:rPr>
          <w:t xml:space="preserve">https://virtual.cuautitlan.unam.mx/rudics/?p=2612</w:t>
        </w:r>
      </w:hyperlink>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Consulta: 2025, julio 02</w:t>
      </w:r>
    </w:p>
    <w:p w:rsidR="00000000" w:rsidDel="00000000" w:rsidP="00000000" w:rsidRDefault="00000000" w:rsidRPr="00000000" w14:paraId="0000012B">
      <w:pPr>
        <w:spacing w:line="360" w:lineRule="auto"/>
        <w:ind w:left="1077" w:hanging="720"/>
        <w:jc w:val="both"/>
        <w:rPr>
          <w:rFonts w:ascii="Arial" w:cs="Arial" w:eastAsia="Arial" w:hAnsi="Arial"/>
          <w:color w:val="000000"/>
          <w:sz w:val="24"/>
          <w:szCs w:val="24"/>
          <w:highlight w:val="white"/>
        </w:rPr>
      </w:pPr>
      <w:r w:rsidDel="00000000" w:rsidR="00000000" w:rsidRPr="00000000">
        <w:rPr>
          <w:rtl w:val="0"/>
        </w:rPr>
      </w:r>
    </w:p>
    <w:p w:rsidR="00000000" w:rsidDel="00000000" w:rsidP="00000000" w:rsidRDefault="00000000" w:rsidRPr="00000000" w14:paraId="0000012C">
      <w:pPr>
        <w:spacing w:line="360" w:lineRule="auto"/>
        <w:ind w:left="1077" w:hanging="72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López, J. &amp; Rojas, M. (2015). </w:t>
      </w:r>
      <w:r w:rsidDel="00000000" w:rsidR="00000000" w:rsidRPr="00000000">
        <w:rPr>
          <w:rFonts w:ascii="Arial" w:cs="Arial" w:eastAsia="Arial" w:hAnsi="Arial"/>
          <w:i w:val="1"/>
          <w:iCs w:val="1"/>
          <w:color w:val="000000"/>
          <w:sz w:val="24"/>
          <w:szCs w:val="24"/>
          <w:highlight w:val="white"/>
          <w:rtl w:val="0"/>
        </w:rPr>
        <w:t xml:space="preserve">Sistema de Gestión de Proyectos Estudiantiles basado en Software Libre</w:t>
      </w:r>
      <w:r w:rsidDel="00000000" w:rsidR="00000000" w:rsidRPr="00000000">
        <w:rPr>
          <w:rFonts w:ascii="Arial" w:cs="Arial" w:eastAsia="Arial" w:hAnsi="Arial"/>
          <w:color w:val="000000"/>
          <w:sz w:val="24"/>
          <w:szCs w:val="24"/>
          <w:highlight w:val="white"/>
          <w:rtl w:val="0"/>
        </w:rPr>
        <w:t xml:space="preserve"> [Conferencia]. III Congreso Venezolano de Tecnologías Educativas, Universidad de Los Andes, Venezuela. Disponible: </w:t>
      </w:r>
      <w:hyperlink r:id="rId18">
        <w:r w:rsidDel="00000000" w:rsidR="00000000" w:rsidRPr="00000000">
          <w:rPr>
            <w:rFonts w:ascii="Arial" w:cs="Arial" w:eastAsia="Arial" w:hAnsi="Arial"/>
            <w:sz w:val="24"/>
            <w:szCs w:val="24"/>
            <w:highlight w:val="white"/>
            <w:u w:val="single"/>
            <w:rtl w:val="0"/>
          </w:rPr>
          <w:t xml:space="preserve">https://doi.org/xx.xxxx/conf.2015.001</w:t>
        </w:r>
      </w:hyperlink>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color w:val="000000"/>
          <w:sz w:val="24"/>
          <w:szCs w:val="24"/>
          <w:highlight w:val="white"/>
          <w:rtl w:val="0"/>
        </w:rPr>
        <w:t xml:space="preserve">Consulta: 2025, junio 10</w:t>
      </w:r>
    </w:p>
    <w:p w:rsidR="00000000" w:rsidDel="00000000" w:rsidP="00000000" w:rsidRDefault="00000000" w:rsidRPr="00000000" w14:paraId="0000012D">
      <w:pPr>
        <w:spacing w:line="360" w:lineRule="auto"/>
        <w:ind w:left="1077" w:hanging="72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Martínez, P., González, L., &amp; Díaz, R. (2019). Plataformas web para la evaluación formativa en educación superior. </w:t>
      </w:r>
      <w:r w:rsidDel="00000000" w:rsidR="00000000" w:rsidRPr="00000000">
        <w:rPr>
          <w:rFonts w:ascii="Arial" w:cs="Arial" w:eastAsia="Arial" w:hAnsi="Arial"/>
          <w:i w:val="1"/>
          <w:iCs w:val="1"/>
          <w:color w:val="000000"/>
          <w:sz w:val="24"/>
          <w:szCs w:val="24"/>
          <w:highlight w:val="white"/>
          <w:rtl w:val="0"/>
        </w:rPr>
        <w:t xml:space="preserve">Revista Latinoamericana de Innovación Educativa</w:t>
      </w:r>
      <w:r w:rsidDel="00000000" w:rsidR="00000000" w:rsidRPr="00000000">
        <w:rPr>
          <w:rFonts w:ascii="Arial" w:cs="Arial" w:eastAsia="Arial" w:hAnsi="Arial"/>
          <w:color w:val="000000"/>
          <w:sz w:val="24"/>
          <w:szCs w:val="24"/>
          <w:highlight w:val="white"/>
          <w:rtl w:val="0"/>
        </w:rPr>
        <w:t xml:space="preserve">, *12*(3), 45-60. Disponible: </w:t>
      </w:r>
      <w:hyperlink r:id="rId19">
        <w:r w:rsidDel="00000000" w:rsidR="00000000" w:rsidRPr="00000000">
          <w:rPr>
            <w:rFonts w:ascii="Arial" w:cs="Arial" w:eastAsia="Arial" w:hAnsi="Arial"/>
            <w:sz w:val="24"/>
            <w:szCs w:val="24"/>
            <w:highlight w:val="white"/>
            <w:u w:val="single"/>
            <w:rtl w:val="0"/>
          </w:rPr>
          <w:t xml:space="preserve">https://doi.org/xx.xxxx/rlie.2019.003</w:t>
        </w:r>
      </w:hyperlink>
      <w:r w:rsidDel="00000000" w:rsidR="00000000" w:rsidRPr="00000000">
        <w:rPr>
          <w:rFonts w:ascii="Arial" w:cs="Arial" w:eastAsia="Arial" w:hAnsi="Arial"/>
          <w:color w:val="000000"/>
          <w:sz w:val="24"/>
          <w:szCs w:val="24"/>
          <w:highlight w:val="white"/>
          <w:rtl w:val="0"/>
        </w:rPr>
        <w:t xml:space="preserve"> Consulta: 2025, junio 12</w:t>
      </w:r>
    </w:p>
    <w:p w:rsidR="00000000" w:rsidDel="00000000" w:rsidP="00000000" w:rsidRDefault="00000000" w:rsidRPr="00000000" w14:paraId="0000012E">
      <w:pPr>
        <w:spacing w:line="360" w:lineRule="auto"/>
        <w:ind w:left="1077" w:hanging="72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García, A. &amp; Fernández, T. (2022). </w:t>
      </w:r>
      <w:r w:rsidDel="00000000" w:rsidR="00000000" w:rsidRPr="00000000">
        <w:rPr>
          <w:rFonts w:ascii="Arial" w:cs="Arial" w:eastAsia="Arial" w:hAnsi="Arial"/>
          <w:i w:val="1"/>
          <w:iCs w:val="1"/>
          <w:color w:val="000000"/>
          <w:sz w:val="24"/>
          <w:szCs w:val="24"/>
          <w:highlight w:val="white"/>
          <w:rtl w:val="0"/>
        </w:rPr>
        <w:t xml:space="preserve">TIC y vinculación social: una plataforma para proyectos comunitarios</w:t>
      </w:r>
      <w:r w:rsidDel="00000000" w:rsidR="00000000" w:rsidRPr="00000000">
        <w:rPr>
          <w:rFonts w:ascii="Arial" w:cs="Arial" w:eastAsia="Arial" w:hAnsi="Arial"/>
          <w:color w:val="000000"/>
          <w:sz w:val="24"/>
          <w:szCs w:val="24"/>
          <w:highlight w:val="white"/>
          <w:rtl w:val="0"/>
        </w:rPr>
        <w:t xml:space="preserve"> [Informe técnico]. Universidad Nacional Experimental del Táchira. Disponible: </w:t>
      </w:r>
      <w:r w:rsidDel="00000000" w:rsidR="00000000" w:rsidRPr="00000000">
        <w:rPr>
          <w:rFonts w:ascii="Arial" w:cs="Arial" w:eastAsia="Arial" w:hAnsi="Arial"/>
          <w:sz w:val="24"/>
          <w:szCs w:val="24"/>
          <w:highlight w:val="white"/>
          <w:u w:val="single"/>
          <w:rtl w:val="0"/>
        </w:rPr>
        <w:t xml:space="preserve">https://www.unet.edu.ve/tic-vinculacion-social</w:t>
      </w:r>
      <w:r w:rsidDel="00000000" w:rsidR="00000000" w:rsidRPr="00000000">
        <w:rPr>
          <w:rFonts w:ascii="Arial" w:cs="Arial" w:eastAsia="Arial" w:hAnsi="Arial"/>
          <w:color w:val="000000"/>
          <w:sz w:val="24"/>
          <w:szCs w:val="24"/>
          <w:highlight w:val="white"/>
          <w:rtl w:val="0"/>
        </w:rPr>
        <w:t xml:space="preserve"> Consulta: 2025, junio 13</w:t>
      </w:r>
    </w:p>
    <w:p w:rsidR="00000000" w:rsidDel="00000000" w:rsidP="00000000" w:rsidRDefault="00000000" w:rsidRPr="00000000" w14:paraId="0000012F">
      <w:pPr>
        <w:spacing w:line="360" w:lineRule="auto"/>
        <w:ind w:left="1077" w:hanging="72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Constitución de la República Bolivariana de Venezuela Publicada en Gaceta Oficial del jueves 30 de diciembre de 1999, N° 36.860</w:t>
      </w:r>
    </w:p>
    <w:p w:rsidR="00000000" w:rsidDel="00000000" w:rsidP="00000000" w:rsidRDefault="00000000" w:rsidRPr="00000000" w14:paraId="00000130">
      <w:pPr>
        <w:spacing w:line="360" w:lineRule="auto"/>
        <w:ind w:left="1077" w:hanging="72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rtl w:val="0"/>
        </w:rPr>
        <w:t xml:space="preserve">Ley Orgánica de Ciencia, Tecnología e Innovación (2005). Gaceta Oficial N° 38.242. </w:t>
      </w:r>
      <w:r w:rsidDel="00000000" w:rsidR="00000000" w:rsidRPr="00000000">
        <w:rPr>
          <w:rFonts w:ascii="Arial" w:cs="Arial" w:eastAsia="Arial" w:hAnsi="Arial"/>
          <w:color w:val="000000"/>
          <w:sz w:val="24"/>
          <w:szCs w:val="24"/>
          <w:highlight w:val="white"/>
          <w:rtl w:val="0"/>
        </w:rPr>
        <w:t xml:space="preserve">Disponible:</w:t>
      </w:r>
      <w:r w:rsidDel="00000000" w:rsidR="00000000" w:rsidRPr="00000000">
        <w:rPr>
          <w:rFonts w:ascii="Arial" w:cs="Arial" w:eastAsia="Arial" w:hAnsi="Arial"/>
          <w:color w:val="000000"/>
          <w:sz w:val="24"/>
          <w:szCs w:val="24"/>
          <w:rtl w:val="0"/>
        </w:rPr>
        <w:t xml:space="preserve"> </w:t>
      </w:r>
      <w:hyperlink r:id="rId20">
        <w:r w:rsidDel="00000000" w:rsidR="00000000" w:rsidRPr="00000000">
          <w:rPr>
            <w:rFonts w:ascii="Arial" w:cs="Arial" w:eastAsia="Arial" w:hAnsi="Arial"/>
            <w:color w:val="000000"/>
            <w:sz w:val="24"/>
            <w:szCs w:val="24"/>
            <w:u w:val="single"/>
            <w:rtl w:val="0"/>
          </w:rPr>
          <w:t xml:space="preserve">https://www.conati.gob.ve/wp-content/uploads/Ley_de_Ciencia-y_Tecnologia.pdf</w:t>
        </w:r>
      </w:hyperlink>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highlight w:val="white"/>
          <w:rtl w:val="0"/>
        </w:rPr>
        <w:t xml:space="preserve">Consulta: 2025, julio 02</w:t>
      </w:r>
    </w:p>
    <w:p w:rsidR="00000000" w:rsidDel="00000000" w:rsidP="00000000" w:rsidRDefault="00000000" w:rsidRPr="00000000" w14:paraId="00000131">
      <w:pPr>
        <w:spacing w:line="360" w:lineRule="auto"/>
        <w:ind w:left="1077"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Pérez, J. &amp; Rodríguez, L. (2021). Gestión digital de proyectos académicos. Revista Iberoamericana de Educación Digital, 8(2), 28-45. </w:t>
      </w:r>
    </w:p>
    <w:p w:rsidR="00000000" w:rsidDel="00000000" w:rsidP="00000000" w:rsidRDefault="00000000" w:rsidRPr="00000000" w14:paraId="00000132">
      <w:pPr>
        <w:spacing w:line="360" w:lineRule="auto"/>
        <w:ind w:left="1077"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Asamblea Nacional. (2021). Ley de Protección de Datos Personales. Gaceta Oficial de la República Bolivariana de Venezuela N.º 6.660 Extraordinario.</w:t>
      </w:r>
    </w:p>
    <w:p w:rsidR="00000000" w:rsidDel="00000000" w:rsidP="00000000" w:rsidRDefault="00000000" w:rsidRPr="00000000" w14:paraId="00000133">
      <w:pPr>
        <w:spacing w:line="360" w:lineRule="auto"/>
        <w:ind w:left="1077" w:hanging="720"/>
        <w:jc w:val="both"/>
        <w:rPr>
          <w:rFonts w:ascii="Arial" w:cs="Arial" w:eastAsia="Arial" w:hAnsi="Arial"/>
          <w:color w:val="000000"/>
          <w:sz w:val="24"/>
          <w:szCs w:val="24"/>
        </w:rPr>
      </w:pPr>
      <w:r w:rsidDel="00000000" w:rsidR="00000000" w:rsidRPr="00000000">
        <w:rPr>
          <w:rtl w:val="0"/>
        </w:rPr>
      </w:r>
    </w:p>
    <w:sectPr>
      <w:headerReference r:id="rId21" w:type="default"/>
      <w:footerReference r:id="rId22"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-552448</wp:posOffset>
          </wp:positionH>
          <wp:positionV relativeFrom="paragraph">
            <wp:posOffset>-305432</wp:posOffset>
          </wp:positionV>
          <wp:extent cx="1285875" cy="749300"/>
          <wp:effectExtent b="0" l="0" r="0" t="0"/>
          <wp:wrapSquare wrapText="bothSides" distB="0" distT="0" distL="114300" distR="114300"/>
          <wp:docPr id="22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85875" cy="749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Roman"/>
      <w:lvlText w:val="%1."/>
      <w:lvlJc w:val="righ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Roman"/>
      <w:lvlText w:val="%1."/>
      <w:lvlJc w:val="righ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spacing w:after="0" w:before="40" w:lineRule="auto"/>
    </w:pPr>
    <w:rPr>
      <w:i w:val="1"/>
      <w:iCs w:val="1"/>
      <w:color w:val="2e75b5"/>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Sinespaciado">
    <w:name w:val="No Spacing"/>
    <w:uiPriority w:val="1"/>
    <w:qFormat w:val="1"/>
    <w:rsid w:val="00060D73"/>
    <w:pPr>
      <w:spacing w:after="0" w:line="240" w:lineRule="auto"/>
    </w:pPr>
  </w:style>
  <w:style w:type="paragraph" w:styleId="Prrafodelista">
    <w:name w:val="List Paragraph"/>
    <w:basedOn w:val="Normal"/>
    <w:uiPriority w:val="34"/>
    <w:qFormat w:val="1"/>
    <w:rsid w:val="00060D73"/>
    <w:pPr>
      <w:spacing w:after="200" w:line="276" w:lineRule="auto"/>
      <w:ind w:left="720"/>
      <w:contextualSpacing w:val="1"/>
    </w:pPr>
    <w:rPr>
      <w:rFonts w:asciiTheme="minorHAnsi" w:cstheme="minorBidi" w:eastAsiaTheme="minorHAnsi" w:hAnsiTheme="minorHAnsi"/>
      <w:lang w:eastAsia="en-US"/>
    </w:rPr>
  </w:style>
  <w:style w:type="table" w:styleId="Tablaconcuadrcula">
    <w:name w:val="Table Grid"/>
    <w:basedOn w:val="Tablanormal"/>
    <w:uiPriority w:val="59"/>
    <w:rsid w:val="00060D73"/>
    <w:pPr>
      <w:spacing w:after="0" w:line="240" w:lineRule="auto"/>
    </w:pPr>
    <w:rPr>
      <w:rFonts w:ascii="Times New Roman" w:cs="Times New Roman" w:eastAsia="SimSun" w:hAnsi="Times New Roman"/>
      <w:sz w:val="20"/>
      <w:szCs w:val="20"/>
      <w:lang w:eastAsia="es-V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1E61D8"/>
    <w:rPr>
      <w:color w:val="0000ff" w:themeColor="hyperlink"/>
      <w:u w:val="single"/>
    </w:rPr>
  </w:style>
  <w:style w:type="character" w:styleId="Mencinsinresolver">
    <w:name w:val="Unresolved Mention"/>
    <w:basedOn w:val="Fuentedeprrafopredeter"/>
    <w:uiPriority w:val="99"/>
    <w:semiHidden w:val="1"/>
    <w:unhideWhenUsed w:val="1"/>
    <w:rsid w:val="001E61D8"/>
    <w:rPr>
      <w:color w:val="605e5c"/>
      <w:shd w:color="auto" w:fill="e1dfdd" w:val="clear"/>
    </w:rPr>
  </w:style>
  <w:style w:type="paragraph" w:styleId="TtuloTDC">
    <w:name w:val="TOC Heading"/>
    <w:basedOn w:val="Ttulo1"/>
    <w:next w:val="Normal"/>
    <w:uiPriority w:val="39"/>
    <w:unhideWhenUsed w:val="1"/>
    <w:qFormat w:val="1"/>
    <w:rsid w:val="005B038E"/>
    <w:pPr>
      <w:outlineLvl w:val="9"/>
    </w:pPr>
    <w:rPr>
      <w:rFonts w:asciiTheme="majorHAnsi" w:cstheme="majorBidi" w:eastAsiaTheme="majorEastAsia" w:hAnsiTheme="majorHAnsi"/>
      <w:color w:val="365f91" w:themeColor="accent1" w:themeShade="0000BF"/>
      <w:lang w:eastAsia="es-VE"/>
    </w:rPr>
  </w:style>
  <w:style w:type="paragraph" w:styleId="TDC1">
    <w:name w:val="toc 1"/>
    <w:basedOn w:val="Normal"/>
    <w:next w:val="Normal"/>
    <w:autoRedefine w:val="1"/>
    <w:uiPriority w:val="39"/>
    <w:unhideWhenUsed w:val="1"/>
    <w:rsid w:val="005B038E"/>
    <w:pPr>
      <w:spacing w:after="100"/>
    </w:pPr>
  </w:style>
  <w:style w:type="paragraph" w:styleId="TDC2">
    <w:name w:val="toc 2"/>
    <w:basedOn w:val="Normal"/>
    <w:next w:val="Normal"/>
    <w:autoRedefine w:val="1"/>
    <w:uiPriority w:val="39"/>
    <w:unhideWhenUsed w:val="1"/>
    <w:rsid w:val="003A4E7A"/>
    <w:pPr>
      <w:tabs>
        <w:tab w:val="right" w:leader="dot" w:pos="8828"/>
      </w:tabs>
      <w:spacing w:after="100"/>
      <w:ind w:left="220"/>
    </w:pPr>
    <w:rPr>
      <w:rFonts w:ascii="Arial" w:cs="Arial" w:eastAsia="Arial" w:hAnsi="Arial"/>
      <w:noProof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onati.gob.ve/wp-content/uploads/Ley_de_Ciencia-y_Tecnologia.pdf" TargetMode="External"/><Relationship Id="rId11" Type="http://schemas.openxmlformats.org/officeDocument/2006/relationships/hyperlink" Target="https://www.redalyc.org/pdf/3442/344234341035.pdf" TargetMode="External"/><Relationship Id="rId22" Type="http://schemas.openxmlformats.org/officeDocument/2006/relationships/footer" Target="footer1.xml"/><Relationship Id="rId10" Type="http://schemas.openxmlformats.org/officeDocument/2006/relationships/image" Target="media/image6.png"/><Relationship Id="rId21" Type="http://schemas.openxmlformats.org/officeDocument/2006/relationships/header" Target="header1.xml"/><Relationship Id="rId13" Type="http://schemas.openxmlformats.org/officeDocument/2006/relationships/hyperlink" Target="https://unesdoc.unesco.org/" TargetMode="External"/><Relationship Id="rId12" Type="http://schemas.openxmlformats.org/officeDocument/2006/relationships/hyperlink" Target="https://apiperiodico.jalisco.gob.mx/api/sites/periodicooficial.jalisco.gob.mx/files/metodologia_de_la_investigacion_-_roberto_hernandez_sampieri.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virtual.urbe.edu/tesispub/0083016/cap03.pdf" TargetMode="External"/><Relationship Id="rId14" Type="http://schemas.openxmlformats.org/officeDocument/2006/relationships/hyperlink" Target="https://www.redalyc.org/journal/290/29065286032/29065286032.pdf" TargetMode="External"/><Relationship Id="rId17" Type="http://schemas.openxmlformats.org/officeDocument/2006/relationships/hyperlink" Target="https://virtual.cuautitlan.unam.mx/rudics/?p=2612" TargetMode="External"/><Relationship Id="rId16" Type="http://schemas.openxmlformats.org/officeDocument/2006/relationships/hyperlink" Target="https://revistas.uam.es/reice/article/view/reice2021_19_4_005" TargetMode="External"/><Relationship Id="rId5" Type="http://schemas.openxmlformats.org/officeDocument/2006/relationships/styles" Target="styles.xml"/><Relationship Id="rId19" Type="http://schemas.openxmlformats.org/officeDocument/2006/relationships/hyperlink" Target="https://doi.org/xx.xxxx/rlie.2019.003" TargetMode="External"/><Relationship Id="rId6" Type="http://schemas.openxmlformats.org/officeDocument/2006/relationships/customXml" Target="../customXML/item1.xml"/><Relationship Id="rId18" Type="http://schemas.openxmlformats.org/officeDocument/2006/relationships/hyperlink" Target="https://doi.org/xx.xxxx/conf.2015.001"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z2sQHTiVsUWSLvaR8DGJULBkQ==">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2025-07-04T23:50:00Z</dcterms:created>
  <dc:creator>COMPUGAMER</dc:creator>
</cp:coreProperties>
</file>