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56"/>
          <w:szCs w:val="56"/>
        </w:rPr>
        <w:t xml:space="preserve">SCOPE OF WORK</w:t>
      </w:r>
    </w:p>
    <w:p>
      <w:pPr>
        <w:spacing w:after="120"/>
        <w:jc w:val="center"/>
      </w:pPr>
      <w:r>
        <w:rPr>
          <w:b/>
          <w:bCs/>
          <w:sz w:val="40"/>
          <w:szCs w:val="40"/>
        </w:rPr>
        <w:t xml:space="preserve">Contract Knowledge Base</w:t>
      </w:r>
    </w:p>
    <w:p>
      <w:pPr>
        <w:spacing w:after="1200"/>
        <w:jc w:val="center"/>
      </w:pPr>
      <w:r>
        <w:rPr>
          <w:i/>
          <w:iCs/>
          <w:color w:val="595959"/>
          <w:sz w:val="26"/>
          <w:szCs w:val="26"/>
        </w:rPr>
        <w:t xml:space="preserve">A New Application within the Technica Knowledge Centre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Prepared For</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Technica Mining — Leadership &amp; IT Stakeholders</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Prepared By</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Business Analysis &amp; Solutions Architecture</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Document Status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DRAFT — for SME review and stakeholder circulation</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Version</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0.6</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Date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April 2026</w:t>
            </w:r>
          </w:p>
        </w:tc>
      </w:tr>
    </w:tbl>
    <w:p>
      <w:r>
        <w:br w:type="page"/>
      </w:r>
    </w:p>
    <w:p>
      <w:pPr>
        <w:pStyle w:val="Heading1"/>
        <w:spacing w:after="180" w:before="360"/>
      </w:pPr>
      <w:r>
        <w:t xml:space="preserve">Contents</w:t>
      </w:r>
    </w:p>
    <w:p>
      <w:pPr>
        <w:spacing w:after="140"/>
      </w:pPr>
      <w:r>
        <w:t xml:space="preserve">Executive Summary</w:t>
      </w:r>
    </w:p>
    <w:p>
      <w:pPr>
        <w:spacing w:after="140"/>
      </w:pPr>
      <w:r>
        <w:t xml:space="preserve">1. Project Objectives &amp; Success Criteria</w:t>
      </w:r>
    </w:p>
    <w:p>
      <w:pPr>
        <w:spacing w:after="140"/>
      </w:pPr>
      <w:r>
        <w:t xml:space="preserve">2. User Personas &amp; Use Cases</w:t>
      </w:r>
    </w:p>
    <w:p>
      <w:pPr>
        <w:spacing w:after="140"/>
      </w:pPr>
      <w:r>
        <w:t xml:space="preserve">3. Functional Requirements</w:t>
      </w:r>
    </w:p>
    <w:p>
      <w:pPr>
        <w:spacing w:after="140"/>
      </w:pPr>
      <w:r>
        <w:t xml:space="preserve">4. Non-Functional Requirements</w:t>
      </w:r>
    </w:p>
    <w:p>
      <w:pPr>
        <w:spacing w:after="140"/>
      </w:pPr>
      <w:r>
        <w:t xml:space="preserve">5. Data Architecture</w:t>
      </w:r>
    </w:p>
    <w:p>
      <w:pPr>
        <w:spacing w:after="140"/>
      </w:pPr>
      <w:r>
        <w:t xml:space="preserve">6. AI / LLM Layer</w:t>
      </w:r>
    </w:p>
    <w:p>
      <w:pPr>
        <w:spacing w:after="140"/>
      </w:pPr>
      <w:r>
        <w:t xml:space="preserve">7. Integration Requirements</w:t>
      </w:r>
    </w:p>
    <w:p>
      <w:pPr>
        <w:spacing w:after="140"/>
      </w:pPr>
      <w:r>
        <w:t xml:space="preserve">8. User Interface &amp; Workflow</w:t>
      </w:r>
    </w:p>
    <w:p>
      <w:pPr>
        <w:spacing w:after="140"/>
      </w:pPr>
      <w:r>
        <w:t xml:space="preserve">9. Permissions &amp; Governance</w:t>
      </w:r>
    </w:p>
    <w:p>
      <w:pPr>
        <w:spacing w:after="140"/>
      </w:pPr>
      <w:r>
        <w:t xml:space="preserve">10. Risks &amp; Assumptions</w:t>
      </w:r>
    </w:p>
    <w:p>
      <w:pPr>
        <w:spacing w:after="140"/>
      </w:pPr>
      <w:r>
        <w:t xml:space="preserve">11. Phased Delivery Plan</w:t>
      </w:r>
    </w:p>
    <w:p>
      <w:pPr>
        <w:spacing w:after="140"/>
      </w:pPr>
      <w:r>
        <w:t xml:space="preserve">12. Open Questions &amp; Recommended Starting Positions</w:t>
      </w:r>
    </w:p>
    <w:p>
      <w:r>
        <w:br w:type="page"/>
      </w:r>
    </w:p>
    <w:p>
      <w:pPr>
        <w:pStyle w:val="Heading1"/>
        <w:spacing w:after="180" w:before="360"/>
      </w:pPr>
      <w:r>
        <w:t xml:space="preserve">Executive Summary</w:t>
      </w:r>
    </w:p>
    <w:p>
      <w:pPr>
        <w:spacing w:after="140"/>
      </w:pPr>
      <w:r>
        <w:t xml:space="preserve">Technica Mining is commissioning the development of a Contract Knowledge Base, a new application within the Technica Knowledge Centre (TKC). The application will serve as a centralized, contract-specific repository that consolidates every document, drawing, specification, negotiation record, and email communication tied to an individual contract, and will layer AI-assisted retrieval, analysis, and drafting capabilities over that consolidated record.</w:t>
      </w:r>
    </w:p>
    <w:p>
      <w:pPr>
        <w:spacing w:after="140"/>
      </w:pPr>
      <w:r>
        <w:t xml:space="preserve">The platform is designed from the outset as part of a broader Technica Knowledge Centre ecosystem. It will share identity, audit, and notification services with other TKC applications, exchange data with the Bid Intake &amp; Generation application for bid-to-contract handoff, and feed closed-contract outcomes back into future bids as automated lessons learned.</w:t>
      </w:r>
    </w:p>
    <w:p>
      <w:pPr>
        <w:spacing w:after="120"/>
      </w:pPr>
      <w:r>
        <w:rPr>
          <w:b/>
          <w:bCs/>
        </w:rPr>
        <w:t xml:space="preserve">The business case rests on five measurable outcomes:</w:t>
      </w:r>
    </w:p>
    <w:p>
      <w:pPr>
        <w:pStyle w:val="ListParagraph"/>
        <w:numPr>
          <w:ilvl w:val="0"/>
          <w:numId w:val="2"/>
        </w:numPr>
        <w:spacing w:after="80"/>
      </w:pPr>
      <w:r>
        <w:t xml:space="preserve">Faster, more defensible claims — evidence always organized, retrievable, and citable back to source.</w:t>
      </w:r>
    </w:p>
    <w:p>
      <w:pPr>
        <w:pStyle w:val="ListParagraph"/>
        <w:numPr>
          <w:ilvl w:val="0"/>
          <w:numId w:val="2"/>
        </w:numPr>
        <w:spacing w:after="80"/>
      </w:pPr>
      <w:r>
        <w:t xml:space="preserve">Protection of contractual entitlements — automated tracking of notice periods and deadlines eliminates the single most common cause of lost claims.</w:t>
      </w:r>
    </w:p>
    <w:p>
      <w:pPr>
        <w:pStyle w:val="ListParagraph"/>
        <w:numPr>
          <w:ilvl w:val="0"/>
          <w:numId w:val="2"/>
        </w:numPr>
        <w:spacing w:after="80"/>
      </w:pPr>
      <w:r>
        <w:t xml:space="preserve">Improved scope discipline — on-demand in-scope / out-of-scope analysis grounded in the contract, drawings, and correspondence.</w:t>
      </w:r>
    </w:p>
    <w:p>
      <w:pPr>
        <w:pStyle w:val="ListParagraph"/>
        <w:numPr>
          <w:ilvl w:val="0"/>
          <w:numId w:val="2"/>
        </w:numPr>
        <w:spacing w:after="80"/>
      </w:pPr>
      <w:r>
        <w:t xml:space="preserve">End-to-end contract lifecycle support — from bid handoff through execution, closeout, and archive.</w:t>
      </w:r>
    </w:p>
    <w:p>
      <w:pPr>
        <w:pStyle w:val="ListParagraph"/>
        <w:numPr>
          <w:ilvl w:val="0"/>
          <w:numId w:val="2"/>
        </w:numPr>
        <w:spacing w:after="80"/>
      </w:pPr>
      <w:r>
        <w:t xml:space="preserve">Institutional knowledge retention — contracts remain fully queryable after the project team rolls off, and closed-contract insights flow back into future bids and contracts.</w:t>
      </w:r>
    </w:p>
    <w:p>
      <w:pPr>
        <w:spacing w:after="140"/>
      </w:pPr>
      <w:r>
        <w:t xml:space="preserve">Each contract in the system will be assigned a unique project-designated email address on a dedicated subdomain (contracts.technicamining.com) that acts as the ingestion channel for all correspondence, making the knowledge base a living record of the contract rather than a static document store.</w:t>
      </w:r>
    </w:p>
    <w:p>
      <w:pPr>
        <w:spacing w:after="140"/>
      </w:pPr>
      <w:r>
        <w:t xml:space="preserve">The program will be delivered in four phases. Phase 1 (MVP) delivers real daily value to project managers, estimators, site supervisors, and the commercial/claims team from day one. Phase 2 builds commercial depth and full lifecycle tracking. Phase 3 adds strategic, cross-contract capabilities and automated lessons learned. Phase 4 graduates the platform into a full Document Management System for the business.</w:t>
      </w:r>
    </w:p>
    <w:p>
      <w:pPr>
        <w:pStyle w:val="Heading2"/>
        <w:spacing w:after="140" w:before="280"/>
      </w:pPr>
      <w:r>
        <w:t xml:space="preserve">Changes in this Revision (v0.5)</w:t>
      </w:r>
    </w:p>
    <w:p>
      <w:pPr>
        <w:spacing w:after="140"/>
      </w:pPr>
      <w:r>
        <w:t xml:space="preserve">This revision incorporates subject-matter-expert feedback received against v0.4. Material additions and changes include:</w:t>
      </w:r>
    </w:p>
    <w:p>
      <w:pPr>
        <w:pStyle w:val="ListParagraph"/>
        <w:numPr>
          <w:ilvl w:val="0"/>
          <w:numId w:val="3"/>
        </w:numPr>
        <w:spacing w:after="80"/>
      </w:pPr>
      <w:r>
        <w:t xml:space="preserve">A new Entity-Relationship Model (Section 5.1b) making the core data model explicit for developers.</w:t>
      </w:r>
    </w:p>
    <w:p>
      <w:pPr>
        <w:pStyle w:val="ListParagraph"/>
        <w:numPr>
          <w:ilvl w:val="0"/>
          <w:numId w:val="3"/>
        </w:numPr>
        <w:spacing w:after="80"/>
      </w:pPr>
      <w:r>
        <w:t xml:space="preserve">A new Contract &amp; Claim Lifecycle States section (Section 3.34) defining the state machines that turn the platform from a smart library into a system of action.</w:t>
      </w:r>
    </w:p>
    <w:p>
      <w:pPr>
        <w:pStyle w:val="ListParagraph"/>
        <w:numPr>
          <w:ilvl w:val="0"/>
          <w:numId w:val="3"/>
        </w:numPr>
        <w:spacing w:after="80"/>
      </w:pPr>
      <w:r>
        <w:t xml:space="preserve">A new Integration Boundaries Table (Section 7.7) specifying, for each integration, what flows in and out, real-time versus batch, and the system of record.</w:t>
      </w:r>
    </w:p>
    <w:p>
      <w:pPr>
        <w:pStyle w:val="ListParagraph"/>
        <w:numPr>
          <w:ilvl w:val="0"/>
          <w:numId w:val="3"/>
        </w:numPr>
        <w:spacing w:after="80"/>
      </w:pPr>
      <w:r>
        <w:t xml:space="preserve">Section 6.3 restructured into AI capability buckets (Retrieval, Clause &amp; Obligation Extraction, Deadline Detection, Risk Flagging, Drafting, Synthesis) for clearer implementation.</w:t>
      </w:r>
    </w:p>
    <w:p>
      <w:pPr>
        <w:pStyle w:val="ListParagraph"/>
        <w:numPr>
          <w:ilvl w:val="0"/>
          <w:numId w:val="3"/>
        </w:numPr>
        <w:spacing w:after="80"/>
      </w:pPr>
      <w:r>
        <w:t xml:space="preserve">A new Claim Readiness Score (Section 3.35) in Phase 2 — a live indicator pulling together notice compliance, evidence completeness, and timeline validity.</w:t>
      </w:r>
    </w:p>
    <w:p>
      <w:pPr>
        <w:pStyle w:val="ListParagraph"/>
        <w:numPr>
          <w:ilvl w:val="0"/>
          <w:numId w:val="3"/>
        </w:numPr>
        <w:spacing w:after="80"/>
      </w:pPr>
      <w:r>
        <w:t xml:space="preserve">A new Proactive AI Flagging feature (Section 3.36) in Phase 2 — the AI surfaces risks unprompted (e.g., "this email may constitute a notice under Clause X").</w:t>
      </w:r>
    </w:p>
    <w:p>
      <w:pPr>
        <w:pStyle w:val="ListParagraph"/>
        <w:numPr>
          <w:ilvl w:val="0"/>
          <w:numId w:val="3"/>
        </w:numPr>
        <w:spacing w:after="80"/>
      </w:pPr>
      <w:r>
        <w:t xml:space="preserve">Evidence Packaging elevated to a standalone top-level feature (Section 3.37).</w:t>
      </w:r>
    </w:p>
    <w:p>
      <w:pPr>
        <w:pStyle w:val="ListParagraph"/>
        <w:numPr>
          <w:ilvl w:val="0"/>
          <w:numId w:val="3"/>
        </w:numPr>
        <w:spacing w:after="80"/>
      </w:pPr>
      <w:r>
        <w:t xml:space="preserve">A new Data Quality Risk entry in Section 10.1 with ingestion validation standards.</w:t>
      </w:r>
    </w:p>
    <w:p>
      <w:pPr>
        <w:pStyle w:val="ListParagraph"/>
        <w:numPr>
          <w:ilvl w:val="0"/>
          <w:numId w:val="3"/>
        </w:numPr>
        <w:spacing w:after="80"/>
      </w:pPr>
      <w:r>
        <w:t xml:space="preserve">Redaction controls added to Section 9 for legal-sensitivity handling.</w:t>
      </w:r>
    </w:p>
    <w:p>
      <w:pPr>
        <w:pStyle w:val="ListParagraph"/>
        <w:numPr>
          <w:ilvl w:val="0"/>
          <w:numId w:val="3"/>
        </w:numPr>
        <w:spacing w:after="80"/>
      </w:pPr>
      <w:r>
        <w:t xml:space="preserve">A new explanatory note in Section 11 preserving Phase 1 AI scope as a deliberate decision, not scope creep.</w:t>
      </w:r>
    </w:p>
    <w:p>
      <w:pPr>
        <w:pStyle w:val="Heading2"/>
        <w:spacing w:after="140" w:before="280"/>
      </w:pPr>
      <w:r>
        <w:t xml:space="preserve">Changes in this Revision (v0.6)</w:t>
      </w:r>
    </w:p>
    <w:p>
      <w:pPr>
        <w:spacing w:after="140"/>
      </w:pPr>
      <w:r>
        <w:t xml:space="preserve">This revision incorporates additional feedback against v0.5, closing operational and integration gaps identified during review. Material additions and changes include:</w:t>
      </w:r>
    </w:p>
    <w:p>
      <w:pPr>
        <w:pStyle w:val="ListParagraph"/>
        <w:numPr>
          <w:ilvl w:val="0"/>
          <w:numId w:val="3"/>
        </w:numPr>
        <w:spacing w:after="80"/>
      </w:pPr>
      <w:r>
        <w:t xml:space="preserve">Section 3.2 expanded with email ingestion edge cases (encrypted and password-protected attachments, oversized attachments and shared-link content, calendar invites).</w:t>
      </w:r>
    </w:p>
    <w:p>
      <w:pPr>
        <w:pStyle w:val="ListParagraph"/>
        <w:numPr>
          <w:ilvl w:val="0"/>
          <w:numId w:val="3"/>
        </w:numPr>
        <w:spacing w:after="80"/>
      </w:pPr>
      <w:r>
        <w:t xml:space="preserve">New Section 3.11b — Submittals &amp; Transmittal Register (Phase 2), distinct from the RFI register, tracking shop drawings, material data, samples, method statements, and ITPs through their contractual review lifecycle.</w:t>
      </w:r>
    </w:p>
    <w:p>
      <w:pPr>
        <w:pStyle w:val="ListParagraph"/>
        <w:numPr>
          <w:ilvl w:val="0"/>
          <w:numId w:val="3"/>
        </w:numPr>
        <w:spacing w:after="80"/>
      </w:pPr>
      <w:r>
        <w:t xml:space="preserve">New Section 3.14b — Safety, QA/QC &amp; Inspection Records (Phase 2), introducing incident report, NCR, inspection record, and hold-point release flags that feed the deadline tracker and evidence packaging.</w:t>
      </w:r>
    </w:p>
    <w:p>
      <w:pPr>
        <w:pStyle w:val="ListParagraph"/>
        <w:numPr>
          <w:ilvl w:val="0"/>
          <w:numId w:val="3"/>
        </w:numPr>
        <w:spacing w:after="80"/>
      </w:pPr>
      <w:r>
        <w:t xml:space="preserve">Section 3.37 (Evidence Packaging) expanded to require a chain-of-custody manifest and a redaction log to accompany every exported bundle.</w:t>
      </w:r>
    </w:p>
    <w:p>
      <w:pPr>
        <w:pStyle w:val="ListParagraph"/>
        <w:numPr>
          <w:ilvl w:val="0"/>
          <w:numId w:val="3"/>
        </w:numPr>
        <w:spacing w:after="80"/>
      </w:pPr>
      <w:r>
        <w:t xml:space="preserve">New Section 4.9 — Data Portability, requiring that all contract data be exportable in open formats for client handover, legal discovery, or vendor transition.</w:t>
      </w:r>
    </w:p>
    <w:p>
      <w:pPr>
        <w:pStyle w:val="ListParagraph"/>
        <w:numPr>
          <w:ilvl w:val="0"/>
          <w:numId w:val="3"/>
        </w:numPr>
        <w:spacing w:after="80"/>
      </w:pPr>
      <w:r>
        <w:t xml:space="preserve">New Section 7.8 — ERP / Cost System Read-Only Linkage (Phase 2/3), a narrow read-only integration pulling approved contract value, committed cost, certified-to-date, and paid-to-date so the Claim Readiness Score quantum component has grounded numbers.</w:t>
      </w:r>
    </w:p>
    <w:p>
      <w:pPr>
        <w:pStyle w:val="ListParagraph"/>
        <w:numPr>
          <w:ilvl w:val="0"/>
          <w:numId w:val="3"/>
        </w:numPr>
        <w:spacing w:after="80"/>
      </w:pPr>
      <w:r>
        <w:t xml:space="preserve">New Section 9.6 — Ethical Walls &amp; Individual Access Revocation, enabling individual-level access revocation that overrides role-based defaults, with full audit logging.</w:t>
      </w:r>
    </w:p>
    <w:p>
      <w:pPr>
        <w:pStyle w:val="ListParagraph"/>
        <w:numPr>
          <w:ilvl w:val="0"/>
          <w:numId w:val="3"/>
        </w:numPr>
        <w:spacing w:after="80"/>
      </w:pPr>
      <w:r>
        <w:t xml:space="preserve">New Section 8.10b — Offline Diary Behaviour, specifying a local-draft and sync-on-reconnect pattern for site supervisors working in areas without connectivity.</w:t>
      </w:r>
    </w:p>
    <w:p>
      <w:pPr>
        <w:pStyle w:val="ListParagraph"/>
        <w:numPr>
          <w:ilvl w:val="0"/>
          <w:numId w:val="3"/>
        </w:numPr>
        <w:spacing w:after="80"/>
      </w:pPr>
      <w:r>
        <w:t xml:space="preserve">New Section 5.5b — Document Authoritativeness Rule, making explicit that versioned Documents take precedence over Attachment copies in AI retrieval.</w:t>
      </w:r>
    </w:p>
    <w:p>
      <w:pPr>
        <w:pStyle w:val="ListParagraph"/>
        <w:numPr>
          <w:ilvl w:val="0"/>
          <w:numId w:val="3"/>
        </w:numPr>
        <w:spacing w:after="80"/>
      </w:pPr>
      <w:r>
        <w:t xml:space="preserve">New Section 6.7 — LLM Cost Governance, establishing tiered model routing and a monthly cost governance review.</w:t>
      </w:r>
    </w:p>
    <w:p>
      <w:pPr>
        <w:pStyle w:val="ListParagraph"/>
        <w:numPr>
          <w:ilvl w:val="0"/>
          <w:numId w:val="3"/>
        </w:numPr>
        <w:spacing w:after="80"/>
      </w:pPr>
      <w:r>
        <w:t xml:space="preserve">New Section 11.5 — Training &amp; Change Management Workstream, elevating training, champions program, and adoption metrics to a named parallel workstream.</w:t>
      </w:r>
    </w:p>
    <w:p>
      <w:pPr>
        <w:pStyle w:val="ListParagraph"/>
        <w:numPr>
          <w:ilvl w:val="0"/>
          <w:numId w:val="3"/>
        </w:numPr>
        <w:spacing w:after="80"/>
      </w:pPr>
      <w:r>
        <w:t xml:space="preserve">New framing paragraph added at the head of Phase 2 in Section 11 explaining the coherent commercial-hardening intent of the Phase 2 release.</w:t>
      </w:r>
    </w:p>
    <w:p>
      <w:pPr>
        <w:pStyle w:val="ListParagraph"/>
        <w:numPr>
          <w:ilvl w:val="0"/>
          <w:numId w:val="3"/>
        </w:numPr>
        <w:spacing w:after="80"/>
      </w:pPr>
      <w:r>
        <w:t xml:space="preserve">Multi-language consideration flagged in Section 6.2 for French-language contract content where applicable.</w:t>
      </w:r>
    </w:p>
    <w:p>
      <w:r>
        <w:br w:type="page"/>
      </w:r>
    </w:p>
    <w:p>
      <w:pPr>
        <w:pStyle w:val="Heading1"/>
        <w:spacing w:after="180" w:before="360"/>
      </w:pPr>
      <w:r>
        <w:t xml:space="preserve">1. Project Objectives &amp; Success Criteria</w:t>
      </w:r>
    </w:p>
    <w:p>
      <w:pPr>
        <w:pStyle w:val="Heading2"/>
        <w:spacing w:after="140" w:before="280"/>
      </w:pPr>
      <w:r>
        <w:t xml:space="preserve">1.1 Primary Objectives</w:t>
      </w:r>
    </w:p>
    <w:p>
      <w:pPr>
        <w:pStyle w:val="ListParagraph"/>
        <w:numPr>
          <w:ilvl w:val="0"/>
          <w:numId w:val="3"/>
        </w:numPr>
        <w:spacing w:after="80"/>
      </w:pPr>
      <w:r>
        <w:t xml:space="preserve">Establish a single authoritative source of truth for every contract Technica Mining executes.</w:t>
      </w:r>
    </w:p>
    <w:p>
      <w:pPr>
        <w:pStyle w:val="ListParagraph"/>
        <w:numPr>
          <w:ilvl w:val="0"/>
          <w:numId w:val="3"/>
        </w:numPr>
        <w:spacing w:after="80"/>
      </w:pPr>
      <w:r>
        <w:t xml:space="preserve">Reduce the time required to answer scope, entitlement, and claim-related questions from hours or days to minutes.</w:t>
      </w:r>
    </w:p>
    <w:p>
      <w:pPr>
        <w:pStyle w:val="ListParagraph"/>
        <w:numPr>
          <w:ilvl w:val="0"/>
          <w:numId w:val="3"/>
        </w:numPr>
        <w:spacing w:after="80"/>
      </w:pPr>
      <w:r>
        <w:t xml:space="preserve">Eliminate missed contractual notice periods and submission deadlines.</w:t>
      </w:r>
    </w:p>
    <w:p>
      <w:pPr>
        <w:pStyle w:val="ListParagraph"/>
        <w:numPr>
          <w:ilvl w:val="0"/>
          <w:numId w:val="3"/>
        </w:numPr>
        <w:spacing w:after="80"/>
      </w:pPr>
      <w:r>
        <w:t xml:space="preserve">Enable any authorized user to produce a fully-cited, evidence-backed response to a scope or claim question without manually searching folders or inboxes.</w:t>
      </w:r>
    </w:p>
    <w:p>
      <w:pPr>
        <w:pStyle w:val="ListParagraph"/>
        <w:numPr>
          <w:ilvl w:val="0"/>
          <w:numId w:val="3"/>
        </w:numPr>
        <w:spacing w:after="80"/>
      </w:pPr>
      <w:r>
        <w:t xml:space="preserve">Preserve evidentiary integrity of all ingested documents and correspondence to a standard suitable for formal dispute and claim proceedings.</w:t>
      </w:r>
    </w:p>
    <w:p>
      <w:pPr>
        <w:pStyle w:val="ListParagraph"/>
        <w:numPr>
          <w:ilvl w:val="0"/>
          <w:numId w:val="3"/>
        </w:numPr>
        <w:spacing w:after="80"/>
      </w:pPr>
      <w:r>
        <w:t xml:space="preserve">Support the full contract lifecycle from bid win through closeout and archive.</w:t>
      </w:r>
    </w:p>
    <w:p>
      <w:pPr>
        <w:pStyle w:val="ListParagraph"/>
        <w:numPr>
          <w:ilvl w:val="0"/>
          <w:numId w:val="3"/>
        </w:numPr>
        <w:spacing w:after="80"/>
      </w:pPr>
      <w:r>
        <w:t xml:space="preserve">Generate structured lessons learned that improve future bids and contract execution.</w:t>
      </w:r>
    </w:p>
    <w:p>
      <w:pPr>
        <w:pStyle w:val="Heading2"/>
        <w:spacing w:after="140" w:before="280"/>
      </w:pPr>
      <w:r>
        <w:t xml:space="preserve">1.2 Measurable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Metric</w:t>
            </w:r>
          </w:p>
        </w:tc>
        <w:tc>
          <w:tcPr>
            <w:tcW w:type="dxa" w:w="46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Target (12 months post-launch)</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Contracts onboarded to the platform</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100% of new contracts above a defined value threshold</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Average time to answer a scope/entitlement question</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Under 5 minutes (baseline to be measured)</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Missed contractual notice periods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Zero on contracts managed in the platform</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Claims supported by platform-generated evidence bundles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100% of claims submitted</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User adoption (active weekly users within target roles)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80%+ of PMs, commercial staff, and site supervisors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AI answer accuracy (verified against source)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95%+ on spot audits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Bid-to-contract handoff completion (Phase 2 onward)</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100% of won bids handed off within 5 business days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Contracts closed out using the platform's checklist (Phase 2 onward)</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100%</w:t>
            </w:r>
          </w:p>
        </w:tc>
      </w:tr>
    </w:tbl>
    <w:p>
      <w:pPr>
        <w:pStyle w:val="Heading2"/>
        <w:spacing w:after="140" w:before="280"/>
      </w:pPr>
      <w:r>
        <w:t xml:space="preserve">1.3 Out of Scope</w:t>
      </w:r>
    </w:p>
    <w:p>
      <w:pPr>
        <w:pStyle w:val="ListParagraph"/>
        <w:numPr>
          <w:ilvl w:val="0"/>
          <w:numId w:val="3"/>
        </w:numPr>
        <w:spacing w:after="80"/>
      </w:pPr>
      <w:r>
        <w:t xml:space="preserve">Replacement of Technica's financial/ERP systems.</w:t>
      </w:r>
    </w:p>
    <w:p>
      <w:pPr>
        <w:pStyle w:val="ListParagraph"/>
        <w:numPr>
          <w:ilvl w:val="0"/>
          <w:numId w:val="3"/>
        </w:numPr>
        <w:spacing w:after="80"/>
      </w:pPr>
      <w:r>
        <w:t xml:space="preserve">Cost tracking, invoicing, and forecasting.</w:t>
      </w:r>
    </w:p>
    <w:p>
      <w:pPr>
        <w:pStyle w:val="ListParagraph"/>
        <w:numPr>
          <w:ilvl w:val="0"/>
          <w:numId w:val="3"/>
        </w:numPr>
        <w:spacing w:after="80"/>
      </w:pPr>
      <w:r>
        <w:t xml:space="preserve">Legal advice — the platform surfaces contract content; it does not replace legal counsel.</w:t>
      </w:r>
    </w:p>
    <w:p>
      <w:pPr>
        <w:pStyle w:val="ListParagraph"/>
        <w:numPr>
          <w:ilvl w:val="0"/>
          <w:numId w:val="3"/>
        </w:numPr>
        <w:spacing w:after="80"/>
      </w:pPr>
      <w:r>
        <w:t xml:space="preserve">Public-facing client portals in Phase 1.</w:t>
      </w:r>
    </w:p>
    <w:p>
      <w:r>
        <w:br w:type="page"/>
      </w:r>
    </w:p>
    <w:p>
      <w:pPr>
        <w:pStyle w:val="Heading1"/>
        <w:spacing w:after="180" w:before="360"/>
      </w:pPr>
      <w:r>
        <w:t xml:space="preserve">2. User Personas &amp; Use Cases</w:t>
      </w:r>
    </w:p>
    <w:p>
      <w:pPr>
        <w:pStyle w:val="Heading2"/>
        <w:spacing w:after="140" w:before="280"/>
      </w:pPr>
      <w:r>
        <w:t xml:space="preserve">2.1 Primary Personas</w:t>
      </w:r>
    </w:p>
    <w:p>
      <w:pPr>
        <w:spacing w:after="140"/>
      </w:pPr>
      <w:r>
        <w:rPr>
          <w:b/>
          <w:bCs/>
        </w:rPr>
        <w:t xml:space="preserve">Project Manager (PM) — </w:t>
      </w:r>
      <w:r>
        <w:t xml:space="preserve">Owns contract delivery. Heavy daily user.</w:t>
      </w:r>
    </w:p>
    <w:p>
      <w:pPr>
        <w:spacing w:after="140"/>
      </w:pPr>
      <w:r>
        <w:rPr>
          <w:b/>
          <w:bCs/>
        </w:rPr>
        <w:t xml:space="preserve">Commercial / Claims Lead — </w:t>
      </w:r>
      <w:r>
        <w:t xml:space="preserve">Drafts claims, change orders, and notices.</w:t>
      </w:r>
    </w:p>
    <w:p>
      <w:pPr>
        <w:spacing w:after="140"/>
      </w:pPr>
      <w:r>
        <w:rPr>
          <w:b/>
          <w:bCs/>
        </w:rPr>
        <w:t xml:space="preserve">Estimator — </w:t>
      </w:r>
      <w:r>
        <w:t xml:space="preserve">Consults historical and active contracts during tendering; primary consumer of lessons learned.</w:t>
      </w:r>
    </w:p>
    <w:p>
      <w:pPr>
        <w:spacing w:after="140"/>
      </w:pPr>
      <w:r>
        <w:rPr>
          <w:b/>
          <w:bCs/>
        </w:rPr>
        <w:t xml:space="preserve">Site Supervisor / Superintendent — </w:t>
      </w:r>
      <w:r>
        <w:t xml:space="preserve">Needs quick, mobile-friendly answers. Low tolerance for friction.</w:t>
      </w:r>
    </w:p>
    <w:p>
      <w:pPr>
        <w:spacing w:after="140"/>
      </w:pPr>
      <w:r>
        <w:rPr>
          <w:b/>
          <w:bCs/>
        </w:rPr>
        <w:t xml:space="preserve">Contract Administrator — </w:t>
      </w:r>
      <w:r>
        <w:t xml:space="preserve">Manages correspondence, RFIs, notices, amendments; primary curator of content.</w:t>
      </w:r>
    </w:p>
    <w:p>
      <w:pPr>
        <w:spacing w:after="140"/>
      </w:pPr>
      <w:r>
        <w:rPr>
          <w:b/>
          <w:bCs/>
        </w:rPr>
        <w:t xml:space="preserve">Business Manager / Leadership — </w:t>
      </w:r>
      <w:r>
        <w:t xml:space="preserve">Consumes dashboards, risk summaries, claim status, and portfolio rollups.</w:t>
      </w:r>
    </w:p>
    <w:p>
      <w:pPr>
        <w:spacing w:after="140"/>
      </w:pPr>
      <w:r>
        <w:rPr>
          <w:b/>
          <w:bCs/>
        </w:rPr>
        <w:t xml:space="preserve">IT / Systems Administrator — </w:t>
      </w:r>
      <w:r>
        <w:t xml:space="preserve">Manages provisioning, permissions, integrations, and audit.</w:t>
      </w:r>
    </w:p>
    <w:p>
      <w:pPr>
        <w:spacing w:after="140"/>
      </w:pPr>
      <w:r>
        <w:rPr>
          <w:b/>
          <w:bCs/>
        </w:rPr>
        <w:t xml:space="preserve">Legal Counsel (advisory) — </w:t>
      </w:r>
      <w:r>
        <w:t xml:space="preserve">Reviews high-risk clauses, claims positions, and disputes.</w:t>
      </w:r>
    </w:p>
    <w:p>
      <w:pPr>
        <w:pStyle w:val="Heading2"/>
        <w:spacing w:after="140" w:before="280"/>
      </w:pPr>
      <w:r>
        <w:t xml:space="preserve">2.2 Top Ten Real-World Queries the System Must Handle</w:t>
      </w:r>
    </w:p>
    <w:p>
      <w:pPr>
        <w:pStyle w:val="ListParagraph"/>
        <w:numPr>
          <w:ilvl w:val="0"/>
          <w:numId w:val="2"/>
        </w:numPr>
        <w:spacing w:after="80"/>
      </w:pPr>
      <w:r>
        <w:t xml:space="preserve">"Is the client's request to reroute the conveyor line inside or outside our scope?"</w:t>
      </w:r>
    </w:p>
    <w:p>
      <w:pPr>
        <w:pStyle w:val="ListParagraph"/>
        <w:numPr>
          <w:ilvl w:val="0"/>
          <w:numId w:val="2"/>
        </w:numPr>
        <w:spacing w:after="80"/>
      </w:pPr>
      <w:r>
        <w:t xml:space="preserve">"What is the notice period for a delay claim under this contract, and when does the clock start?"</w:t>
      </w:r>
    </w:p>
    <w:p>
      <w:pPr>
        <w:pStyle w:val="ListParagraph"/>
        <w:numPr>
          <w:ilvl w:val="0"/>
          <w:numId w:val="2"/>
        </w:numPr>
        <w:spacing w:after="80"/>
      </w:pPr>
      <w:r>
        <w:t xml:space="preserve">"Show me every email between us and the client referencing the shaft liner revision."</w:t>
      </w:r>
    </w:p>
    <w:p>
      <w:pPr>
        <w:pStyle w:val="ListParagraph"/>
        <w:numPr>
          <w:ilvl w:val="0"/>
          <w:numId w:val="2"/>
        </w:numPr>
        <w:spacing w:after="80"/>
      </w:pPr>
      <w:r>
        <w:t xml:space="preserve">"What changed between Rev B and Rev C of drawing M-401, and does it expand our scope?"</w:t>
      </w:r>
    </w:p>
    <w:p>
      <w:pPr>
        <w:pStyle w:val="ListParagraph"/>
        <w:numPr>
          <w:ilvl w:val="0"/>
          <w:numId w:val="2"/>
        </w:numPr>
        <w:spacing w:after="80"/>
      </w:pPr>
      <w:r>
        <w:t xml:space="preserve">"Draft a delay notice for the two-week weather event beginning March 4th, citing the relevant clauses and correspondence."</w:t>
      </w:r>
    </w:p>
    <w:p>
      <w:pPr>
        <w:pStyle w:val="ListParagraph"/>
        <w:numPr>
          <w:ilvl w:val="0"/>
          <w:numId w:val="2"/>
        </w:numPr>
        <w:spacing w:after="80"/>
      </w:pPr>
      <w:r>
        <w:t xml:space="preserve">"What are the liquidated damages under this contract, and what caps apply?"</w:t>
      </w:r>
    </w:p>
    <w:p>
      <w:pPr>
        <w:pStyle w:val="ListParagraph"/>
        <w:numPr>
          <w:ilvl w:val="0"/>
          <w:numId w:val="2"/>
        </w:numPr>
        <w:spacing w:after="80"/>
      </w:pPr>
      <w:r>
        <w:t xml:space="preserve">"Have we issued any RFIs on dewatering requirements, and how did the client respond?"</w:t>
      </w:r>
    </w:p>
    <w:p>
      <w:pPr>
        <w:pStyle w:val="ListParagraph"/>
        <w:numPr>
          <w:ilvl w:val="0"/>
          <w:numId w:val="2"/>
        </w:numPr>
        <w:spacing w:after="80"/>
      </w:pPr>
      <w:r>
        <w:t xml:space="preserve">"What deadlines do we have in the next 30 days on this contract?"</w:t>
      </w:r>
    </w:p>
    <w:p>
      <w:pPr>
        <w:pStyle w:val="ListParagraph"/>
        <w:numPr>
          <w:ilvl w:val="0"/>
          <w:numId w:val="2"/>
        </w:numPr>
        <w:spacing w:after="80"/>
      </w:pPr>
      <w:r>
        <w:t xml:space="preserve">"Has this exact clause wording appeared in any prior Technica contract, and how was it interpreted?" (Phase 3)</w:t>
      </w:r>
    </w:p>
    <w:p>
      <w:pPr>
        <w:pStyle w:val="ListParagraph"/>
        <w:numPr>
          <w:ilvl w:val="0"/>
          <w:numId w:val="2"/>
        </w:numPr>
        <w:spacing w:after="80"/>
      </w:pPr>
      <w:r>
        <w:t xml:space="preserve">"What lessons learned from past contracts with this client should we build into this bid?" (Phase 3)</w:t>
      </w:r>
    </w:p>
    <w:p>
      <w:pPr>
        <w:pStyle w:val="Heading2"/>
        <w:spacing w:after="140" w:before="280"/>
      </w:pPr>
      <w:r>
        <w:t xml:space="preserve">2.3 Use Case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360"/>
        <w:gridCol w:w="1800"/>
      </w:tblGrid>
      <w:tr>
        <w:trPr>
          <w:tblHeader/>
        </w:trPr>
        <w:tc>
          <w:tcPr>
            <w:tcW w:type="dxa" w:w="4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Use Case</w:t>
            </w:r>
          </w:p>
        </w:tc>
        <w:tc>
          <w:tcPr>
            <w:tcW w:type="dxa" w:w="3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Primary Persona</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Phase</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In-scope / out-of-scope determination</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PM, Site Super</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Notice period and deadline lookup</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PM, Commercial</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Evidence retrieval for claims</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Commercial</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Clause and cross-reference lookup</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PM, Commercial</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Contract summary on onboarding</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All</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Client/stakeholder contact and authority lookup</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PM, Commercial, Site Super</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Bid-to-contract handoff</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PM, Commercial</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2</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Claim drafting with evidence bundling</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Commercial</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2</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Variation/change order register management</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Commercial, PM</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2</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Outbound correspondence from project address</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PM, Contract Admin</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2</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Drawing revision diff</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PM, Site Super</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2</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Daily site diary entry and retrieval</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Site Super</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2</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Risk register management</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PM, Commercial</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2</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Interpretation / decision log</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PM, Commercial</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2</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Project closeout checklist execution</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PM, Contract Admin</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2</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Cross-contract precedent and lessons-learned search</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Estimator, Commercial</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3</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Delay analysis against schedule</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PM, Commercial</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3</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AI-assisted contract review at tender</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Estimator, Legal</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3</w:t>
            </w:r>
          </w:p>
        </w:tc>
      </w:tr>
      <w:tr>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Full document management for the business</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All</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4</w:t>
            </w:r>
          </w:p>
        </w:tc>
      </w:tr>
    </w:tbl>
    <w:p>
      <w:r>
        <w:br w:type="page"/>
      </w:r>
    </w:p>
    <w:p>
      <w:pPr>
        <w:pStyle w:val="Heading1"/>
        <w:spacing w:after="180" w:before="360"/>
      </w:pPr>
      <w:r>
        <w:t xml:space="preserve">3. Functional Requirements</w:t>
      </w:r>
    </w:p>
    <w:p>
      <w:pPr>
        <w:pStyle w:val="Heading2"/>
        <w:spacing w:after="140" w:before="280"/>
      </w:pPr>
      <w:r>
        <w:t xml:space="preserve">3.1 Contract Creation &amp; Document Ingestion</w:t>
      </w:r>
    </w:p>
    <w:p>
      <w:pPr>
        <w:pStyle w:val="ListParagraph"/>
        <w:numPr>
          <w:ilvl w:val="0"/>
          <w:numId w:val="3"/>
        </w:numPr>
        <w:spacing w:after="80"/>
      </w:pPr>
      <w:r>
        <w:rPr>
          <w:b/>
          <w:bCs/>
        </w:rPr>
        <w:t xml:space="preserve">Contract creation wizard</w:t>
      </w:r>
      <w:r>
        <w:t xml:space="preserve"> — Captures contract metadata (name, client, value, start/end dates, governing law, key parties, responsible PM, confidentiality classification) and provisions the project-designated email address on completion.</w:t>
      </w:r>
    </w:p>
    <w:p>
      <w:pPr>
        <w:pStyle w:val="ListParagraph"/>
        <w:numPr>
          <w:ilvl w:val="0"/>
          <w:numId w:val="3"/>
        </w:numPr>
        <w:spacing w:after="80"/>
      </w:pPr>
      <w:r>
        <w:rPr>
          <w:b/>
          <w:bCs/>
        </w:rPr>
        <w:t xml:space="preserve">Bid handoff creation (Phase 2)</w:t>
      </w:r>
      <w:r>
        <w:t xml:space="preserve"> — A contract can be created directly from a won bid in the Bid Intake &amp; Generation application, pre-populated with the winning proposal, estimates, assumptions, qualifications, risks identified during tender, and key correspondence from the bid phase. Preserves bid intent into execution — critical for claim defensibility.</w:t>
      </w:r>
    </w:p>
    <w:p>
      <w:pPr>
        <w:pStyle w:val="ListParagraph"/>
        <w:numPr>
          <w:ilvl w:val="0"/>
          <w:numId w:val="3"/>
        </w:numPr>
        <w:spacing w:after="80"/>
      </w:pPr>
      <w:r>
        <w:rPr>
          <w:b/>
          <w:bCs/>
        </w:rPr>
        <w:t xml:space="preserve">Document upload</w:t>
      </w:r>
      <w:r>
        <w:t xml:space="preserve"> — Supports drag-and-drop and bulk upload of PDF, DOCX, XLSX, DWG, image formats (PNG, JPG, TIFF), and native email files (.eml, .msg). Files are categorized (Master Agreement, Schedule, Appendix, Amendment, Drawing, Specification, Negotiation Record, Correspondence, Permit, Insurance, Bond, Other).</w:t>
      </w:r>
    </w:p>
    <w:p>
      <w:pPr>
        <w:pStyle w:val="ListParagraph"/>
        <w:numPr>
          <w:ilvl w:val="0"/>
          <w:numId w:val="3"/>
        </w:numPr>
        <w:spacing w:after="80"/>
      </w:pPr>
      <w:r>
        <w:rPr>
          <w:b/>
          <w:bCs/>
        </w:rPr>
        <w:t xml:space="preserve">OCR</w:t>
      </w:r>
      <w:r>
        <w:t xml:space="preserve"> — All scanned documents and image-based PDFs are OCR'd on ingestion so text is searchable and indexable.</w:t>
      </w:r>
    </w:p>
    <w:p>
      <w:pPr>
        <w:pStyle w:val="ListParagraph"/>
        <w:numPr>
          <w:ilvl w:val="0"/>
          <w:numId w:val="3"/>
        </w:numPr>
        <w:spacing w:after="80"/>
      </w:pPr>
      <w:r>
        <w:rPr>
          <w:b/>
          <w:bCs/>
        </w:rPr>
        <w:t xml:space="preserve">Version control</w:t>
      </w:r>
      <w:r>
        <w:t xml:space="preserve"> — Drawings, specifications, and amendments maintain a full revision history. Superseded versions remain accessible but clearly flagged.</w:t>
      </w:r>
    </w:p>
    <w:p>
      <w:pPr>
        <w:pStyle w:val="ListParagraph"/>
        <w:numPr>
          <w:ilvl w:val="0"/>
          <w:numId w:val="3"/>
        </w:numPr>
        <w:spacing w:after="80"/>
      </w:pPr>
      <w:r>
        <w:rPr>
          <w:b/>
          <w:bCs/>
        </w:rPr>
        <w:t xml:space="preserve">Metadata tagging</w:t>
      </w:r>
      <w:r>
        <w:t xml:space="preserve"> — Manual and AI-assisted tagging (discipline, work package, location/area, document type, issue date, revision). Conventions managed centrally so tags are consistent across contracts and feed cross-contract search (Phase 3).</w:t>
      </w:r>
    </w:p>
    <w:p>
      <w:pPr>
        <w:pStyle w:val="ListParagraph"/>
        <w:numPr>
          <w:ilvl w:val="0"/>
          <w:numId w:val="3"/>
        </w:numPr>
        <w:spacing w:after="80"/>
      </w:pPr>
      <w:r>
        <w:rPr>
          <w:b/>
          <w:bCs/>
        </w:rPr>
        <w:t xml:space="preserve">Audit of ingestion</w:t>
      </w:r>
      <w:r>
        <w:t xml:space="preserve"> — Every upload logs who, when, file hash, and source (manual upload, email ingestion, bid handoff).</w:t>
      </w:r>
    </w:p>
    <w:p>
      <w:pPr>
        <w:pStyle w:val="Heading2"/>
        <w:spacing w:after="140" w:before="280"/>
      </w:pPr>
      <w:r>
        <w:t xml:space="preserve">3.2 Project-Designated Email Integration</w:t>
      </w:r>
    </w:p>
    <w:p>
      <w:pPr>
        <w:pStyle w:val="ListParagraph"/>
        <w:numPr>
          <w:ilvl w:val="0"/>
          <w:numId w:val="3"/>
        </w:numPr>
        <w:spacing w:after="80"/>
      </w:pPr>
      <w:r>
        <w:rPr>
          <w:b/>
          <w:bCs/>
        </w:rPr>
        <w:t xml:space="preserve">Address provisioning</w:t>
      </w:r>
      <w:r>
        <w:t xml:space="preserve"> — Each contract is automatically assigned a unique email address on the subdomain contracts.technicamining.com (e.g., contract-1234@contracts.technicamining.com), with a human-readable alias editable by authorized users (e.g., redlake-expansion@contracts.technicamining.com). The main TKC application lives at kc.technicamining.com, keeping ingestion and application traffic cleanly separated.</w:t>
      </w:r>
    </w:p>
    <w:p>
      <w:pPr>
        <w:pStyle w:val="ListParagraph"/>
        <w:numPr>
          <w:ilvl w:val="0"/>
          <w:numId w:val="3"/>
        </w:numPr>
        <w:spacing w:after="80"/>
      </w:pPr>
      <w:r>
        <w:rPr>
          <w:b/>
          <w:bCs/>
        </w:rPr>
        <w:t xml:space="preserve">Ingestion via CC, BCC, and forward</w:t>
      </w:r>
      <w:r>
        <w:t xml:space="preserve"> — Inbound emails parsed, stored, and indexed against the contract. The full original .eml file preserved unaltered for evidentiary use.</w:t>
      </w:r>
    </w:p>
    <w:p>
      <w:pPr>
        <w:pStyle w:val="ListParagraph"/>
        <w:numPr>
          <w:ilvl w:val="0"/>
          <w:numId w:val="3"/>
        </w:numPr>
        <w:spacing w:after="80"/>
      </w:pPr>
      <w:r>
        <w:rPr>
          <w:b/>
          <w:bCs/>
        </w:rPr>
        <w:t xml:space="preserve">Attachment extraction</w:t>
      </w:r>
      <w:r>
        <w:t xml:space="preserve"> — Attachments extracted, stored, scanned for malware, version-tracked where applicable, indexed for AI retrieval.</w:t>
      </w:r>
    </w:p>
    <w:p>
      <w:pPr>
        <w:pStyle w:val="ListParagraph"/>
        <w:numPr>
          <w:ilvl w:val="0"/>
          <w:numId w:val="3"/>
        </w:numPr>
        <w:spacing w:after="80"/>
      </w:pPr>
      <w:r>
        <w:rPr>
          <w:b/>
          <w:bCs/>
        </w:rPr>
        <w:t xml:space="preserve">Thread reconstruction</w:t>
      </w:r>
      <w:r>
        <w:t xml:space="preserve"> — Emails grouped into conversations using message-ID and reference headers.</w:t>
      </w:r>
    </w:p>
    <w:p>
      <w:pPr>
        <w:pStyle w:val="ListParagraph"/>
        <w:numPr>
          <w:ilvl w:val="0"/>
          <w:numId w:val="3"/>
        </w:numPr>
        <w:spacing w:after="80"/>
      </w:pPr>
      <w:r>
        <w:rPr>
          <w:b/>
          <w:bCs/>
        </w:rPr>
        <w:t xml:space="preserve">Sender whitelisting</w:t>
      </w:r>
      <w:r>
        <w:t xml:space="preserve"> — Only emails from approved domains/addresses enter the live index. Unapproved senders route to a review queue.</w:t>
      </w:r>
    </w:p>
    <w:p>
      <w:pPr>
        <w:pStyle w:val="ListParagraph"/>
        <w:numPr>
          <w:ilvl w:val="0"/>
          <w:numId w:val="3"/>
        </w:numPr>
        <w:spacing w:after="80"/>
      </w:pPr>
      <w:r>
        <w:rPr>
          <w:b/>
          <w:bCs/>
        </w:rPr>
        <w:t xml:space="preserve">Duplicate detection</w:t>
      </w:r>
      <w:r>
        <w:t xml:space="preserve"> — Message-ID hash-based deduplication.</w:t>
      </w:r>
    </w:p>
    <w:p>
      <w:pPr>
        <w:pStyle w:val="ListParagraph"/>
        <w:numPr>
          <w:ilvl w:val="0"/>
          <w:numId w:val="3"/>
        </w:numPr>
        <w:spacing w:after="80"/>
      </w:pPr>
      <w:r>
        <w:rPr>
          <w:b/>
          <w:bCs/>
        </w:rPr>
        <w:t xml:space="preserve">Content filtering and review queue</w:t>
      </w:r>
      <w:r>
        <w:t xml:space="preserve"> — Privileged or sensitive content routed for review before indexing.</w:t>
      </w:r>
    </w:p>
    <w:p>
      <w:pPr>
        <w:pStyle w:val="ListParagraph"/>
        <w:numPr>
          <w:ilvl w:val="0"/>
          <w:numId w:val="3"/>
        </w:numPr>
        <w:spacing w:after="80"/>
      </w:pPr>
      <w:r>
        <w:rPr>
          <w:b/>
          <w:bCs/>
        </w:rPr>
        <w:t xml:space="preserve">Confirmation receipts</w:t>
      </w:r>
      <w:r>
        <w:t xml:space="preserve"> — Optional auto-reply confirming ingestion.</w:t>
      </w:r>
    </w:p>
    <w:p>
      <w:pPr>
        <w:pStyle w:val="ListParagraph"/>
        <w:numPr>
          <w:ilvl w:val="0"/>
          <w:numId w:val="3"/>
        </w:numPr>
        <w:spacing w:after="80"/>
      </w:pPr>
      <w:r>
        <w:rPr>
          <w:b/>
          <w:bCs/>
        </w:rPr>
        <w:t xml:space="preserve">Evidentiary integrity</w:t>
      </w:r>
      <w:r>
        <w:t xml:space="preserve"> — Original .eml retrievable with full headers and attachments.</w:t>
      </w:r>
    </w:p>
    <w:p>
      <w:pPr>
        <w:pStyle w:val="ListParagraph"/>
        <w:numPr>
          <w:ilvl w:val="0"/>
          <w:numId w:val="3"/>
        </w:numPr>
        <w:spacing w:after="80"/>
      </w:pPr>
      <w:r>
        <w:rPr>
          <w:b/>
          <w:bCs/>
        </w:rPr>
        <w:t xml:space="preserve">Address lifecycle</w:t>
      </w:r>
      <w:r>
        <w:t xml:space="preserve"> — Addresses can be deactivated on contract close; incoming mail bounces with a configurable message.</w:t>
      </w:r>
    </w:p>
    <w:p>
      <w:pPr>
        <w:pStyle w:val="ListParagraph"/>
        <w:numPr>
          <w:ilvl w:val="0"/>
          <w:numId w:val="3"/>
        </w:numPr>
        <w:spacing w:after="80"/>
      </w:pPr>
      <w:r>
        <w:rPr>
          <w:b/>
          <w:bCs/>
        </w:rPr>
        <w:t xml:space="preserve">Encrypted and password-protected attachments</w:t>
      </w:r>
      <w:r>
        <w:t xml:space="preserve"> — Attachments protected by client-side encryption or password (common from Mimecast, Proofpoint, and client portal downloads) are routed to a review queue with a password-entry prompt for authorized users. Once decrypted and ingested, the original encrypted file is also preserved for evidentiary integrity.</w:t>
      </w:r>
    </w:p>
    <w:p>
      <w:pPr>
        <w:pStyle w:val="ListParagraph"/>
        <w:numPr>
          <w:ilvl w:val="0"/>
          <w:numId w:val="3"/>
        </w:numPr>
        <w:spacing w:after="80"/>
      </w:pPr>
      <w:r>
        <w:rPr>
          <w:b/>
          <w:bCs/>
        </w:rPr>
        <w:t xml:space="preserve">Oversized attachments and shared-link content</w:t>
      </w:r>
      <w:r>
        <w:t xml:space="preserve"> — Most tenants cap attachment size at 25–35 MB, so clients frequently send drawings, models, and bulk document sets via WeTransfer, OneDrive, SharePoint, or Dropbox links. The ingestion service detects shared-link content in the email body and either follows supported links to pull the content into the contract record (where authentication permits) or captures the link and prompts an authorized user to download and attach the content manually. Either way, the originating email is preserved and the provenance is logged.</w:t>
      </w:r>
    </w:p>
    <w:p>
      <w:pPr>
        <w:pStyle w:val="ListParagraph"/>
        <w:numPr>
          <w:ilvl w:val="0"/>
          <w:numId w:val="3"/>
        </w:numPr>
        <w:spacing w:after="80"/>
      </w:pPr>
      <w:r>
        <w:rPr>
          <w:b/>
          <w:bCs/>
        </w:rPr>
        <w:t xml:space="preserve">Calendar invites (.ics)</w:t>
      </w:r>
      <w:r>
        <w:t xml:space="preserve"> — Calendar invites arriving at the project address carry scheduling intent and are parsed into structured events (meeting subject, date/time, organizer, attendees, location). Events that correspond to contractual milestones, inspection hold points, or scheduled deliverables can be promoted into the Notice &amp; Deadline Tracker subject to the standard human verification gate.</w:t>
      </w:r>
    </w:p>
    <w:p>
      <w:pPr>
        <w:pStyle w:val="Heading2"/>
        <w:spacing w:after="140" w:before="280"/>
      </w:pPr>
      <w:r>
        <w:t xml:space="preserve">3.3 AI-Assisted Q&amp;A with Mandatory Citations</w:t>
      </w:r>
    </w:p>
    <w:p>
      <w:pPr>
        <w:pStyle w:val="ListParagraph"/>
        <w:numPr>
          <w:ilvl w:val="0"/>
          <w:numId w:val="3"/>
        </w:numPr>
        <w:spacing w:after="80"/>
      </w:pPr>
      <w:r>
        <w:t xml:space="preserve">Every AI-generated answer includes inline citations to source document, page/clause, or email.</w:t>
      </w:r>
    </w:p>
    <w:p>
      <w:pPr>
        <w:pStyle w:val="ListParagraph"/>
        <w:numPr>
          <w:ilvl w:val="0"/>
          <w:numId w:val="3"/>
        </w:numPr>
        <w:spacing w:after="80"/>
      </w:pPr>
      <w:r>
        <w:t xml:space="preserve">Clicking a citation opens the source in the document viewer at the exact location.</w:t>
      </w:r>
    </w:p>
    <w:p>
      <w:pPr>
        <w:pStyle w:val="ListParagraph"/>
        <w:numPr>
          <w:ilvl w:val="0"/>
          <w:numId w:val="3"/>
        </w:numPr>
        <w:spacing w:after="80"/>
      </w:pPr>
      <w:r>
        <w:t xml:space="preserve">The system refuses or flags uncertainty when retrieval confidence is low.</w:t>
      </w:r>
    </w:p>
    <w:p>
      <w:pPr>
        <w:pStyle w:val="ListParagraph"/>
        <w:numPr>
          <w:ilvl w:val="0"/>
          <w:numId w:val="3"/>
        </w:numPr>
        <w:spacing w:after="80"/>
      </w:pPr>
      <w:r>
        <w:t xml:space="preserve">User feedback (thumbs up/down with comment) feeds prompt improvement.</w:t>
      </w:r>
    </w:p>
    <w:p>
      <w:pPr>
        <w:pStyle w:val="Heading2"/>
        <w:spacing w:after="140" w:before="280"/>
      </w:pPr>
      <w:r>
        <w:t xml:space="preserve">3.4 Contract Summary / Cheat Sheet</w:t>
      </w:r>
    </w:p>
    <w:p>
      <w:pPr>
        <w:pStyle w:val="ListParagraph"/>
        <w:numPr>
          <w:ilvl w:val="0"/>
          <w:numId w:val="3"/>
        </w:numPr>
        <w:spacing w:after="80"/>
      </w:pPr>
      <w:r>
        <w:t xml:space="preserve">On contract ingestion, AI generates a one-page structured summary: parties, value, term, key dates, payment terms, notice periods, liquidated damages and caps, termination triggers, governing law, dispute resolution, insurance and bonding, flagged unusual or high-risk clauses.</w:t>
      </w:r>
    </w:p>
    <w:p>
      <w:pPr>
        <w:pStyle w:val="ListParagraph"/>
        <w:numPr>
          <w:ilvl w:val="0"/>
          <w:numId w:val="3"/>
        </w:numPr>
        <w:spacing w:after="80"/>
      </w:pPr>
      <w:r>
        <w:rPr>
          <w:b/>
          <w:bCs/>
        </w:rPr>
        <w:t xml:space="preserve">Summary is AI-generated and requires human verification</w:t>
      </w:r>
      <w:r>
        <w:t xml:space="preserve"> before becoming a "trusted" reference.</w:t>
      </w:r>
    </w:p>
    <w:p>
      <w:pPr>
        <w:pStyle w:val="ListParagraph"/>
        <w:numPr>
          <w:ilvl w:val="0"/>
          <w:numId w:val="3"/>
        </w:numPr>
        <w:spacing w:after="80"/>
      </w:pPr>
      <w:r>
        <w:t xml:space="preserve">Displayed prominently on the contract dashboard.</w:t>
      </w:r>
    </w:p>
    <w:p>
      <w:pPr>
        <w:pStyle w:val="Heading2"/>
        <w:spacing w:after="140" w:before="280"/>
      </w:pPr>
      <w:r>
        <w:t xml:space="preserve">3.5 Notice &amp; Deadline Tracker</w:t>
      </w:r>
    </w:p>
    <w:p>
      <w:pPr>
        <w:pStyle w:val="ListParagraph"/>
        <w:numPr>
          <w:ilvl w:val="0"/>
          <w:numId w:val="3"/>
        </w:numPr>
        <w:spacing w:after="80"/>
      </w:pPr>
      <w:r>
        <w:t xml:space="preserve">AI extracts every time-bound contractual obligation on ingestion.</w:t>
      </w:r>
    </w:p>
    <w:p>
      <w:pPr>
        <w:pStyle w:val="ListParagraph"/>
        <w:numPr>
          <w:ilvl w:val="0"/>
          <w:numId w:val="3"/>
        </w:numPr>
        <w:spacing w:after="80"/>
      </w:pPr>
      <w:r>
        <w:rPr>
          <w:b/>
          <w:bCs/>
        </w:rPr>
        <w:t xml:space="preserve">Each extracted obligation is presented for human verification</w:t>
      </w:r>
      <w:r>
        <w:t xml:space="preserve"> before activation. Unverified items are visible but flagged as unconfirmed.</w:t>
      </w:r>
    </w:p>
    <w:p>
      <w:pPr>
        <w:pStyle w:val="ListParagraph"/>
        <w:numPr>
          <w:ilvl w:val="0"/>
          <w:numId w:val="3"/>
        </w:numPr>
        <w:spacing w:after="80"/>
      </w:pPr>
      <w:r>
        <w:t xml:space="preserve">Verified deadlines feed a live dashboard and calendar with configurable in-app, email, and optional SMS alerts.</w:t>
      </w:r>
    </w:p>
    <w:p>
      <w:pPr>
        <w:pStyle w:val="ListParagraph"/>
        <w:numPr>
          <w:ilvl w:val="0"/>
          <w:numId w:val="3"/>
        </w:numPr>
        <w:spacing w:after="80"/>
      </w:pPr>
      <w:r>
        <w:t xml:space="preserve">Deadlines link back to the originating clause.</w:t>
      </w:r>
    </w:p>
    <w:p>
      <w:pPr>
        <w:pStyle w:val="ListParagraph"/>
        <w:numPr>
          <w:ilvl w:val="0"/>
          <w:numId w:val="3"/>
        </w:numPr>
        <w:spacing w:after="80"/>
      </w:pPr>
      <w:r>
        <w:t xml:space="preserve">Manual add/edit/complete with full audit trail.</w:t>
      </w:r>
    </w:p>
    <w:p>
      <w:pPr>
        <w:pStyle w:val="Heading2"/>
        <w:spacing w:after="140" w:before="280"/>
      </w:pPr>
      <w:r>
        <w:t xml:space="preserve">3.6 Clause-to-Clause Cross-Referencing</w:t>
      </w:r>
    </w:p>
    <w:p>
      <w:pPr>
        <w:pStyle w:val="ListParagraph"/>
        <w:numPr>
          <w:ilvl w:val="0"/>
          <w:numId w:val="3"/>
        </w:numPr>
        <w:spacing w:after="80"/>
      </w:pPr>
      <w:r>
        <w:t xml:space="preserve">When viewing any clause, the system surfaces related clauses, amendments that modified it, and emails or RFIs that reference it.</w:t>
      </w:r>
    </w:p>
    <w:p>
      <w:pPr>
        <w:pStyle w:val="ListParagraph"/>
        <w:numPr>
          <w:ilvl w:val="0"/>
          <w:numId w:val="3"/>
        </w:numPr>
        <w:spacing w:after="80"/>
      </w:pPr>
      <w:r>
        <w:t xml:space="preserve">Superseded clauses clearly flagged.</w:t>
      </w:r>
    </w:p>
    <w:p>
      <w:pPr>
        <w:pStyle w:val="Heading2"/>
        <w:spacing w:after="140" w:before="280"/>
      </w:pPr>
      <w:r>
        <w:t xml:space="preserve">3.7 Client &amp; Stakeholder Contact Directory</w:t>
      </w:r>
    </w:p>
    <w:p>
      <w:pPr>
        <w:pStyle w:val="ListParagraph"/>
        <w:numPr>
          <w:ilvl w:val="0"/>
          <w:numId w:val="3"/>
        </w:numPr>
        <w:spacing w:after="80"/>
      </w:pPr>
      <w:r>
        <w:t xml:space="preserve">Per-contract directory of all parties: client representatives, consultants, subcontractors, Technica team, regulatory contacts.</w:t>
      </w:r>
    </w:p>
    <w:p>
      <w:pPr>
        <w:pStyle w:val="ListParagraph"/>
        <w:numPr>
          <w:ilvl w:val="0"/>
          <w:numId w:val="3"/>
        </w:numPr>
        <w:spacing w:after="80"/>
      </w:pPr>
      <w:r>
        <w:rPr>
          <w:b/>
          <w:bCs/>
        </w:rPr>
        <w:t xml:space="preserve">Each contact carries authority level</w:t>
      </w:r>
      <w:r>
        <w:t xml:space="preserve"> — who can direct extra work, who can issue site instructions, who can approve variations, who is an administrative contact. Instructions from someone without authority are not binding; the platform makes authority visible at the point of decision.</w:t>
      </w:r>
    </w:p>
    <w:p>
      <w:pPr>
        <w:pStyle w:val="ListParagraph"/>
        <w:numPr>
          <w:ilvl w:val="0"/>
          <w:numId w:val="3"/>
        </w:numPr>
        <w:spacing w:after="80"/>
      </w:pPr>
      <w:r>
        <w:t xml:space="preserve">Populated from bid handoff (Phase 2) and maintained through the life of the contract.</w:t>
      </w:r>
    </w:p>
    <w:p>
      <w:pPr>
        <w:pStyle w:val="ListParagraph"/>
        <w:numPr>
          <w:ilvl w:val="0"/>
          <w:numId w:val="3"/>
        </w:numPr>
        <w:spacing w:after="80"/>
      </w:pPr>
      <w:r>
        <w:t xml:space="preserve">Searchable alongside documents and emails.</w:t>
      </w:r>
    </w:p>
    <w:p>
      <w:pPr>
        <w:pStyle w:val="Heading2"/>
        <w:spacing w:after="140" w:before="280"/>
      </w:pPr>
      <w:r>
        <w:t xml:space="preserve">3.8 Search</w:t>
      </w:r>
    </w:p>
    <w:p>
      <w:pPr>
        <w:pStyle w:val="ListParagraph"/>
        <w:numPr>
          <w:ilvl w:val="0"/>
          <w:numId w:val="3"/>
        </w:numPr>
        <w:spacing w:after="80"/>
      </w:pPr>
      <w:r>
        <w:t xml:space="preserve">Global search across all contract content: documents, clauses, emails, attachments, metadata, contacts, deadlines, risks, variations, diary entries.</w:t>
      </w:r>
    </w:p>
    <w:p>
      <w:pPr>
        <w:pStyle w:val="ListParagraph"/>
        <w:numPr>
          <w:ilvl w:val="0"/>
          <w:numId w:val="3"/>
        </w:numPr>
        <w:spacing w:after="80"/>
      </w:pPr>
      <w:r>
        <w:t xml:space="preserve">Filters by document type, date range, sender, revision status, tags, verification status.</w:t>
      </w:r>
    </w:p>
    <w:p>
      <w:pPr>
        <w:pStyle w:val="ListParagraph"/>
        <w:numPr>
          <w:ilvl w:val="0"/>
          <w:numId w:val="3"/>
        </w:numPr>
        <w:spacing w:after="80"/>
      </w:pPr>
      <w:r>
        <w:t xml:space="preserve">Snippet previews with matched terms highlighted.</w:t>
      </w:r>
    </w:p>
    <w:p>
      <w:pPr>
        <w:pStyle w:val="Heading2"/>
        <w:spacing w:after="140" w:before="280"/>
      </w:pPr>
      <w:r>
        <w:t xml:space="preserve">3.9 Notification Digest</w:t>
      </w:r>
    </w:p>
    <w:p>
      <w:pPr>
        <w:pStyle w:val="ListParagraph"/>
        <w:numPr>
          <w:ilvl w:val="0"/>
          <w:numId w:val="3"/>
        </w:numPr>
        <w:spacing w:after="80"/>
      </w:pPr>
      <w:r>
        <w:rPr>
          <w:b/>
          <w:bCs/>
        </w:rPr>
        <w:t xml:space="preserve">Phase 1 — Basic:</w:t>
      </w:r>
      <w:r>
        <w:t xml:space="preserve"> In-app notifications and per-event email alerts for deadlines and review queue items.</w:t>
      </w:r>
    </w:p>
    <w:p>
      <w:pPr>
        <w:pStyle w:val="ListParagraph"/>
        <w:numPr>
          <w:ilvl w:val="0"/>
          <w:numId w:val="3"/>
        </w:numPr>
        <w:spacing w:after="80"/>
      </w:pPr>
      <w:r>
        <w:rPr>
          <w:b/>
          <w:bCs/>
        </w:rPr>
        <w:t xml:space="preserve">Phase 2 — Full:</w:t>
      </w:r>
      <w:r>
        <w:t xml:space="preserve"> Configurable daily or weekly email digest per user summarizing upcoming deadlines, pending reviews, new queries flagged for attention, claims status changes, and contract events.</w:t>
      </w:r>
    </w:p>
    <w:p>
      <w:pPr>
        <w:pStyle w:val="Heading2"/>
        <w:spacing w:after="140" w:before="280"/>
      </w:pPr>
      <w:r>
        <w:t xml:space="preserve">3.10 Contract Change Log &amp; Timeline (Phase 2)</w:t>
      </w:r>
    </w:p>
    <w:p>
      <w:pPr>
        <w:pStyle w:val="ListParagraph"/>
        <w:numPr>
          <w:ilvl w:val="0"/>
          <w:numId w:val="3"/>
        </w:numPr>
        <w:spacing w:after="80"/>
      </w:pPr>
      <w:r>
        <w:t xml:space="preserve">A single chronological timeline view of everything that happened on a contract: amendments issued, RFIs, notices, claims submitted, variations processed, milestones met or missed, key correspondence, permits obtained, insurance renewals.</w:t>
      </w:r>
    </w:p>
    <w:p>
      <w:pPr>
        <w:pStyle w:val="ListParagraph"/>
        <w:numPr>
          <w:ilvl w:val="0"/>
          <w:numId w:val="3"/>
        </w:numPr>
        <w:spacing w:after="80"/>
      </w:pPr>
      <w:r>
        <w:t xml:space="preserve">Invaluable for team members joining mid-contract and for constructing claim narratives where sequence-of-events matters.</w:t>
      </w:r>
    </w:p>
    <w:p>
      <w:pPr>
        <w:pStyle w:val="Heading2"/>
        <w:spacing w:after="140" w:before="280"/>
      </w:pPr>
      <w:r>
        <w:t xml:space="preserve">3.11 Variation / Change Order Register (Phase 2)</w:t>
      </w:r>
    </w:p>
    <w:p>
      <w:pPr>
        <w:pStyle w:val="ListParagraph"/>
        <w:numPr>
          <w:ilvl w:val="0"/>
          <w:numId w:val="3"/>
        </w:numPr>
        <w:spacing w:after="80"/>
      </w:pPr>
      <w:r>
        <w:t xml:space="preserve">Separate from claims register. Tracks proposed, priced, submitted, approved, and rejected variations with commercial impact rolled up.</w:t>
      </w:r>
    </w:p>
    <w:p>
      <w:pPr>
        <w:pStyle w:val="ListParagraph"/>
        <w:numPr>
          <w:ilvl w:val="0"/>
          <w:numId w:val="3"/>
        </w:numPr>
        <w:spacing w:after="80"/>
      </w:pPr>
      <w:r>
        <w:t xml:space="preserve">Each variation links to its originating instruction, supporting correspondence, pricing, and client response.</w:t>
      </w:r>
    </w:p>
    <w:p>
      <w:pPr>
        <w:pStyle w:val="ListParagraph"/>
        <w:numPr>
          <w:ilvl w:val="0"/>
          <w:numId w:val="3"/>
        </w:numPr>
        <w:spacing w:after="80"/>
      </w:pPr>
      <w:r>
        <w:t xml:space="preserve">Reconciles against the contract baseline value to show current projected final contract value.</w:t>
      </w:r>
    </w:p>
    <w:p>
      <w:pPr>
        <w:pStyle w:val="Heading2"/>
        <w:spacing w:after="140" w:before="280"/>
      </w:pPr>
      <w:r>
        <w:t xml:space="preserve">3.11b Submittals &amp; Transmittal Register (Phase 2)</w:t>
      </w:r>
    </w:p>
    <w:p>
      <w:pPr>
        <w:pStyle w:val="ListParagraph"/>
        <w:numPr>
          <w:ilvl w:val="0"/>
          <w:numId w:val="3"/>
        </w:numPr>
        <w:spacing w:after="80"/>
      </w:pPr>
      <w:r>
        <w:t xml:space="preserve">A dedicated register for submittals and transmittals, distinct from the RFI register. Tracks shop drawings, material data sheets, samples, method statements, inspection and test plans (ITPs), welder qualifications, and other items the contract requires Technica to submit for client or consultant review.</w:t>
      </w:r>
    </w:p>
    <w:p>
      <w:pPr>
        <w:pStyle w:val="ListParagraph"/>
        <w:numPr>
          <w:ilvl w:val="0"/>
          <w:numId w:val="3"/>
        </w:numPr>
        <w:spacing w:after="80"/>
      </w:pPr>
      <w:r>
        <w:rPr>
          <w:b/>
          <w:bCs/>
        </w:rPr>
        <w:t xml:space="preserve">Submittal lifecycle states</w:t>
      </w:r>
      <w:r>
        <w:t xml:space="preserve"> — Draft → Submitted → Under Review → Approved / Approved as Noted / Revise and Resubmit / Rejected → Closed. Resubmissions preserve a chain to prior revisions.</w:t>
      </w:r>
    </w:p>
    <w:p>
      <w:pPr>
        <w:pStyle w:val="ListParagraph"/>
        <w:numPr>
          <w:ilvl w:val="0"/>
          <w:numId w:val="3"/>
        </w:numPr>
        <w:spacing w:after="80"/>
      </w:pPr>
      <w:r>
        <w:rPr>
          <w:b/>
          <w:bCs/>
        </w:rPr>
        <w:t xml:space="preserve">Contractual review clocks</w:t>
      </w:r>
      <w:r>
        <w:t xml:space="preserve"> — Each submittal carries the contractual review period for the client or consultant (e.g., 14 days). Clocks start on Submitted and feed the Notice &amp; Deadline Tracker. Overdue reviews are flagged as potential grounds for delay entitlement.</w:t>
      </w:r>
    </w:p>
    <w:p>
      <w:pPr>
        <w:pStyle w:val="ListParagraph"/>
        <w:numPr>
          <w:ilvl w:val="0"/>
          <w:numId w:val="3"/>
        </w:numPr>
        <w:spacing w:after="80"/>
      </w:pPr>
      <w:r>
        <w:rPr>
          <w:b/>
          <w:bCs/>
        </w:rPr>
        <w:t xml:space="preserve">Linkage</w:t>
      </w:r>
      <w:r>
        <w:t xml:space="preserve"> — Each submittal links to its originating contract clause, associated documents, client responses, and any related variation or claim where a late or rejected submittal drove a downstream entitlement.</w:t>
      </w:r>
    </w:p>
    <w:p>
      <w:pPr>
        <w:pStyle w:val="ListParagraph"/>
        <w:numPr>
          <w:ilvl w:val="0"/>
          <w:numId w:val="3"/>
        </w:numPr>
        <w:spacing w:after="80"/>
      </w:pPr>
      <w:r>
        <w:t xml:space="preserve">Register view with filters by status, discipline, work package, and overdue reviews. Rolls up into the Contract Risk Scoring Dashboard (Phase 3).</w:t>
      </w:r>
    </w:p>
    <w:p>
      <w:pPr>
        <w:pStyle w:val="Heading2"/>
        <w:spacing w:after="140" w:before="280"/>
      </w:pPr>
      <w:r>
        <w:t xml:space="preserve">3.12 Risk Register (Phase 2)</w:t>
      </w:r>
    </w:p>
    <w:p>
      <w:pPr>
        <w:pStyle w:val="ListParagraph"/>
        <w:numPr>
          <w:ilvl w:val="0"/>
          <w:numId w:val="3"/>
        </w:numPr>
        <w:spacing w:after="80"/>
      </w:pPr>
      <w:r>
        <w:t xml:space="preserve">Per-contract risk register with identified risks, owners, mitigation plans, status, and residual exposure.</w:t>
      </w:r>
    </w:p>
    <w:p>
      <w:pPr>
        <w:pStyle w:val="ListParagraph"/>
        <w:numPr>
          <w:ilvl w:val="0"/>
          <w:numId w:val="3"/>
        </w:numPr>
        <w:spacing w:after="80"/>
      </w:pPr>
      <w:r>
        <w:t xml:space="preserve">Pre-populated from the bid handoff — risks identified during tender flow through to execution so nothing gets lost between phases.</w:t>
      </w:r>
    </w:p>
    <w:p>
      <w:pPr>
        <w:pStyle w:val="ListParagraph"/>
        <w:numPr>
          <w:ilvl w:val="0"/>
          <w:numId w:val="3"/>
        </w:numPr>
        <w:spacing w:after="80"/>
      </w:pPr>
      <w:r>
        <w:t xml:space="preserve">Updated through the life of the contract and captured into lessons learned at closeout.</w:t>
      </w:r>
    </w:p>
    <w:p>
      <w:pPr>
        <w:pStyle w:val="Heading2"/>
        <w:spacing w:after="140" w:before="280"/>
      </w:pPr>
      <w:r>
        <w:t xml:space="preserve">3.13 Interpretation / Decision Log (Phase 2)</w:t>
      </w:r>
    </w:p>
    <w:p>
      <w:pPr>
        <w:pStyle w:val="ListParagraph"/>
        <w:numPr>
          <w:ilvl w:val="0"/>
          <w:numId w:val="3"/>
        </w:numPr>
        <w:spacing w:after="80"/>
      </w:pPr>
      <w:r>
        <w:t xml:space="preserve">Captures the reasoning behind contract interpretation decisions: "on [date], the team determined that X is in scope because of clause Y and email Z from the client."</w:t>
      </w:r>
    </w:p>
    <w:p>
      <w:pPr>
        <w:pStyle w:val="ListParagraph"/>
        <w:numPr>
          <w:ilvl w:val="0"/>
          <w:numId w:val="3"/>
        </w:numPr>
        <w:spacing w:after="80"/>
      </w:pPr>
      <w:r>
        <w:t xml:space="preserve">Becomes authoritative for the contract — prevents the same debate being re-litigated when staff turn over.</w:t>
      </w:r>
    </w:p>
    <w:p>
      <w:pPr>
        <w:pStyle w:val="ListParagraph"/>
        <w:numPr>
          <w:ilvl w:val="0"/>
          <w:numId w:val="3"/>
        </w:numPr>
        <w:spacing w:after="80"/>
      </w:pPr>
      <w:r>
        <w:t xml:space="preserve">Linked to relevant clauses, emails, and documents.</w:t>
      </w:r>
    </w:p>
    <w:p>
      <w:pPr>
        <w:pStyle w:val="Heading2"/>
        <w:spacing w:after="140" w:before="280"/>
      </w:pPr>
      <w:r>
        <w:t xml:space="preserve">3.14 Daily Site Diary (Phase 2)</w:t>
      </w:r>
    </w:p>
    <w:p>
      <w:pPr>
        <w:pStyle w:val="ListParagraph"/>
        <w:numPr>
          <w:ilvl w:val="0"/>
          <w:numId w:val="3"/>
        </w:numPr>
        <w:spacing w:after="80"/>
      </w:pPr>
      <w:r>
        <w:t xml:space="preserve">Site supervisors enter daily events, weather, labor, equipment on site, subcontractors on site, visitors, incidents, delays, instructions received verbally.</w:t>
      </w:r>
    </w:p>
    <w:p>
      <w:pPr>
        <w:pStyle w:val="ListParagraph"/>
        <w:numPr>
          <w:ilvl w:val="0"/>
          <w:numId w:val="3"/>
        </w:numPr>
        <w:spacing w:after="80"/>
      </w:pPr>
      <w:r>
        <w:rPr>
          <w:b/>
          <w:bCs/>
        </w:rPr>
        <w:t xml:space="preserve">Entries are contemporaneous</w:t>
      </w:r>
      <w:r>
        <w:t xml:space="preserve"> — timestamped on creation and not editable after a defined window (end of next business day by default) to preserve evidentiary weight.</w:t>
      </w:r>
    </w:p>
    <w:p>
      <w:pPr>
        <w:pStyle w:val="ListParagraph"/>
        <w:numPr>
          <w:ilvl w:val="0"/>
          <w:numId w:val="3"/>
        </w:numPr>
        <w:spacing w:after="80"/>
      </w:pPr>
      <w:r>
        <w:t xml:space="preserve">Courts and arbitrators weigh contemporaneous records heavily; this feature materially strengthens delay claim defensibility.</w:t>
      </w:r>
    </w:p>
    <w:p>
      <w:pPr>
        <w:pStyle w:val="ListParagraph"/>
        <w:numPr>
          <w:ilvl w:val="0"/>
          <w:numId w:val="3"/>
        </w:numPr>
        <w:spacing w:after="80"/>
      </w:pPr>
      <w:r>
        <w:t xml:space="preserve">Mobile-responsive for site use.</w:t>
      </w:r>
    </w:p>
    <w:p>
      <w:pPr>
        <w:pStyle w:val="Heading2"/>
        <w:spacing w:after="140" w:before="280"/>
      </w:pPr>
      <w:r>
        <w:t xml:space="preserve">3.14b Safety, QA/QC &amp; Inspection Records (Phase 2)</w:t>
      </w:r>
    </w:p>
    <w:p>
      <w:pPr>
        <w:pStyle w:val="ListParagraph"/>
        <w:numPr>
          <w:ilvl w:val="0"/>
          <w:numId w:val="3"/>
        </w:numPr>
        <w:spacing w:after="80"/>
      </w:pPr>
      <w:r>
        <w:t xml:space="preserve">Diary entries, uploaded documents, and ingested correspondence can carry first-class flags for safety incidents, non-conformance reports (NCRs), inspection records, and hold-point releases. These are not separate registers — they are structured classifications over existing content types, surfaced consistently across the contract.</w:t>
      </w:r>
    </w:p>
    <w:p>
      <w:pPr>
        <w:pStyle w:val="ListParagraph"/>
        <w:numPr>
          <w:ilvl w:val="0"/>
          <w:numId w:val="3"/>
        </w:numPr>
        <w:spacing w:after="80"/>
      </w:pPr>
      <w:r>
        <w:rPr>
          <w:b/>
          <w:bCs/>
        </w:rPr>
        <w:t xml:space="preserve">Contractual linkage</w:t>
      </w:r>
      <w:r>
        <w:t xml:space="preserve"> — Incidents, NCRs, and inspection records routinely carry contractual reporting timelines (e.g., notification of the client within a defined window, corrective action by a defined date). These timelines feed the Notice &amp; Deadline Tracker through the same verification gate as other obligations.</w:t>
      </w:r>
    </w:p>
    <w:p>
      <w:pPr>
        <w:pStyle w:val="ListParagraph"/>
        <w:numPr>
          <w:ilvl w:val="0"/>
          <w:numId w:val="3"/>
        </w:numPr>
        <w:spacing w:after="80"/>
      </w:pPr>
      <w:r>
        <w:rPr>
          <w:b/>
          <w:bCs/>
        </w:rPr>
        <w:t xml:space="preserve">Hold points and inspection releases</w:t>
      </w:r>
      <w:r>
        <w:t xml:space="preserve"> — Hold points defined in the ITP or contract are tracked with their required notification lead time and release status. Missed or delayed inspections that drive standing-time or rework are captured as candidate entitlement events.</w:t>
      </w:r>
    </w:p>
    <w:p>
      <w:pPr>
        <w:pStyle w:val="ListParagraph"/>
        <w:numPr>
          <w:ilvl w:val="0"/>
          <w:numId w:val="3"/>
        </w:numPr>
        <w:spacing w:after="80"/>
      </w:pPr>
      <w:r>
        <w:rPr>
          <w:b/>
          <w:bCs/>
        </w:rPr>
        <w:t xml:space="preserve">Evidence packaging integration</w:t>
      </w:r>
      <w:r>
        <w:t xml:space="preserve"> — Flagged safety, QA/QC, and inspection records are available as selectable evidence in the Evidence Packaging tool (Section 3.37), with their contemporaneous timestamps and author metadata preserved.</w:t>
      </w:r>
    </w:p>
    <w:p>
      <w:pPr>
        <w:pStyle w:val="ListParagraph"/>
        <w:numPr>
          <w:ilvl w:val="0"/>
          <w:numId w:val="3"/>
        </w:numPr>
        <w:spacing w:after="80"/>
      </w:pPr>
      <w:r>
        <w:t xml:space="preserve">Safety and QA/QC are added as first-class personas in Phase 2 (consistent with Section 12 recommendation 4).</w:t>
      </w:r>
    </w:p>
    <w:p>
      <w:pPr>
        <w:pStyle w:val="Heading2"/>
        <w:spacing w:after="140" w:before="280"/>
      </w:pPr>
      <w:r>
        <w:t xml:space="preserve">3.15 Payment Application Tracking (Phase 2)</w:t>
      </w:r>
    </w:p>
    <w:p>
      <w:pPr>
        <w:pStyle w:val="ListParagraph"/>
        <w:numPr>
          <w:ilvl w:val="0"/>
          <w:numId w:val="3"/>
        </w:numPr>
        <w:spacing w:after="80"/>
      </w:pPr>
      <w:r>
        <w:t xml:space="preserve">Tracks progress claims submitted, amounts certified, amounts paid, disputed items, and time-bound payment obligations under the contract.</w:t>
      </w:r>
    </w:p>
    <w:p>
      <w:pPr>
        <w:pStyle w:val="ListParagraph"/>
        <w:numPr>
          <w:ilvl w:val="0"/>
          <w:numId w:val="3"/>
        </w:numPr>
        <w:spacing w:after="80"/>
      </w:pPr>
      <w:r>
        <w:t xml:space="preserve">Feeds the deadline tracker (many jurisdictions have statutory payment timelines that carry significant consequences if missed).</w:t>
      </w:r>
    </w:p>
    <w:p>
      <w:pPr>
        <w:pStyle w:val="Heading2"/>
        <w:spacing w:after="140" w:before="280"/>
      </w:pPr>
      <w:r>
        <w:t xml:space="preserve">3.16 Insurance, Bonds &amp; Permit Tracking (Phase 2)</w:t>
      </w:r>
    </w:p>
    <w:p>
      <w:pPr>
        <w:pStyle w:val="ListParagraph"/>
        <w:numPr>
          <w:ilvl w:val="0"/>
          <w:numId w:val="3"/>
        </w:numPr>
        <w:spacing w:after="80"/>
      </w:pPr>
      <w:r>
        <w:t xml:space="preserve">Tracks insurance policies, bonds, and permits required under the contract: type, coverage amount, named insureds, expiry date, renewal responsibility.</w:t>
      </w:r>
    </w:p>
    <w:p>
      <w:pPr>
        <w:pStyle w:val="ListParagraph"/>
        <w:numPr>
          <w:ilvl w:val="0"/>
          <w:numId w:val="3"/>
        </w:numPr>
        <w:spacing w:after="80"/>
      </w:pPr>
      <w:r>
        <w:t xml:space="preserve">Expiry dates feed the deadline tracker automatically.</w:t>
      </w:r>
    </w:p>
    <w:p>
      <w:pPr>
        <w:pStyle w:val="ListParagraph"/>
        <w:numPr>
          <w:ilvl w:val="0"/>
          <w:numId w:val="3"/>
        </w:numPr>
        <w:spacing w:after="80"/>
      </w:pPr>
      <w:r>
        <w:t xml:space="preserve">Alerts before expiry to prevent lapses.</w:t>
      </w:r>
    </w:p>
    <w:p>
      <w:pPr>
        <w:pStyle w:val="Heading2"/>
        <w:spacing w:after="140" w:before="280"/>
      </w:pPr>
      <w:r>
        <w:t xml:space="preserve">3.17 Claim Drafting Workspace (Phase 2)</w:t>
      </w:r>
    </w:p>
    <w:p>
      <w:pPr>
        <w:pStyle w:val="ListParagraph"/>
        <w:numPr>
          <w:ilvl w:val="0"/>
          <w:numId w:val="3"/>
        </w:numPr>
        <w:spacing w:after="80"/>
      </w:pPr>
      <w:r>
        <w:t xml:space="preserve">Split view: draft on left, evidence panel on right.</w:t>
      </w:r>
    </w:p>
    <w:p>
      <w:pPr>
        <w:pStyle w:val="ListParagraph"/>
        <w:numPr>
          <w:ilvl w:val="0"/>
          <w:numId w:val="3"/>
        </w:numPr>
        <w:spacing w:after="80"/>
      </w:pPr>
      <w:r>
        <w:t xml:space="preserve">AI generates the first draft; user refines.</w:t>
      </w:r>
    </w:p>
    <w:p>
      <w:pPr>
        <w:pStyle w:val="ListParagraph"/>
        <w:numPr>
          <w:ilvl w:val="0"/>
          <w:numId w:val="3"/>
        </w:numPr>
        <w:spacing w:after="80"/>
      </w:pPr>
      <w:r>
        <w:t xml:space="preserve">Evidence bundle (cited documents, emails, drawings, diary entries) compiled automatically and exportable as a single package.</w:t>
      </w:r>
    </w:p>
    <w:p>
      <w:pPr>
        <w:pStyle w:val="Heading2"/>
        <w:spacing w:after="140" w:before="280"/>
      </w:pPr>
      <w:r>
        <w:t xml:space="preserve">3.18 Claim Register &amp; Status Tracker (Phase 2)</w:t>
      </w:r>
    </w:p>
    <w:p>
      <w:pPr>
        <w:pStyle w:val="ListParagraph"/>
        <w:numPr>
          <w:ilvl w:val="0"/>
          <w:numId w:val="3"/>
        </w:numPr>
        <w:spacing w:after="80"/>
      </w:pPr>
      <w:r>
        <w:t xml:space="preserve">Tracks claims from draft through submission, client response, negotiation, and resolution.</w:t>
      </w:r>
    </w:p>
    <w:p>
      <w:pPr>
        <w:pStyle w:val="ListParagraph"/>
        <w:numPr>
          <w:ilvl w:val="0"/>
          <w:numId w:val="3"/>
        </w:numPr>
        <w:spacing w:after="80"/>
      </w:pPr>
      <w:r>
        <w:t xml:space="preserve">Supporting evidence bundled with each claim.</w:t>
      </w:r>
    </w:p>
    <w:p>
      <w:pPr>
        <w:pStyle w:val="ListParagraph"/>
        <w:numPr>
          <w:ilvl w:val="0"/>
          <w:numId w:val="3"/>
        </w:numPr>
        <w:spacing w:after="80"/>
      </w:pPr>
      <w:r>
        <w:t xml:space="preserve">Rolls up to a commercial dashboard for leadership.</w:t>
      </w:r>
    </w:p>
    <w:p>
      <w:pPr>
        <w:pStyle w:val="Heading2"/>
        <w:spacing w:after="140" w:before="280"/>
      </w:pPr>
      <w:r>
        <w:t xml:space="preserve">3.19 Outbound Correspondence from Project Address (Phase 2)</w:t>
      </w:r>
    </w:p>
    <w:p>
      <w:pPr>
        <w:pStyle w:val="ListParagraph"/>
        <w:numPr>
          <w:ilvl w:val="0"/>
          <w:numId w:val="3"/>
        </w:numPr>
        <w:spacing w:after="80"/>
      </w:pPr>
      <w:r>
        <w:t xml:space="preserve">Send RFIs, delay notices, variation requests, change order responses, and other correspondence directly from the project-designated address.</w:t>
      </w:r>
    </w:p>
    <w:p>
      <w:pPr>
        <w:pStyle w:val="ListParagraph"/>
        <w:numPr>
          <w:ilvl w:val="0"/>
          <w:numId w:val="3"/>
        </w:numPr>
        <w:spacing w:after="80"/>
      </w:pPr>
      <w:r>
        <w:rPr>
          <w:b/>
          <w:bCs/>
        </w:rPr>
        <w:t xml:space="preserve">Enforced subject line conventions</w:t>
      </w:r>
      <w:r>
        <w:t xml:space="preserve"> — contract number, document type (RFI, Notice, VAR, etc.), sequence number, revision, brief description — so every outbound email is consistently named and trackable.</w:t>
      </w:r>
    </w:p>
    <w:p>
      <w:pPr>
        <w:pStyle w:val="ListParagraph"/>
        <w:numPr>
          <w:ilvl w:val="0"/>
          <w:numId w:val="3"/>
        </w:numPr>
        <w:spacing w:after="80"/>
      </w:pPr>
      <w:r>
        <w:rPr>
          <w:b/>
          <w:bCs/>
        </w:rPr>
        <w:t xml:space="preserve">Automatic metadata tagging</w:t>
      </w:r>
      <w:r>
        <w:t xml:space="preserve"> on send so outbound correspondence is fully indexed and searchable.</w:t>
      </w:r>
    </w:p>
    <w:p>
      <w:pPr>
        <w:pStyle w:val="ListParagraph"/>
        <w:numPr>
          <w:ilvl w:val="0"/>
          <w:numId w:val="3"/>
        </w:numPr>
        <w:spacing w:after="80"/>
      </w:pPr>
      <w:r>
        <w:rPr>
          <w:b/>
          <w:bCs/>
        </w:rPr>
        <w:t xml:space="preserve">Automatic BCC to the project address</w:t>
      </w:r>
      <w:r>
        <w:t xml:space="preserve"> so outbound items are captured into the contract record alongside inbound correspondence.</w:t>
      </w:r>
    </w:p>
    <w:p>
      <w:pPr>
        <w:pStyle w:val="ListParagraph"/>
        <w:numPr>
          <w:ilvl w:val="0"/>
          <w:numId w:val="3"/>
        </w:numPr>
        <w:spacing w:after="80"/>
      </w:pPr>
      <w:r>
        <w:rPr>
          <w:b/>
          <w:bCs/>
        </w:rPr>
        <w:t xml:space="preserve">Template library</w:t>
      </w:r>
      <w:r>
        <w:t xml:space="preserve"> for common correspondence: RFI, delay notice, variation request, change order response, notice of default, cure notice. Templates are version-controlled and owned centrally.</w:t>
      </w:r>
    </w:p>
    <w:p>
      <w:pPr>
        <w:pStyle w:val="ListParagraph"/>
        <w:numPr>
          <w:ilvl w:val="0"/>
          <w:numId w:val="3"/>
        </w:numPr>
        <w:spacing w:after="80"/>
      </w:pPr>
      <w:r>
        <w:t xml:space="preserve">All outbound correspondence logged to the audit trail.</w:t>
      </w:r>
    </w:p>
    <w:p>
      <w:pPr>
        <w:pStyle w:val="Heading2"/>
        <w:spacing w:after="140" w:before="280"/>
      </w:pPr>
      <w:r>
        <w:t xml:space="preserve">3.20 Drawing Comparison Tool (Phase 2)</w:t>
      </w:r>
    </w:p>
    <w:p>
      <w:pPr>
        <w:pStyle w:val="ListParagraph"/>
        <w:numPr>
          <w:ilvl w:val="0"/>
          <w:numId w:val="3"/>
        </w:numPr>
        <w:spacing w:after="80"/>
      </w:pPr>
      <w:r>
        <w:t xml:space="preserve">When a revised drawing is uploaded or emailed in, the system automatically diffs it against the prior revision and flags changes.</w:t>
      </w:r>
    </w:p>
    <w:p>
      <w:pPr>
        <w:pStyle w:val="ListParagraph"/>
        <w:numPr>
          <w:ilvl w:val="0"/>
          <w:numId w:val="3"/>
        </w:numPr>
        <w:spacing w:after="80"/>
      </w:pPr>
      <w:r>
        <w:t xml:space="preserve">Surfaces potential scope-creep changes introduced quietly through drawing revisions — a common and often missed source of extra work.</w:t>
      </w:r>
    </w:p>
    <w:p>
      <w:pPr>
        <w:pStyle w:val="Heading2"/>
        <w:spacing w:after="140" w:before="280"/>
      </w:pPr>
      <w:r>
        <w:t xml:space="preserve">3.21 "Send to Contract" Outlook Add-in (Phase 2)</w:t>
      </w:r>
    </w:p>
    <w:p>
      <w:pPr>
        <w:pStyle w:val="ListParagraph"/>
        <w:numPr>
          <w:ilvl w:val="0"/>
          <w:numId w:val="3"/>
        </w:numPr>
        <w:spacing w:after="80"/>
      </w:pPr>
      <w:r>
        <w:t xml:space="preserve">One-click button embedded in Outlook letting staff route any email (and its attachments) directly to the correct project-designated address.</w:t>
      </w:r>
    </w:p>
    <w:p>
      <w:pPr>
        <w:pStyle w:val="ListParagraph"/>
        <w:numPr>
          <w:ilvl w:val="0"/>
          <w:numId w:val="3"/>
        </w:numPr>
        <w:spacing w:after="80"/>
      </w:pPr>
      <w:r>
        <w:t xml:space="preserve">Contract selection UI (searchable dropdown of contracts the user has access to).</w:t>
      </w:r>
    </w:p>
    <w:p>
      <w:pPr>
        <w:pStyle w:val="ListParagraph"/>
        <w:numPr>
          <w:ilvl w:val="0"/>
          <w:numId w:val="3"/>
        </w:numPr>
        <w:spacing w:after="80"/>
      </w:pPr>
      <w:r>
        <w:t xml:space="preserve">Authentication against the platform using the user's existing Microsoft 365 session (post-migration) or Azure AD token.</w:t>
      </w:r>
    </w:p>
    <w:p>
      <w:pPr>
        <w:pStyle w:val="ListParagraph"/>
        <w:numPr>
          <w:ilvl w:val="0"/>
          <w:numId w:val="3"/>
        </w:numPr>
        <w:spacing w:after="80"/>
      </w:pPr>
      <w:r>
        <w:t xml:space="preserve">Handles sent-items as well as received.</w:t>
      </w:r>
    </w:p>
    <w:p>
      <w:pPr>
        <w:pStyle w:val="ListParagraph"/>
        <w:numPr>
          <w:ilvl w:val="0"/>
          <w:numId w:val="3"/>
        </w:numPr>
        <w:spacing w:after="80"/>
      </w:pPr>
      <w:r>
        <w:t xml:space="preserve">Offline/queued behavior for field staff with intermittent connectivity.</w:t>
      </w:r>
    </w:p>
    <w:p>
      <w:pPr>
        <w:pStyle w:val="ListParagraph"/>
        <w:numPr>
          <w:ilvl w:val="0"/>
          <w:numId w:val="3"/>
        </w:numPr>
        <w:spacing w:after="80"/>
      </w:pPr>
      <w:r>
        <w:t xml:space="preserve">Deployment through Technica's Microsoft 365 tenant following the Azure cloud migration.</w:t>
      </w:r>
    </w:p>
    <w:p>
      <w:pPr>
        <w:pStyle w:val="Heading2"/>
        <w:spacing w:after="140" w:before="280"/>
      </w:pPr>
      <w:r>
        <w:t xml:space="preserve">3.22 Meeting Minutes Ingestion with Action Item Extraction (Phase 2)</w:t>
      </w:r>
    </w:p>
    <w:p>
      <w:pPr>
        <w:pStyle w:val="ListParagraph"/>
        <w:numPr>
          <w:ilvl w:val="0"/>
          <w:numId w:val="3"/>
        </w:numPr>
        <w:spacing w:after="80"/>
      </w:pPr>
      <w:r>
        <w:t xml:space="preserve">AI parses uploaded minutes, extracts commitments made by each party, and links them to contract obligations.</w:t>
      </w:r>
    </w:p>
    <w:p>
      <w:pPr>
        <w:pStyle w:val="ListParagraph"/>
        <w:numPr>
          <w:ilvl w:val="0"/>
          <w:numId w:val="3"/>
        </w:numPr>
        <w:spacing w:after="80"/>
      </w:pPr>
      <w:r>
        <w:t xml:space="preserve">Action items feed the deadline tracker.</w:t>
      </w:r>
    </w:p>
    <w:p>
      <w:pPr>
        <w:pStyle w:val="Heading2"/>
        <w:spacing w:after="140" w:before="280"/>
      </w:pPr>
      <w:r>
        <w:t xml:space="preserve">3.23 Project Closeout Checklists (Phase 2)</w:t>
      </w:r>
    </w:p>
    <w:p>
      <w:pPr>
        <w:pStyle w:val="ListParagraph"/>
        <w:numPr>
          <w:ilvl w:val="0"/>
          <w:numId w:val="3"/>
        </w:numPr>
        <w:spacing w:after="80"/>
      </w:pPr>
      <w:r>
        <w:t xml:space="preserve">Configurable closeout checklist per contract covering: deliverables, final payments, warranties commencement, demobilization, lien waivers, as-built drawings, O&amp;M manuals, final account, claims resolution, client sign-off, closeout certificates, archival.</w:t>
      </w:r>
    </w:p>
    <w:p>
      <w:pPr>
        <w:pStyle w:val="ListParagraph"/>
        <w:numPr>
          <w:ilvl w:val="0"/>
          <w:numId w:val="3"/>
        </w:numPr>
        <w:spacing w:after="80"/>
      </w:pPr>
      <w:r>
        <w:t xml:space="preserve">Templates by contract type (EPC, construction, supply, services).</w:t>
      </w:r>
    </w:p>
    <w:p>
      <w:pPr>
        <w:pStyle w:val="ListParagraph"/>
        <w:numPr>
          <w:ilvl w:val="0"/>
          <w:numId w:val="3"/>
        </w:numPr>
        <w:spacing w:after="80"/>
      </w:pPr>
      <w:r>
        <w:t xml:space="preserve">Sign-off workflow with owner per item.</w:t>
      </w:r>
    </w:p>
    <w:p>
      <w:pPr>
        <w:pStyle w:val="ListParagraph"/>
        <w:numPr>
          <w:ilvl w:val="0"/>
          <w:numId w:val="3"/>
        </w:numPr>
        <w:spacing w:after="80"/>
      </w:pPr>
      <w:r>
        <w:rPr>
          <w:b/>
          <w:bCs/>
        </w:rPr>
        <w:t xml:space="preserve">Generates a closeout certificate</w:t>
      </w:r>
      <w:r>
        <w:t xml:space="preserve"> on completion.</w:t>
      </w:r>
    </w:p>
    <w:p>
      <w:pPr>
        <w:pStyle w:val="ListParagraph"/>
        <w:numPr>
          <w:ilvl w:val="0"/>
          <w:numId w:val="3"/>
        </w:numPr>
        <w:spacing w:after="80"/>
      </w:pPr>
      <w:r>
        <w:t xml:space="preserve">A contract cannot be moved to "archived" status until the checklist is complete or exceptions are explicitly waived.</w:t>
      </w:r>
    </w:p>
    <w:p>
      <w:pPr>
        <w:pStyle w:val="ListParagraph"/>
        <w:numPr>
          <w:ilvl w:val="0"/>
          <w:numId w:val="3"/>
        </w:numPr>
        <w:spacing w:after="80"/>
      </w:pPr>
      <w:r>
        <w:t xml:space="preserve">On closeout, the system prompts the team to conduct a structured lessons-learned review that feeds Section 3.25.</w:t>
      </w:r>
    </w:p>
    <w:p>
      <w:pPr>
        <w:pStyle w:val="Heading2"/>
        <w:spacing w:after="140" w:before="280"/>
      </w:pPr>
      <w:r>
        <w:t xml:space="preserve">3.24 Cross-Contract Precedent Search (Phase 3)</w:t>
      </w:r>
    </w:p>
    <w:p>
      <w:pPr>
        <w:pStyle w:val="ListParagraph"/>
        <w:numPr>
          <w:ilvl w:val="0"/>
          <w:numId w:val="3"/>
        </w:numPr>
        <w:spacing w:after="80"/>
      </w:pPr>
      <w:r>
        <w:t xml:space="preserve">"Have we seen this clause before? How was it interpreted?"</w:t>
      </w:r>
    </w:p>
    <w:p>
      <w:pPr>
        <w:pStyle w:val="ListParagraph"/>
        <w:numPr>
          <w:ilvl w:val="0"/>
          <w:numId w:val="3"/>
        </w:numPr>
        <w:spacing w:after="80"/>
      </w:pPr>
      <w:r>
        <w:t xml:space="preserve">"How did we handle a similar delay claim on a prior contract?"</w:t>
      </w:r>
    </w:p>
    <w:p>
      <w:pPr>
        <w:pStyle w:val="ListParagraph"/>
        <w:numPr>
          <w:ilvl w:val="0"/>
          <w:numId w:val="3"/>
        </w:numPr>
        <w:spacing w:after="80"/>
      </w:pPr>
      <w:r>
        <w:t xml:space="preserve">Tightly permissioned; opt-in per contract; highly confidential contracts excluded.</w:t>
      </w:r>
    </w:p>
    <w:p>
      <w:pPr>
        <w:pStyle w:val="Heading2"/>
        <w:spacing w:after="140" w:before="280"/>
      </w:pPr>
      <w:r>
        <w:t xml:space="preserve">3.25 Automated Lessons Learned (Phase 3)</w:t>
      </w:r>
    </w:p>
    <w:p>
      <w:pPr>
        <w:pStyle w:val="ListParagraph"/>
        <w:numPr>
          <w:ilvl w:val="0"/>
          <w:numId w:val="3"/>
        </w:numPr>
        <w:spacing w:after="80"/>
      </w:pPr>
      <w:r>
        <w:rPr>
          <w:b/>
          <w:bCs/>
        </w:rPr>
        <w:t xml:space="preserve">Throughout the contract lifecycle, the system captures lesson-worthy events</w:t>
      </w:r>
      <w:r>
        <w:t xml:space="preserve">: claims outcomes (won/lost/settled and why), disputes, notice misses, scope creep events, client behavior patterns, subcontractor performance, cost deviations from bid, schedule deviations, risks that materialized, risks that did not.</w:t>
      </w:r>
    </w:p>
    <w:p>
      <w:pPr>
        <w:pStyle w:val="ListParagraph"/>
        <w:numPr>
          <w:ilvl w:val="0"/>
          <w:numId w:val="3"/>
        </w:numPr>
        <w:spacing w:after="80"/>
      </w:pPr>
      <w:r>
        <w:t xml:space="preserve">At contract closeout, the team conducts a structured lessons-learned review, with the system pre-populating candidate lessons from captured events.</w:t>
      </w:r>
    </w:p>
    <w:p>
      <w:pPr>
        <w:pStyle w:val="ListParagraph"/>
        <w:numPr>
          <w:ilvl w:val="0"/>
          <w:numId w:val="3"/>
        </w:numPr>
        <w:spacing w:after="80"/>
      </w:pPr>
      <w:r>
        <w:t xml:space="preserve">Verified lessons are tagged (by client, scope type, contract type, value range, region) and indexed.</w:t>
      </w:r>
    </w:p>
    <w:p>
      <w:pPr>
        <w:pStyle w:val="ListParagraph"/>
        <w:numPr>
          <w:ilvl w:val="0"/>
          <w:numId w:val="3"/>
        </w:numPr>
        <w:spacing w:after="80"/>
      </w:pPr>
      <w:r>
        <w:t xml:space="preserve">At bid stage, the Bid Intake &amp; Generation application queries this index: "what should we watch out for bidding this client?", "how did similar scope perform last time?", "what risks tend to materialize on underground contracts over $50M?"</w:t>
      </w:r>
    </w:p>
    <w:p>
      <w:pPr>
        <w:pStyle w:val="ListParagraph"/>
        <w:numPr>
          <w:ilvl w:val="0"/>
          <w:numId w:val="3"/>
        </w:numPr>
        <w:spacing w:after="80"/>
      </w:pPr>
      <w:r>
        <w:t xml:space="preserve">Answers are cited to specific prior contracts (within permission limits).</w:t>
      </w:r>
    </w:p>
    <w:p>
      <w:pPr>
        <w:pStyle w:val="ListParagraph"/>
        <w:numPr>
          <w:ilvl w:val="0"/>
          <w:numId w:val="3"/>
        </w:numPr>
        <w:spacing w:after="80"/>
      </w:pPr>
      <w:r>
        <w:t xml:space="preserve">Closes the loop from execution back to future bids — turning every contract into institutional capability.</w:t>
      </w:r>
    </w:p>
    <w:p>
      <w:pPr>
        <w:pStyle w:val="Heading2"/>
        <w:spacing w:after="140" w:before="280"/>
      </w:pPr>
      <w:r>
        <w:t xml:space="preserve">3.26 "Devil's Advocate" Claim Review (Phase 3)</w:t>
      </w:r>
    </w:p>
    <w:p>
      <w:pPr>
        <w:pStyle w:val="ListParagraph"/>
        <w:numPr>
          <w:ilvl w:val="0"/>
          <w:numId w:val="3"/>
        </w:numPr>
        <w:spacing w:after="80"/>
      </w:pPr>
      <w:r>
        <w:t xml:space="preserve">Before a claim is submitted, the AI argues the likely client counter-position to help the team strengthen weak spots.</w:t>
      </w:r>
    </w:p>
    <w:p>
      <w:pPr>
        <w:pStyle w:val="ListParagraph"/>
        <w:numPr>
          <w:ilvl w:val="0"/>
          <w:numId w:val="3"/>
        </w:numPr>
        <w:spacing w:after="80"/>
      </w:pPr>
      <w:r>
        <w:t xml:space="preserve">Reduces rejected or weakened claims.</w:t>
      </w:r>
    </w:p>
    <w:p>
      <w:pPr>
        <w:pStyle w:val="Heading2"/>
        <w:spacing w:after="140" w:before="280"/>
      </w:pPr>
      <w:r>
        <w:t xml:space="preserve">3.27 Voice Note Ingestion (Phase 3)</w:t>
      </w:r>
    </w:p>
    <w:p>
      <w:pPr>
        <w:pStyle w:val="ListParagraph"/>
        <w:numPr>
          <w:ilvl w:val="0"/>
          <w:numId w:val="3"/>
        </w:numPr>
        <w:spacing w:after="80"/>
      </w:pPr>
      <w:r>
        <w:t xml:space="preserve">Site supervisors record short voice notes; AI transcribes, tags, and indexes them against the contract.</w:t>
      </w:r>
    </w:p>
    <w:p>
      <w:pPr>
        <w:pStyle w:val="ListParagraph"/>
        <w:numPr>
          <w:ilvl w:val="0"/>
          <w:numId w:val="3"/>
        </w:numPr>
        <w:spacing w:after="80"/>
      </w:pPr>
      <w:r>
        <w:t xml:space="preserve">Enables capture of contemporaneous evidence without typing.</w:t>
      </w:r>
    </w:p>
    <w:p>
      <w:pPr>
        <w:pStyle w:val="Heading2"/>
        <w:spacing w:after="140" w:before="280"/>
      </w:pPr>
      <w:r>
        <w:t xml:space="preserve">3.28 Subcontractor/Supplier Contract Linking (Phase 3)</w:t>
      </w:r>
    </w:p>
    <w:p>
      <w:pPr>
        <w:pStyle w:val="ListParagraph"/>
        <w:numPr>
          <w:ilvl w:val="0"/>
          <w:numId w:val="3"/>
        </w:numPr>
        <w:spacing w:after="80"/>
      </w:pPr>
      <w:r>
        <w:t xml:space="preserve">Links subcontract agreements to the head contract; AI checks flow-down obligations.</w:t>
      </w:r>
    </w:p>
    <w:p>
      <w:pPr>
        <w:pStyle w:val="ListParagraph"/>
        <w:numPr>
          <w:ilvl w:val="0"/>
          <w:numId w:val="3"/>
        </w:numPr>
        <w:spacing w:after="80"/>
      </w:pPr>
      <w:r>
        <w:t xml:space="preserve">Flags gaps — e.g., head contract requires 14-day notice but subcontract allows 30 days.</w:t>
      </w:r>
    </w:p>
    <w:p>
      <w:pPr>
        <w:pStyle w:val="Heading2"/>
        <w:spacing w:after="140" w:before="280"/>
      </w:pPr>
      <w:r>
        <w:t xml:space="preserve">3.29 AI-Assisted Contract Review at Tender (Phase 3)</w:t>
      </w:r>
    </w:p>
    <w:p>
      <w:pPr>
        <w:pStyle w:val="ListParagraph"/>
        <w:numPr>
          <w:ilvl w:val="0"/>
          <w:numId w:val="3"/>
        </w:numPr>
        <w:spacing w:after="80"/>
      </w:pPr>
      <w:r>
        <w:t xml:space="preserve">Before contract signing, AI reviews the draft contract against Technica's risk playbook: unusual clauses, onerous terms, missing protections, deviations from Technica's standard positions.</w:t>
      </w:r>
    </w:p>
    <w:p>
      <w:pPr>
        <w:pStyle w:val="ListParagraph"/>
        <w:numPr>
          <w:ilvl w:val="0"/>
          <w:numId w:val="3"/>
        </w:numPr>
        <w:spacing w:after="80"/>
      </w:pPr>
      <w:r>
        <w:t xml:space="preserve">Produces a risk memo for leadership review.</w:t>
      </w:r>
    </w:p>
    <w:p>
      <w:pPr>
        <w:pStyle w:val="ListParagraph"/>
        <w:numPr>
          <w:ilvl w:val="0"/>
          <w:numId w:val="3"/>
        </w:numPr>
        <w:spacing w:after="80"/>
      </w:pPr>
      <w:r>
        <w:t xml:space="preserve">Lives primarily in the Bid Intake &amp; Generation application but draws on the Contract Knowledge Base's clause library and historical lessons.</w:t>
      </w:r>
    </w:p>
    <w:p>
      <w:pPr>
        <w:pStyle w:val="Heading2"/>
        <w:spacing w:after="140" w:before="280"/>
      </w:pPr>
      <w:r>
        <w:t xml:space="preserve">3.30 Contract Risk Scoring Dashboard (Phase 3)</w:t>
      </w:r>
    </w:p>
    <w:p>
      <w:pPr>
        <w:pStyle w:val="ListParagraph"/>
        <w:numPr>
          <w:ilvl w:val="0"/>
          <w:numId w:val="3"/>
        </w:numPr>
        <w:spacing w:after="80"/>
      </w:pPr>
      <w:r>
        <w:t xml:space="preserve">Surfaces contracts that are drifting: high RFI volume, missed notices, scope disputes, variation volume, deadline slippage.</w:t>
      </w:r>
    </w:p>
    <w:p>
      <w:pPr>
        <w:pStyle w:val="ListParagraph"/>
        <w:numPr>
          <w:ilvl w:val="0"/>
          <w:numId w:val="3"/>
        </w:numPr>
        <w:spacing w:after="80"/>
      </w:pPr>
      <w:r>
        <w:t xml:space="preserve">Leadership visibility before issues escalate.</w:t>
      </w:r>
    </w:p>
    <w:p>
      <w:pPr>
        <w:pStyle w:val="Heading2"/>
        <w:spacing w:after="140" w:before="280"/>
      </w:pPr>
      <w:r>
        <w:t xml:space="preserve">3.31 Photo and Video Evidence Ingestion (Phase 3)</w:t>
      </w:r>
    </w:p>
    <w:p>
      <w:pPr>
        <w:pStyle w:val="ListParagraph"/>
        <w:numPr>
          <w:ilvl w:val="0"/>
          <w:numId w:val="3"/>
        </w:numPr>
        <w:spacing w:after="80"/>
      </w:pPr>
      <w:r>
        <w:t xml:space="preserve">Geo-tagged, timestamped site photos and short videos linked to the contract and, where relevant, to diary entries.</w:t>
      </w:r>
    </w:p>
    <w:p>
      <w:pPr>
        <w:pStyle w:val="ListParagraph"/>
        <w:numPr>
          <w:ilvl w:val="0"/>
          <w:numId w:val="3"/>
        </w:numPr>
        <w:spacing w:after="80"/>
      </w:pPr>
      <w:r>
        <w:t xml:space="preserve">Searchable by date, location, and AI-generated content description.</w:t>
      </w:r>
    </w:p>
    <w:p>
      <w:pPr>
        <w:pStyle w:val="Heading2"/>
        <w:spacing w:after="140" w:before="280"/>
      </w:pPr>
      <w:r>
        <w:t xml:space="preserve">3.32 Document Management System (Phase 4)</w:t>
      </w:r>
    </w:p>
    <w:p>
      <w:pPr>
        <w:pStyle w:val="ListParagraph"/>
        <w:numPr>
          <w:ilvl w:val="0"/>
          <w:numId w:val="3"/>
        </w:numPr>
        <w:spacing w:after="80"/>
      </w:pPr>
      <w:r>
        <w:t xml:space="preserve">Graduates the platform into a full DMS for the business, extending beyond contracts to all business documents (policies, procedures, standards, templates, HR, safety, engineering libraries, corporate records).</w:t>
      </w:r>
    </w:p>
    <w:p>
      <w:pPr>
        <w:pStyle w:val="ListParagraph"/>
        <w:numPr>
          <w:ilvl w:val="0"/>
          <w:numId w:val="3"/>
        </w:numPr>
        <w:spacing w:after="80"/>
      </w:pPr>
      <w:r>
        <w:t xml:space="preserve">Check-in/check-out, document approval workflows, retention policies, records classification, legal hold.</w:t>
      </w:r>
    </w:p>
    <w:p>
      <w:pPr>
        <w:pStyle w:val="ListParagraph"/>
        <w:numPr>
          <w:ilvl w:val="0"/>
          <w:numId w:val="3"/>
        </w:numPr>
        <w:spacing w:after="80"/>
      </w:pPr>
      <w:r>
        <w:t xml:space="preserve">Migration plan from existing network drives and file shares.</w:t>
      </w:r>
    </w:p>
    <w:p>
      <w:pPr>
        <w:pStyle w:val="ListParagraph"/>
        <w:numPr>
          <w:ilvl w:val="0"/>
          <w:numId w:val="3"/>
        </w:numPr>
        <w:spacing w:after="80"/>
      </w:pPr>
      <w:r>
        <w:t xml:space="preserve">Replaces ad hoc document storage across the business with a single governed system integrated with the rest of TKC.</w:t>
      </w:r>
    </w:p>
    <w:p>
      <w:pPr>
        <w:pStyle w:val="Heading2"/>
        <w:spacing w:after="140" w:before="280"/>
      </w:pPr>
      <w:r>
        <w:t xml:space="preserve">3.34 Contract &amp; Claim Lifecycle States (Phase 1 — states; Phase 2 — transitions and workflow)</w:t>
      </w:r>
    </w:p>
    <w:p>
      <w:pPr>
        <w:pStyle w:val="ListParagraph"/>
        <w:numPr>
          <w:ilvl w:val="0"/>
          <w:numId w:val="3"/>
        </w:numPr>
        <w:spacing w:after="80"/>
      </w:pPr>
      <w:r>
        <w:t xml:space="preserve">The platform is not just a repository; it is a system of action. Every core entity moves through defined lifecycle states with controlled transitions, permissions per state, and audit logging on every change.</w:t>
      </w:r>
    </w:p>
    <w:p>
      <w:pPr>
        <w:pStyle w:val="ListParagraph"/>
        <w:numPr>
          <w:ilvl w:val="0"/>
          <w:numId w:val="3"/>
        </w:numPr>
        <w:spacing w:after="80"/>
      </w:pPr>
      <w:r>
        <w:rPr>
          <w:b/>
          <w:bCs/>
        </w:rPr>
        <w:t xml:space="preserve">Contract lifecycle states</w:t>
      </w:r>
      <w:r>
        <w:t xml:space="preserve"> — Draft → Onboarding → Active → Issue-in-Progress → Closeout → Archived. Transitions are gated (e.g., cannot archive until closeout checklist complete or exceptions waived).</w:t>
      </w:r>
    </w:p>
    <w:p>
      <w:pPr>
        <w:pStyle w:val="ListParagraph"/>
        <w:numPr>
          <w:ilvl w:val="0"/>
          <w:numId w:val="3"/>
        </w:numPr>
        <w:spacing w:after="80"/>
      </w:pPr>
      <w:r>
        <w:rPr>
          <w:b/>
          <w:bCs/>
        </w:rPr>
        <w:t xml:space="preserve">Claim lifecycle states</w:t>
      </w:r>
      <w:r>
        <w:t xml:space="preserve"> — Draft → Internal Review → Submitted → Client Response Received → Under Negotiation → Resolved (Won / Settled / Lost / Withdrawn).</w:t>
      </w:r>
    </w:p>
    <w:p>
      <w:pPr>
        <w:pStyle w:val="ListParagraph"/>
        <w:numPr>
          <w:ilvl w:val="0"/>
          <w:numId w:val="3"/>
        </w:numPr>
        <w:spacing w:after="80"/>
      </w:pPr>
      <w:r>
        <w:rPr>
          <w:b/>
          <w:bCs/>
        </w:rPr>
        <w:t xml:space="preserve">Variation lifecycle states</w:t>
      </w:r>
      <w:r>
        <w:t xml:space="preserve"> — Proposed → Priced → Submitted → Approved / Rejected / Disputed → Closed.</w:t>
      </w:r>
    </w:p>
    <w:p>
      <w:pPr>
        <w:pStyle w:val="ListParagraph"/>
        <w:numPr>
          <w:ilvl w:val="0"/>
          <w:numId w:val="3"/>
        </w:numPr>
        <w:spacing w:after="80"/>
      </w:pPr>
      <w:r>
        <w:rPr>
          <w:b/>
          <w:bCs/>
        </w:rPr>
        <w:t xml:space="preserve">RFI lifecycle states</w:t>
      </w:r>
      <w:r>
        <w:t xml:space="preserve"> — Draft → Issued → Awaiting Response → Response Received → Closed.</w:t>
      </w:r>
    </w:p>
    <w:p>
      <w:pPr>
        <w:pStyle w:val="ListParagraph"/>
        <w:numPr>
          <w:ilvl w:val="0"/>
          <w:numId w:val="3"/>
        </w:numPr>
        <w:spacing w:after="80"/>
      </w:pPr>
      <w:r>
        <w:rPr>
          <w:b/>
          <w:bCs/>
        </w:rPr>
        <w:t xml:space="preserve">Obligation / Deadline states</w:t>
      </w:r>
      <w:r>
        <w:t xml:space="preserve"> — Extracted (unverified) → Verified → Active → Triggered → Complete / Missed.</w:t>
      </w:r>
    </w:p>
    <w:p>
      <w:pPr>
        <w:pStyle w:val="ListParagraph"/>
        <w:numPr>
          <w:ilvl w:val="0"/>
          <w:numId w:val="3"/>
        </w:numPr>
        <w:spacing w:after="80"/>
      </w:pPr>
      <w:r>
        <w:t xml:space="preserve">State transitions are logged in the audit trail. Dashboards show active state distribution per contract and across the portfolio. Certain AI features are state-aware (e.g., the Claim Readiness Score only applies to claims in Draft or Internal Review).</w:t>
      </w:r>
    </w:p>
    <w:p>
      <w:pPr>
        <w:pStyle w:val="Heading2"/>
        <w:spacing w:after="140" w:before="280"/>
      </w:pPr>
      <w:r>
        <w:t xml:space="preserve">3.35 Claim Readiness Score (Phase 2)</w:t>
      </w:r>
    </w:p>
    <w:p>
      <w:pPr>
        <w:pStyle w:val="ListParagraph"/>
        <w:numPr>
          <w:ilvl w:val="0"/>
          <w:numId w:val="3"/>
        </w:numPr>
        <w:spacing w:after="80"/>
      </w:pPr>
      <w:r>
        <w:t xml:space="preserve">A live indicator, per claim in draft, showing how ready that claim is for submission.</w:t>
      </w:r>
    </w:p>
    <w:p>
      <w:pPr>
        <w:pStyle w:val="ListParagraph"/>
        <w:numPr>
          <w:ilvl w:val="0"/>
          <w:numId w:val="3"/>
        </w:numPr>
        <w:spacing w:after="80"/>
      </w:pPr>
      <w:r>
        <w:rPr>
          <w:b/>
          <w:bCs/>
        </w:rPr>
        <w:t xml:space="preserve">Score components</w:t>
      </w:r>
      <w:r>
        <w:t xml:space="preserve"> — Notice compliance (have all required contractual notices been filed on time?), evidence completeness (documents, emails, drawings, diary entries cited?), timeline validity (dates and sequence consistent with contract and contemporaneous records?), clause support (every claim assertion tied to a specific clause?), and quantum substantiation (cost and time impact supported by evidence?).</w:t>
      </w:r>
    </w:p>
    <w:p>
      <w:pPr>
        <w:pStyle w:val="ListParagraph"/>
        <w:numPr>
          <w:ilvl w:val="0"/>
          <w:numId w:val="3"/>
        </w:numPr>
        <w:spacing w:after="80"/>
      </w:pPr>
      <w:r>
        <w:t xml:space="preserve">Each component is scored with a clear indicator (red / amber / green) and drill-down to the specific gaps.</w:t>
      </w:r>
    </w:p>
    <w:p>
      <w:pPr>
        <w:pStyle w:val="ListParagraph"/>
        <w:numPr>
          <w:ilvl w:val="0"/>
          <w:numId w:val="3"/>
        </w:numPr>
        <w:spacing w:after="80"/>
      </w:pPr>
      <w:r>
        <w:t xml:space="preserve">The Commercial / Claims Lead can override component scores with a logged justification.</w:t>
      </w:r>
    </w:p>
    <w:p>
      <w:pPr>
        <w:pStyle w:val="ListParagraph"/>
        <w:numPr>
          <w:ilvl w:val="0"/>
          <w:numId w:val="3"/>
        </w:numPr>
        <w:spacing w:after="80"/>
      </w:pPr>
      <w:r>
        <w:t xml:space="preserve">Score is recalculated continuously as evidence is added or removed.</w:t>
      </w:r>
    </w:p>
    <w:p>
      <w:pPr>
        <w:pStyle w:val="ListParagraph"/>
        <w:numPr>
          <w:ilvl w:val="0"/>
          <w:numId w:val="3"/>
        </w:numPr>
        <w:spacing w:after="80"/>
      </w:pPr>
      <w:r>
        <w:t xml:space="preserve">A claim cannot be marked Submitted until the Claim Readiness Score passes a minimum threshold or the Commercial / Claims Lead explicitly overrides with a documented reason.</w:t>
      </w:r>
    </w:p>
    <w:p>
      <w:pPr>
        <w:pStyle w:val="Heading2"/>
        <w:spacing w:after="140" w:before="280"/>
      </w:pPr>
      <w:r>
        <w:t xml:space="preserve">3.36 Proactive AI Flagging (Phase 2)</w:t>
      </w:r>
    </w:p>
    <w:p>
      <w:pPr>
        <w:pStyle w:val="ListParagraph"/>
        <w:numPr>
          <w:ilvl w:val="0"/>
          <w:numId w:val="3"/>
        </w:numPr>
        <w:spacing w:after="80"/>
      </w:pPr>
      <w:r>
        <w:t xml:space="preserve">The AI layer actively monitors incoming correspondence, documents, and diary entries against the contract and raises flags unprompted.</w:t>
      </w:r>
    </w:p>
    <w:p>
      <w:pPr>
        <w:pStyle w:val="ListParagraph"/>
        <w:numPr>
          <w:ilvl w:val="0"/>
          <w:numId w:val="3"/>
        </w:numPr>
        <w:spacing w:after="80"/>
      </w:pPr>
      <w:r>
        <w:rPr>
          <w:b/>
          <w:bCs/>
        </w:rPr>
        <w:t xml:space="preserve">Example flags</w:t>
      </w:r>
      <w:r>
        <w:t xml:space="preserve"> — "This email from the client may constitute a notice under Clause 14.2. Consider whether a response is required within 14 days." — "This site instruction directs work that appears to be outside the scope defined in Schedule A. Consider raising a variation." — "A milestone deadline falls within 7 days and no preparation activity has been logged." — "A drawing revision was issued that changes the ventilation layout; potential scope impact."</w:t>
      </w:r>
    </w:p>
    <w:p>
      <w:pPr>
        <w:pStyle w:val="ListParagraph"/>
        <w:numPr>
          <w:ilvl w:val="0"/>
          <w:numId w:val="3"/>
        </w:numPr>
        <w:spacing w:after="80"/>
      </w:pPr>
      <w:r>
        <w:t xml:space="preserve">Flags appear in the contract dashboard, the notification digest, and on the relevant document or email.</w:t>
      </w:r>
    </w:p>
    <w:p>
      <w:pPr>
        <w:pStyle w:val="ListParagraph"/>
        <w:numPr>
          <w:ilvl w:val="0"/>
          <w:numId w:val="3"/>
        </w:numPr>
        <w:spacing w:after="80"/>
      </w:pPr>
      <w:r>
        <w:t xml:space="preserve">Every flag includes the reasoning, the cited clause or document, and a recommended next action.</w:t>
      </w:r>
    </w:p>
    <w:p>
      <w:pPr>
        <w:pStyle w:val="ListParagraph"/>
        <w:numPr>
          <w:ilvl w:val="0"/>
          <w:numId w:val="3"/>
        </w:numPr>
        <w:spacing w:after="80"/>
      </w:pPr>
      <w:r>
        <w:t xml:space="preserve">Users can dismiss, action, or escalate flags. All flag actions are logged.</w:t>
      </w:r>
    </w:p>
    <w:p>
      <w:pPr>
        <w:pStyle w:val="ListParagraph"/>
        <w:numPr>
          <w:ilvl w:val="0"/>
          <w:numId w:val="3"/>
        </w:numPr>
        <w:spacing w:after="80"/>
      </w:pPr>
      <w:r>
        <w:t xml:space="preserve">Proactive flagging is where the AI moves from reactive Q&amp;A to active commercial defense — surfacing risks and entitlements the team might otherwise miss.</w:t>
      </w:r>
    </w:p>
    <w:p>
      <w:pPr>
        <w:pStyle w:val="Heading2"/>
        <w:spacing w:after="140" w:before="280"/>
      </w:pPr>
      <w:r>
        <w:t xml:space="preserve">3.37 Evidence Packaging (Phase 2)</w:t>
      </w:r>
    </w:p>
    <w:p>
      <w:pPr>
        <w:pStyle w:val="ListParagraph"/>
        <w:numPr>
          <w:ilvl w:val="0"/>
          <w:numId w:val="3"/>
        </w:numPr>
        <w:spacing w:after="80"/>
      </w:pPr>
      <w:r>
        <w:t xml:space="preserve">A standalone, one-click evidence bundling capability that can be invoked from any claim, variation, dispute, or stand-alone query.</w:t>
      </w:r>
    </w:p>
    <w:p>
      <w:pPr>
        <w:pStyle w:val="ListParagraph"/>
        <w:numPr>
          <w:ilvl w:val="0"/>
          <w:numId w:val="3"/>
        </w:numPr>
        <w:spacing w:after="80"/>
      </w:pPr>
      <w:r>
        <w:t xml:space="preserve">Selects the cited documents, emails (with original .eml), drawings, diary entries, and relevant clauses.</w:t>
      </w:r>
    </w:p>
    <w:p>
      <w:pPr>
        <w:pStyle w:val="ListParagraph"/>
        <w:numPr>
          <w:ilvl w:val="0"/>
          <w:numId w:val="3"/>
        </w:numPr>
        <w:spacing w:after="80"/>
      </w:pPr>
      <w:r>
        <w:t xml:space="preserve">Assembles them into a single PDF portfolio with embedded attachments, a cover page, a table of contents, a chronological timeline of events, and citation index.</w:t>
      </w:r>
    </w:p>
    <w:p>
      <w:pPr>
        <w:pStyle w:val="ListParagraph"/>
        <w:numPr>
          <w:ilvl w:val="0"/>
          <w:numId w:val="3"/>
        </w:numPr>
        <w:spacing w:after="80"/>
      </w:pPr>
      <w:r>
        <w:t xml:space="preserve">Also produces a parallel ZIP package with original files preserved in native format for cases where the client, arbitrator, or counsel requires natives.</w:t>
      </w:r>
    </w:p>
    <w:p>
      <w:pPr>
        <w:pStyle w:val="ListParagraph"/>
        <w:numPr>
          <w:ilvl w:val="0"/>
          <w:numId w:val="3"/>
        </w:numPr>
        <w:spacing w:after="80"/>
      </w:pPr>
      <w:r>
        <w:t xml:space="preserve">Evidence bundles are versioned and logged; once submitted externally, the bundle is locked against modification.</w:t>
      </w:r>
    </w:p>
    <w:p>
      <w:pPr>
        <w:pStyle w:val="ListParagraph"/>
        <w:numPr>
          <w:ilvl w:val="0"/>
          <w:numId w:val="3"/>
        </w:numPr>
        <w:spacing w:after="80"/>
      </w:pPr>
      <w:r>
        <w:t xml:space="preserve">This is the single feature that most clearly demonstrates ROI on claim days — what used to take a commercial lead several days of folder-diving now takes minutes.</w:t>
      </w:r>
    </w:p>
    <w:p>
      <w:pPr>
        <w:pStyle w:val="ListParagraph"/>
        <w:numPr>
          <w:ilvl w:val="0"/>
          <w:numId w:val="3"/>
        </w:numPr>
        <w:spacing w:after="80"/>
      </w:pPr>
      <w:r>
        <w:rPr>
          <w:b/>
          <w:bCs/>
        </w:rPr>
        <w:t xml:space="preserve">Chain-of-custody manifest</w:t>
      </w:r>
      <w:r>
        <w:t xml:space="preserve"> — Every evidence bundle is accompanied by a standalone readable manifest recording, for each artifact: source (upload, email ingestion, bid handoff, diary entry, etc.), original file name, file hash, ingestion timestamp, ingesting user or system, and any subsequent version events. The manifest is exportable as a standalone PDF alongside the bundle and is increasingly requested by arbitrators and client counsel.</w:t>
      </w:r>
    </w:p>
    <w:p>
      <w:pPr>
        <w:pStyle w:val="ListParagraph"/>
        <w:numPr>
          <w:ilvl w:val="0"/>
          <w:numId w:val="3"/>
        </w:numPr>
        <w:spacing w:after="80"/>
      </w:pPr>
      <w:r>
        <w:rPr>
          <w:b/>
          <w:bCs/>
        </w:rPr>
        <w:t xml:space="preserve">Redaction log</w:t>
      </w:r>
      <w:r>
        <w:t xml:space="preserve"> — Where a bundle contains redacted content, a redaction log accompanies the bundle recording the redactor, timestamp, scope of each redaction, and the category of reason (privileged, commercially sensitive, personal information, third-party confidential) without exposing the redacted content itself. The log supports transparent disclosure of what has been withheld and on what basis.</w:t>
      </w:r>
    </w:p>
    <w:p>
      <w:pPr>
        <w:pStyle w:val="Heading2"/>
        <w:spacing w:after="140" w:before="280"/>
      </w:pPr>
      <w:r>
        <w:t xml:space="preserve">3.38 Audit Trail</w:t>
      </w:r>
    </w:p>
    <w:p>
      <w:pPr>
        <w:pStyle w:val="ListParagraph"/>
        <w:numPr>
          <w:ilvl w:val="0"/>
          <w:numId w:val="3"/>
        </w:numPr>
        <w:spacing w:after="80"/>
      </w:pPr>
      <w:r>
        <w:t xml:space="preserve">Every action (upload, view, query, edit, approval, email ingestion, deadline verification, diary entry, outbound email, checklist sign-off, state transition, flag action, evidence bundle export) logged with user, timestamp, and context.</w:t>
      </w:r>
    </w:p>
    <w:p>
      <w:pPr>
        <w:pStyle w:val="ListParagraph"/>
        <w:numPr>
          <w:ilvl w:val="0"/>
          <w:numId w:val="3"/>
        </w:numPr>
        <w:spacing w:after="80"/>
      </w:pPr>
      <w:r>
        <w:t xml:space="preserve">Immutable and exportable for compliance or dispute purposes.</w:t>
      </w:r>
    </w:p>
    <w:p>
      <w:r>
        <w:br w:type="page"/>
      </w:r>
    </w:p>
    <w:p>
      <w:pPr>
        <w:pStyle w:val="Heading1"/>
        <w:spacing w:after="180" w:before="360"/>
      </w:pPr>
      <w:r>
        <w:t xml:space="preserve">4. Non-Functional Requirements</w:t>
      </w:r>
    </w:p>
    <w:p>
      <w:pPr>
        <w:pStyle w:val="Heading2"/>
        <w:spacing w:after="140" w:before="280"/>
      </w:pPr>
      <w:r>
        <w:t xml:space="preserve">4.1 Security</w:t>
      </w:r>
    </w:p>
    <w:p>
      <w:pPr>
        <w:pStyle w:val="ListParagraph"/>
        <w:numPr>
          <w:ilvl w:val="0"/>
          <w:numId w:val="3"/>
        </w:numPr>
        <w:spacing w:after="80"/>
      </w:pPr>
      <w:r>
        <w:rPr>
          <w:b/>
          <w:bCs/>
        </w:rPr>
        <w:t xml:space="preserve">Data classification</w:t>
      </w:r>
      <w:r>
        <w:t xml:space="preserve"> — All contract data is Confidential by default; specific contracts or documents can be marked Highly Confidential (active disputes, sensitive negotiations).</w:t>
      </w:r>
    </w:p>
    <w:p>
      <w:pPr>
        <w:pStyle w:val="ListParagraph"/>
        <w:numPr>
          <w:ilvl w:val="0"/>
          <w:numId w:val="3"/>
        </w:numPr>
        <w:spacing w:after="80"/>
      </w:pPr>
      <w:r>
        <w:rPr>
          <w:b/>
          <w:bCs/>
        </w:rPr>
        <w:t xml:space="preserve">Encryption</w:t>
      </w:r>
      <w:r>
        <w:t xml:space="preserve"> — Data encrypted in transit (TLS 1.2+) and at rest (AES-256).</w:t>
      </w:r>
    </w:p>
    <w:p>
      <w:pPr>
        <w:pStyle w:val="ListParagraph"/>
        <w:numPr>
          <w:ilvl w:val="0"/>
          <w:numId w:val="3"/>
        </w:numPr>
        <w:spacing w:after="80"/>
      </w:pPr>
      <w:r>
        <w:rPr>
          <w:b/>
          <w:bCs/>
        </w:rPr>
        <w:t xml:space="preserve">Authentication</w:t>
      </w:r>
      <w:r>
        <w:t xml:space="preserve"> — Single sign-on via Technica's Azure AD / Entra ID tenant following the planned Microsoft 365 migration. Multi-factor authentication required. See Section 7.2 for the interim approach if Phase 1 launches before migration completes.</w:t>
      </w:r>
    </w:p>
    <w:p>
      <w:pPr>
        <w:pStyle w:val="ListParagraph"/>
        <w:numPr>
          <w:ilvl w:val="0"/>
          <w:numId w:val="3"/>
        </w:numPr>
        <w:spacing w:after="80"/>
      </w:pPr>
      <w:r>
        <w:rPr>
          <w:b/>
          <w:bCs/>
        </w:rPr>
        <w:t xml:space="preserve">Authorization</w:t>
      </w:r>
      <w:r>
        <w:t xml:space="preserve"> — Role-based access control with additional contract-level access lists. A user must be explicitly granted access to a contract to view or query it.</w:t>
      </w:r>
    </w:p>
    <w:p>
      <w:pPr>
        <w:pStyle w:val="ListParagraph"/>
        <w:numPr>
          <w:ilvl w:val="0"/>
          <w:numId w:val="3"/>
        </w:numPr>
        <w:spacing w:after="80"/>
      </w:pPr>
      <w:r>
        <w:rPr>
          <w:b/>
          <w:bCs/>
        </w:rPr>
        <w:t xml:space="preserve">Sensitive content handling</w:t>
      </w:r>
      <w:r>
        <w:t xml:space="preserve"> — Privileged legal correspondence, HR matters, and commercially sensitive pricing data routed to a restricted-access tier.</w:t>
      </w:r>
    </w:p>
    <w:p>
      <w:pPr>
        <w:pStyle w:val="ListParagraph"/>
        <w:numPr>
          <w:ilvl w:val="0"/>
          <w:numId w:val="3"/>
        </w:numPr>
        <w:spacing w:after="80"/>
      </w:pPr>
      <w:r>
        <w:rPr>
          <w:b/>
          <w:bCs/>
        </w:rPr>
        <w:t xml:space="preserve">Malware scanning</w:t>
      </w:r>
      <w:r>
        <w:t xml:space="preserve"> — All uploaded files and email attachments scanned before ingestion.</w:t>
      </w:r>
    </w:p>
    <w:p>
      <w:pPr>
        <w:pStyle w:val="ListParagraph"/>
        <w:numPr>
          <w:ilvl w:val="0"/>
          <w:numId w:val="3"/>
        </w:numPr>
        <w:spacing w:after="80"/>
      </w:pPr>
      <w:r>
        <w:rPr>
          <w:b/>
          <w:bCs/>
        </w:rPr>
        <w:t xml:space="preserve">Data residency</w:t>
      </w:r>
      <w:r>
        <w:t xml:space="preserve"> — Storage hosted in Azure regions compliant with Technica's data residency requirements (recommended: Azure Canada Central primary, Canada East backup).</w:t>
      </w:r>
    </w:p>
    <w:p>
      <w:pPr>
        <w:pStyle w:val="ListParagraph"/>
        <w:numPr>
          <w:ilvl w:val="0"/>
          <w:numId w:val="3"/>
        </w:numPr>
        <w:spacing w:after="80"/>
      </w:pPr>
      <w:r>
        <w:rPr>
          <w:b/>
          <w:bCs/>
        </w:rPr>
        <w:t xml:space="preserve">Penetration testing</w:t>
      </w:r>
      <w:r>
        <w:t xml:space="preserve"> — Third-party penetration test before Phase 1 go-live and annually thereafter.</w:t>
      </w:r>
    </w:p>
    <w:p>
      <w:pPr>
        <w:pStyle w:val="Heading2"/>
        <w:spacing w:after="140" w:before="280"/>
      </w:pPr>
      <w:r>
        <w:t xml:space="preserve">4.2 Permissions Model</w:t>
      </w:r>
    </w:p>
    <w:p>
      <w:pPr>
        <w:pStyle w:val="ListParagraph"/>
        <w:numPr>
          <w:ilvl w:val="0"/>
          <w:numId w:val="3"/>
        </w:numPr>
        <w:spacing w:after="80"/>
      </w:pPr>
      <w:r>
        <w:rPr>
          <w:b/>
          <w:bCs/>
        </w:rPr>
        <w:t xml:space="preserve">Global roles</w:t>
      </w:r>
      <w:r>
        <w:t xml:space="preserve"> — System Administrator, Knowledge Centre Administrator, Auditor.</w:t>
      </w:r>
    </w:p>
    <w:p>
      <w:pPr>
        <w:pStyle w:val="ListParagraph"/>
        <w:numPr>
          <w:ilvl w:val="0"/>
          <w:numId w:val="3"/>
        </w:numPr>
        <w:spacing w:after="80"/>
      </w:pPr>
      <w:r>
        <w:rPr>
          <w:b/>
          <w:bCs/>
        </w:rPr>
        <w:t xml:space="preserve">Contract roles</w:t>
      </w:r>
      <w:r>
        <w:t xml:space="preserve"> — Contract Owner, Contract Administrator, Contributor, Viewer, Restricted Viewer (excludes sensitive/negotiation material).</w:t>
      </w:r>
    </w:p>
    <w:p>
      <w:pPr>
        <w:pStyle w:val="ListParagraph"/>
        <w:numPr>
          <w:ilvl w:val="0"/>
          <w:numId w:val="3"/>
        </w:numPr>
        <w:spacing w:after="80"/>
      </w:pPr>
      <w:r>
        <w:rPr>
          <w:b/>
          <w:bCs/>
        </w:rPr>
        <w:t xml:space="preserve">Permission inheritance</w:t>
      </w:r>
      <w:r>
        <w:t xml:space="preserve"> — Default permissions set on contract creation from a template; individual overrides allowed.</w:t>
      </w:r>
    </w:p>
    <w:p>
      <w:pPr>
        <w:pStyle w:val="ListParagraph"/>
        <w:numPr>
          <w:ilvl w:val="0"/>
          <w:numId w:val="3"/>
        </w:numPr>
        <w:spacing w:after="80"/>
      </w:pPr>
      <w:r>
        <w:rPr>
          <w:b/>
          <w:bCs/>
        </w:rPr>
        <w:t xml:space="preserve">Guest access</w:t>
      </w:r>
      <w:r>
        <w:t xml:space="preserve"> — No external guest access in Phase 1.</w:t>
      </w:r>
    </w:p>
    <w:p>
      <w:pPr>
        <w:pStyle w:val="Heading2"/>
        <w:spacing w:after="140" w:before="280"/>
      </w:pPr>
      <w:r>
        <w:t xml:space="preserve">4.3 Audit Trail</w:t>
      </w:r>
    </w:p>
    <w:p>
      <w:pPr>
        <w:pStyle w:val="ListParagraph"/>
        <w:numPr>
          <w:ilvl w:val="0"/>
          <w:numId w:val="3"/>
        </w:numPr>
        <w:spacing w:after="80"/>
      </w:pPr>
      <w:r>
        <w:t xml:space="preserve">Immutable, append-only audit log covering user actions, AI queries and responses, email ingestion events, permission changes, data exports.</w:t>
      </w:r>
    </w:p>
    <w:p>
      <w:pPr>
        <w:pStyle w:val="ListParagraph"/>
        <w:numPr>
          <w:ilvl w:val="0"/>
          <w:numId w:val="3"/>
        </w:numPr>
        <w:spacing w:after="80"/>
      </w:pPr>
      <w:r>
        <w:t xml:space="preserve">Minimum 7-year retention (to be confirmed against Technica's record retention policy).</w:t>
      </w:r>
    </w:p>
    <w:p>
      <w:pPr>
        <w:pStyle w:val="ListParagraph"/>
        <w:numPr>
          <w:ilvl w:val="0"/>
          <w:numId w:val="3"/>
        </w:numPr>
        <w:spacing w:after="80"/>
      </w:pPr>
      <w:r>
        <w:t xml:space="preserve">Searchable and exportable by Auditor role.</w:t>
      </w:r>
    </w:p>
    <w:p>
      <w:pPr>
        <w:pStyle w:val="Heading2"/>
        <w:spacing w:after="140" w:before="280"/>
      </w:pPr>
      <w:r>
        <w:t xml:space="preserve">4.4 Performance</w:t>
      </w:r>
    </w:p>
    <w:p>
      <w:pPr>
        <w:pStyle w:val="ListParagraph"/>
        <w:numPr>
          <w:ilvl w:val="0"/>
          <w:numId w:val="3"/>
        </w:numPr>
        <w:spacing w:after="80"/>
      </w:pPr>
      <w:r>
        <w:t xml:space="preserve">Document upload and indexing: under 2 minutes for documents up to 100 MB under normal load.</w:t>
      </w:r>
    </w:p>
    <w:p>
      <w:pPr>
        <w:pStyle w:val="ListParagraph"/>
        <w:numPr>
          <w:ilvl w:val="0"/>
          <w:numId w:val="3"/>
        </w:numPr>
        <w:spacing w:after="80"/>
      </w:pPr>
      <w:r>
        <w:t xml:space="preserve">AI query response: under 10 seconds for typical queries, under 30 seconds for complex multi-document synthesis.</w:t>
      </w:r>
    </w:p>
    <w:p>
      <w:pPr>
        <w:pStyle w:val="ListParagraph"/>
        <w:numPr>
          <w:ilvl w:val="0"/>
          <w:numId w:val="3"/>
        </w:numPr>
        <w:spacing w:after="80"/>
      </w:pPr>
      <w:r>
        <w:t xml:space="preserve">Search: sub-2-second response for global keyword and metadata searches.</w:t>
      </w:r>
    </w:p>
    <w:p>
      <w:pPr>
        <w:pStyle w:val="ListParagraph"/>
        <w:numPr>
          <w:ilvl w:val="0"/>
          <w:numId w:val="3"/>
        </w:numPr>
        <w:spacing w:after="80"/>
      </w:pPr>
      <w:r>
        <w:t xml:space="preserve">Email ingestion latency: emails appear in the contract record within 2 minutes of arrival under normal load.</w:t>
      </w:r>
    </w:p>
    <w:p>
      <w:pPr>
        <w:pStyle w:val="Heading2"/>
        <w:spacing w:after="140" w:before="280"/>
      </w:pPr>
      <w:r>
        <w:t xml:space="preserve">4.5 Scalability</w:t>
      </w:r>
    </w:p>
    <w:p>
      <w:pPr>
        <w:pStyle w:val="ListParagraph"/>
        <w:numPr>
          <w:ilvl w:val="0"/>
          <w:numId w:val="3"/>
        </w:numPr>
        <w:spacing w:after="80"/>
      </w:pPr>
      <w:r>
        <w:t xml:space="preserve">Target capacity at end of Year 1: 200 active contracts, 500 users, 5 million indexed documents/emails.</w:t>
      </w:r>
    </w:p>
    <w:p>
      <w:pPr>
        <w:pStyle w:val="ListParagraph"/>
        <w:numPr>
          <w:ilvl w:val="0"/>
          <w:numId w:val="3"/>
        </w:numPr>
        <w:spacing w:after="80"/>
      </w:pPr>
      <w:r>
        <w:t xml:space="preserve">Architecture must scale horizontally to 10x these figures without redesign.</w:t>
      </w:r>
    </w:p>
    <w:p>
      <w:pPr>
        <w:pStyle w:val="ListParagraph"/>
        <w:numPr>
          <w:ilvl w:val="0"/>
          <w:numId w:val="3"/>
        </w:numPr>
        <w:spacing w:after="80"/>
      </w:pPr>
      <w:r>
        <w:t xml:space="preserve">Each contract operates as an isolated knowledge index to prevent cross-contract data leakage.</w:t>
      </w:r>
    </w:p>
    <w:p>
      <w:pPr>
        <w:pStyle w:val="Heading2"/>
        <w:spacing w:after="140" w:before="280"/>
      </w:pPr>
      <w:r>
        <w:t xml:space="preserve">4.6 Availability &amp; Reliability</w:t>
      </w:r>
    </w:p>
    <w:p>
      <w:pPr>
        <w:pStyle w:val="ListParagraph"/>
        <w:numPr>
          <w:ilvl w:val="0"/>
          <w:numId w:val="3"/>
        </w:numPr>
        <w:spacing w:after="80"/>
      </w:pPr>
      <w:r>
        <w:t xml:space="preserve">Target uptime: 99.5% during business hours, 99% overall.</w:t>
      </w:r>
    </w:p>
    <w:p>
      <w:pPr>
        <w:pStyle w:val="ListParagraph"/>
        <w:numPr>
          <w:ilvl w:val="0"/>
          <w:numId w:val="3"/>
        </w:numPr>
        <w:spacing w:after="80"/>
      </w:pPr>
      <w:r>
        <w:t xml:space="preserve">Recovery Point Objective (RPO): 1 hour.</w:t>
      </w:r>
    </w:p>
    <w:p>
      <w:pPr>
        <w:pStyle w:val="ListParagraph"/>
        <w:numPr>
          <w:ilvl w:val="0"/>
          <w:numId w:val="3"/>
        </w:numPr>
        <w:spacing w:after="80"/>
      </w:pPr>
      <w:r>
        <w:t xml:space="preserve">Recovery Time Objective (RTO): 4 hours.</w:t>
      </w:r>
    </w:p>
    <w:p>
      <w:pPr>
        <w:pStyle w:val="ListParagraph"/>
        <w:numPr>
          <w:ilvl w:val="0"/>
          <w:numId w:val="3"/>
        </w:numPr>
        <w:spacing w:after="80"/>
      </w:pPr>
      <w:r>
        <w:t xml:space="preserve">Automated daily backups with 30-day retention; monthly archival backups with extended retention.</w:t>
      </w:r>
    </w:p>
    <w:p>
      <w:pPr>
        <w:pStyle w:val="Heading2"/>
        <w:spacing w:after="140" w:before="280"/>
      </w:pPr>
      <w:r>
        <w:t xml:space="preserve">4.7 Accessibility</w:t>
      </w:r>
    </w:p>
    <w:p>
      <w:pPr>
        <w:pStyle w:val="ListParagraph"/>
        <w:numPr>
          <w:ilvl w:val="0"/>
          <w:numId w:val="3"/>
        </w:numPr>
        <w:spacing w:after="80"/>
      </w:pPr>
      <w:r>
        <w:t xml:space="preserve">WCAG 2.1 Level AA compliance for the web interface.</w:t>
      </w:r>
    </w:p>
    <w:p>
      <w:pPr>
        <w:pStyle w:val="Heading2"/>
        <w:spacing w:after="140" w:before="280"/>
      </w:pPr>
      <w:r>
        <w:t xml:space="preserve">4.8 Usability</w:t>
      </w:r>
    </w:p>
    <w:p>
      <w:pPr>
        <w:pStyle w:val="ListParagraph"/>
        <w:numPr>
          <w:ilvl w:val="0"/>
          <w:numId w:val="3"/>
        </w:numPr>
        <w:spacing w:after="80"/>
      </w:pPr>
      <w:r>
        <w:t xml:space="preserve">Mobile-responsive web interface for site supervisors; no native mobile app in Phase 1.</w:t>
      </w:r>
    </w:p>
    <w:p>
      <w:pPr>
        <w:pStyle w:val="ListParagraph"/>
        <w:numPr>
          <w:ilvl w:val="0"/>
          <w:numId w:val="3"/>
        </w:numPr>
        <w:spacing w:after="80"/>
      </w:pPr>
      <w:r>
        <w:t xml:space="preserve">Maximum three clicks from contract dashboard to any core function.</w:t>
      </w:r>
    </w:p>
    <w:p>
      <w:pPr>
        <w:pStyle w:val="Heading2"/>
        <w:spacing w:after="140" w:before="280"/>
      </w:pPr>
      <w:r>
        <w:t xml:space="preserve">4.9 Data Portability</w:t>
      </w:r>
    </w:p>
    <w:p>
      <w:pPr>
        <w:pStyle w:val="ListParagraph"/>
        <w:numPr>
          <w:ilvl w:val="0"/>
          <w:numId w:val="3"/>
        </w:numPr>
        <w:spacing w:after="80"/>
      </w:pPr>
      <w:r>
        <w:t xml:space="preserve">All contract data — native documents, original .eml files, structured metadata, audit log, registers, and diary entries — must be exportable in open, non-proprietary formats on request of the Contract Owner or an authorized administrator.</w:t>
      </w:r>
    </w:p>
    <w:p>
      <w:pPr>
        <w:pStyle w:val="ListParagraph"/>
        <w:numPr>
          <w:ilvl w:val="0"/>
          <w:numId w:val="3"/>
        </w:numPr>
        <w:spacing w:after="80"/>
      </w:pPr>
      <w:r>
        <w:rPr>
          <w:b/>
          <w:bCs/>
        </w:rPr>
        <w:t xml:space="preserve">Export scope</w:t>
      </w:r>
      <w:r>
        <w:t xml:space="preserve"> — Native files in their original format, structured data in JSON or CSV, audit log as CSV with immutability hash, and a human-readable manifest describing the contents of the export.</w:t>
      </w:r>
    </w:p>
    <w:p>
      <w:pPr>
        <w:pStyle w:val="ListParagraph"/>
        <w:numPr>
          <w:ilvl w:val="0"/>
          <w:numId w:val="3"/>
        </w:numPr>
        <w:spacing w:after="80"/>
      </w:pPr>
      <w:r>
        <w:rPr>
          <w:b/>
          <w:bCs/>
        </w:rPr>
        <w:t xml:space="preserve">Use cases</w:t>
      </w:r>
      <w:r>
        <w:t xml:space="preserve"> — Client-mandated handover at contract close, legal discovery or formal production, vendor transition, and client contract clauses requiring that contract data be returned or portable at project end (increasingly common in mining-sector contracts).</w:t>
      </w:r>
    </w:p>
    <w:p>
      <w:pPr>
        <w:pStyle w:val="ListParagraph"/>
        <w:numPr>
          <w:ilvl w:val="0"/>
          <w:numId w:val="3"/>
        </w:numPr>
        <w:spacing w:after="80"/>
      </w:pPr>
      <w:r>
        <w:rPr>
          <w:b/>
          <w:bCs/>
        </w:rPr>
        <w:t xml:space="preserve">Controls</w:t>
      </w:r>
      <w:r>
        <w:t xml:space="preserve"> — Export requests are logged in the audit trail; redactions are respected by default and removing them on export requires elevated permission and is logged separately.</w:t>
      </w:r>
    </w:p>
    <w:p>
      <w:r>
        <w:br w:type="page"/>
      </w:r>
    </w:p>
    <w:p>
      <w:pPr>
        <w:pStyle w:val="Heading1"/>
        <w:spacing w:after="180" w:before="360"/>
      </w:pPr>
      <w:r>
        <w:t xml:space="preserve">5. Data Architecture</w:t>
      </w:r>
    </w:p>
    <w:p>
      <w:pPr>
        <w:pStyle w:val="Heading2"/>
        <w:spacing w:after="140" w:before="280"/>
      </w:pPr>
      <w:r>
        <w:t xml:space="preserve">5.1 Core Entities</w:t>
      </w:r>
    </w:p>
    <w:p>
      <w:pPr>
        <w:pStyle w:val="ListParagraph"/>
        <w:numPr>
          <w:ilvl w:val="0"/>
          <w:numId w:val="3"/>
        </w:numPr>
        <w:spacing w:after="80"/>
      </w:pPr>
      <w:r>
        <w:rPr>
          <w:b/>
          <w:bCs/>
        </w:rPr>
        <w:t xml:space="preserve">Contract</w:t>
      </w:r>
      <w:r>
        <w:t xml:space="preserve"> — Top-level container; holds metadata, the project-designated email address, and references to all associated documents, emails, clauses, deadlines, contacts, risks, variations, claims, and diary entries.</w:t>
      </w:r>
    </w:p>
    <w:p>
      <w:pPr>
        <w:pStyle w:val="ListParagraph"/>
        <w:numPr>
          <w:ilvl w:val="0"/>
          <w:numId w:val="3"/>
        </w:numPr>
        <w:spacing w:after="80"/>
      </w:pPr>
      <w:r>
        <w:rPr>
          <w:b/>
          <w:bCs/>
        </w:rPr>
        <w:t xml:space="preserve">Document</w:t>
      </w:r>
      <w:r>
        <w:t xml:space="preserve"> — A file uploaded or ingested against a contract; maintains version history for revisable types.</w:t>
      </w:r>
    </w:p>
    <w:p>
      <w:pPr>
        <w:pStyle w:val="ListParagraph"/>
        <w:numPr>
          <w:ilvl w:val="0"/>
          <w:numId w:val="3"/>
        </w:numPr>
        <w:spacing w:after="80"/>
      </w:pPr>
      <w:r>
        <w:rPr>
          <w:b/>
          <w:bCs/>
        </w:rPr>
        <w:t xml:space="preserve">Email Message</w:t>
      </w:r>
      <w:r>
        <w:t xml:space="preserve"> — A parsed email with headers, body, attachments, thread grouping, and a preserved native .eml file.</w:t>
      </w:r>
    </w:p>
    <w:p>
      <w:pPr>
        <w:pStyle w:val="ListParagraph"/>
        <w:numPr>
          <w:ilvl w:val="0"/>
          <w:numId w:val="3"/>
        </w:numPr>
        <w:spacing w:after="80"/>
      </w:pPr>
      <w:r>
        <w:rPr>
          <w:b/>
          <w:bCs/>
        </w:rPr>
        <w:t xml:space="preserve">Attachment</w:t>
      </w:r>
      <w:r>
        <w:t xml:space="preserve"> — A file extracted from an email; linked to the email and, where applicable, to a versioned document.</w:t>
      </w:r>
    </w:p>
    <w:p>
      <w:pPr>
        <w:pStyle w:val="ListParagraph"/>
        <w:numPr>
          <w:ilvl w:val="0"/>
          <w:numId w:val="3"/>
        </w:numPr>
        <w:spacing w:after="80"/>
      </w:pPr>
      <w:r>
        <w:rPr>
          <w:b/>
          <w:bCs/>
        </w:rPr>
        <w:t xml:space="preserve">Clause</w:t>
      </w:r>
      <w:r>
        <w:t xml:space="preserve"> — A structured extraction from a contract document, with position reference (document, page, clause number) for citation.</w:t>
      </w:r>
    </w:p>
    <w:p>
      <w:pPr>
        <w:pStyle w:val="ListParagraph"/>
        <w:numPr>
          <w:ilvl w:val="0"/>
          <w:numId w:val="3"/>
        </w:numPr>
        <w:spacing w:after="80"/>
      </w:pPr>
      <w:r>
        <w:rPr>
          <w:b/>
          <w:bCs/>
        </w:rPr>
        <w:t xml:space="preserve">Deadline / Obligation</w:t>
      </w:r>
      <w:r>
        <w:t xml:space="preserve"> — A time-bound commitment extracted from a contract, with verification status and alert configuration.</w:t>
      </w:r>
    </w:p>
    <w:p>
      <w:pPr>
        <w:pStyle w:val="ListParagraph"/>
        <w:numPr>
          <w:ilvl w:val="0"/>
          <w:numId w:val="3"/>
        </w:numPr>
        <w:spacing w:after="80"/>
      </w:pPr>
      <w:r>
        <w:rPr>
          <w:b/>
          <w:bCs/>
        </w:rPr>
        <w:t xml:space="preserve">Contact</w:t>
      </w:r>
      <w:r>
        <w:t xml:space="preserve"> — A person or organization involved in the contract, with authority level.</w:t>
      </w:r>
    </w:p>
    <w:p>
      <w:pPr>
        <w:pStyle w:val="ListParagraph"/>
        <w:numPr>
          <w:ilvl w:val="0"/>
          <w:numId w:val="3"/>
        </w:numPr>
        <w:spacing w:after="80"/>
      </w:pPr>
      <w:r>
        <w:rPr>
          <w:b/>
          <w:bCs/>
        </w:rPr>
        <w:t xml:space="preserve">Risk, Variation, Claim, Diary Entry, Interpretation, Checklist Item, Lesson Learned</w:t>
      </w:r>
      <w:r>
        <w:t xml:space="preserve"> — Lifecycle entities introduced in Phase 2 and 3.</w:t>
      </w:r>
    </w:p>
    <w:p>
      <w:pPr>
        <w:pStyle w:val="ListParagraph"/>
        <w:numPr>
          <w:ilvl w:val="0"/>
          <w:numId w:val="3"/>
        </w:numPr>
        <w:spacing w:after="80"/>
      </w:pPr>
      <w:r>
        <w:rPr>
          <w:b/>
          <w:bCs/>
        </w:rPr>
        <w:t xml:space="preserve">User, Role, Permission</w:t>
      </w:r>
      <w:r>
        <w:t xml:space="preserve"> — Identity and authorization entities.</w:t>
      </w:r>
    </w:p>
    <w:p>
      <w:pPr>
        <w:pStyle w:val="ListParagraph"/>
        <w:numPr>
          <w:ilvl w:val="0"/>
          <w:numId w:val="3"/>
        </w:numPr>
        <w:spacing w:after="80"/>
      </w:pPr>
      <w:r>
        <w:rPr>
          <w:b/>
          <w:bCs/>
        </w:rPr>
        <w:t xml:space="preserve">Audit Event</w:t>
      </w:r>
      <w:r>
        <w:t xml:space="preserve"> — Immutable log record.</w:t>
      </w:r>
    </w:p>
    <w:p>
      <w:pPr>
        <w:pStyle w:val="Heading2"/>
        <w:spacing w:after="140" w:before="280"/>
      </w:pPr>
      <w:r>
        <w:t xml:space="preserve">5.1b Entity-Relationship Model</w:t>
      </w:r>
    </w:p>
    <w:p>
      <w:pPr>
        <w:spacing w:after="140"/>
      </w:pPr>
      <w:r>
        <w:t xml:space="preserve">The following table defines how core entities relate. This makes the data model explicit for developers and eliminates ambiguity about cardinality, ownership, and lifecycle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40"/>
        <w:gridCol w:w="2000"/>
        <w:gridCol w:w="3020"/>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Parent Entity</w:t>
            </w:r>
          </w:p>
        </w:tc>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Child Entity</w:t>
            </w:r>
          </w:p>
        </w:tc>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Relationship</w:t>
            </w:r>
          </w:p>
        </w:tc>
        <w:tc>
          <w:tcPr>
            <w:tcW w:type="dxa" w:w="30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Notes</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Contract</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Document</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1-to-many</w:t>
            </w:r>
          </w:p>
        </w:tc>
        <w:tc>
          <w:tcPr>
            <w:tcW w:type="dxa" w:w="30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All documents are scoped to exactly one contract (in Phase 1–3).</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Contract</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Email Message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1-to-many</w:t>
            </w:r>
          </w:p>
        </w:tc>
        <w:tc>
          <w:tcPr>
            <w:tcW w:type="dxa" w:w="30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All emails arrive via the project-designated address.</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Contract</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Clause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1-to-many</w:t>
            </w:r>
          </w:p>
        </w:tc>
        <w:tc>
          <w:tcPr>
            <w:tcW w:type="dxa" w:w="30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Clauses extracted from contract documents and amendments.</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Contract</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Obligation / Deadline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1-to-many</w:t>
            </w:r>
          </w:p>
        </w:tc>
        <w:tc>
          <w:tcPr>
            <w:tcW w:type="dxa" w:w="30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Each obligation cites the clause it derives from.</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Contract</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Contact</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1-to-many</w:t>
            </w:r>
          </w:p>
        </w:tc>
        <w:tc>
          <w:tcPr>
            <w:tcW w:type="dxa" w:w="30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With authority level.</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Contract</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Risk, Variation, Claim, Diary Entry, Interpretation, Checklist Item, Lesson Learned</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1-to-many each</w:t>
            </w:r>
          </w:p>
        </w:tc>
        <w:tc>
          <w:tcPr>
            <w:tcW w:type="dxa" w:w="30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Lifecycle entities introduced Phase 2/3.</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Clause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Obligation / Deadline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1-to-many</w:t>
            </w:r>
          </w:p>
        </w:tc>
        <w:tc>
          <w:tcPr>
            <w:tcW w:type="dxa" w:w="30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 single clause can create multiple obligations.</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Clause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Clause (related)</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many-to-many</w:t>
            </w:r>
          </w:p>
        </w:tc>
        <w:tc>
          <w:tcPr>
            <w:tcW w:type="dxa" w:w="30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Cross-references, amendments, supersessions.</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Email Message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Attachment</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1-to-many</w:t>
            </w:r>
          </w:p>
        </w:tc>
        <w:tc>
          <w:tcPr>
            <w:tcW w:type="dxa" w:w="30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Attachments extracted, scanned, indexed.</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Attachment</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Document</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1-to-1 (optional)</w:t>
            </w:r>
          </w:p>
        </w:tc>
        <w:tc>
          <w:tcPr>
            <w:tcW w:type="dxa" w:w="30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If attachment is a revised drawing/spec, it links to the versioned Document.</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Email Message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Email Message (thread)</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many-to-many</w:t>
            </w:r>
          </w:p>
        </w:tc>
        <w:tc>
          <w:tcPr>
            <w:tcW w:type="dxa" w:w="30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Threaded via RFC 5322 message-ID / references.</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Claim</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Document, Email, Clause, Diary Entry</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many-to-many (evidence)</w:t>
            </w:r>
          </w:p>
        </w:tc>
        <w:tc>
          <w:tcPr>
            <w:tcW w:type="dxa" w:w="30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Evidence bundle linkage.</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Variation</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Claim</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1-to-many (optional)</w:t>
            </w:r>
          </w:p>
        </w:tc>
        <w:tc>
          <w:tcPr>
            <w:tcW w:type="dxa" w:w="30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 disputed variation may escalate to a claim.</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Obligation / Deadline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Action / Alert</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1-to-many</w:t>
            </w:r>
          </w:p>
        </w:tc>
        <w:tc>
          <w:tcPr>
            <w:tcW w:type="dxa" w:w="30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Scheduled notifications derived from obligation.</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User</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Contract Access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many-to-many</w:t>
            </w:r>
          </w:p>
        </w:tc>
        <w:tc>
          <w:tcPr>
            <w:tcW w:type="dxa" w:w="30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Role per contract; access list explicit.</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Every entity</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Audit Event</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1-to-many</w:t>
            </w:r>
          </w:p>
        </w:tc>
        <w:tc>
          <w:tcPr>
            <w:tcW w:type="dxa" w:w="30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All actions logged.</w:t>
            </w:r>
          </w:p>
        </w:tc>
      </w:tr>
    </w:tbl>
    <w:p>
      <w:pPr>
        <w:spacing w:after="140"/>
      </w:pPr>
      <w:r>
        <w:t xml:space="preserve">A full field-level data dictionary for each entity will be produced during detailed design. The table above is intended to anchor the architectural conversation and prevent ambiguity about entity ownership.</w:t>
      </w:r>
    </w:p>
    <w:p>
      <w:pPr>
        <w:pStyle w:val="Heading2"/>
        <w:spacing w:after="140" w:before="280"/>
      </w:pPr>
      <w:r>
        <w:t xml:space="preserve">5.2 Storage Approach</w:t>
      </w:r>
    </w:p>
    <w:p>
      <w:pPr>
        <w:pStyle w:val="ListParagraph"/>
        <w:numPr>
          <w:ilvl w:val="0"/>
          <w:numId w:val="3"/>
        </w:numPr>
        <w:spacing w:after="80"/>
      </w:pPr>
      <w:r>
        <w:rPr>
          <w:b/>
          <w:bCs/>
        </w:rPr>
        <w:t xml:space="preserve">Object storage (Azure Blob Storage)</w:t>
      </w:r>
      <w:r>
        <w:t xml:space="preserve"> — Native files (original PDFs, DWGs, .eml files, attachments) stored with encryption and content-addressed hashes for integrity verification.</w:t>
      </w:r>
    </w:p>
    <w:p>
      <w:pPr>
        <w:pStyle w:val="ListParagraph"/>
        <w:numPr>
          <w:ilvl w:val="0"/>
          <w:numId w:val="3"/>
        </w:numPr>
        <w:spacing w:after="80"/>
      </w:pPr>
      <w:r>
        <w:rPr>
          <w:b/>
          <w:bCs/>
        </w:rPr>
        <w:t xml:space="preserve">Relational database (Azure SQL or PostgreSQL)</w:t>
      </w:r>
      <w:r>
        <w:t xml:space="preserve"> — Structured entities (contracts, users, deadlines, claims, audit log) for transactional integrity.</w:t>
      </w:r>
    </w:p>
    <w:p>
      <w:pPr>
        <w:pStyle w:val="ListParagraph"/>
        <w:numPr>
          <w:ilvl w:val="0"/>
          <w:numId w:val="3"/>
        </w:numPr>
        <w:spacing w:after="80"/>
      </w:pPr>
      <w:r>
        <w:rPr>
          <w:b/>
          <w:bCs/>
        </w:rPr>
        <w:t xml:space="preserve">Vector database</w:t>
      </w:r>
      <w:r>
        <w:t xml:space="preserve"> — Document chunks, email bodies, and clause extractions embedded and stored for semantic retrieval. Each contract maintains a logically isolated namespace.</w:t>
      </w:r>
    </w:p>
    <w:p>
      <w:pPr>
        <w:pStyle w:val="ListParagraph"/>
        <w:numPr>
          <w:ilvl w:val="0"/>
          <w:numId w:val="3"/>
        </w:numPr>
        <w:spacing w:after="80"/>
      </w:pPr>
      <w:r>
        <w:rPr>
          <w:b/>
          <w:bCs/>
        </w:rPr>
        <w:t xml:space="preserve">Full-text search index</w:t>
      </w:r>
      <w:r>
        <w:t xml:space="preserve"> — Parallel keyword index for precise term matching (clause numbers, drawing numbers, specific phrases).</w:t>
      </w:r>
    </w:p>
    <w:p>
      <w:pPr>
        <w:pStyle w:val="Heading2"/>
        <w:spacing w:after="140" w:before="280"/>
      </w:pPr>
      <w:r>
        <w:t xml:space="preserve">5.3 Document Chunking &amp; Indexing</w:t>
      </w:r>
    </w:p>
    <w:p>
      <w:pPr>
        <w:pStyle w:val="ListParagraph"/>
        <w:numPr>
          <w:ilvl w:val="0"/>
          <w:numId w:val="3"/>
        </w:numPr>
        <w:spacing w:after="80"/>
      </w:pPr>
      <w:r>
        <w:t xml:space="preserve">Hybrid chunking: structural chunking for contracts (by clause and sub-clause), page-based for drawings and specifications, semantic for narrative documents.</w:t>
      </w:r>
    </w:p>
    <w:p>
      <w:pPr>
        <w:pStyle w:val="ListParagraph"/>
        <w:numPr>
          <w:ilvl w:val="0"/>
          <w:numId w:val="3"/>
        </w:numPr>
        <w:spacing w:after="80"/>
      </w:pPr>
      <w:r>
        <w:t xml:space="preserve">Each chunk carries metadata linking back to source document, page, clause number, and position, enabling precise citation.</w:t>
      </w:r>
    </w:p>
    <w:p>
      <w:pPr>
        <w:pStyle w:val="ListParagraph"/>
        <w:numPr>
          <w:ilvl w:val="0"/>
          <w:numId w:val="3"/>
        </w:numPr>
        <w:spacing w:after="80"/>
      </w:pPr>
      <w:r>
        <w:t xml:space="preserve">Chunks are re-indexed when a parent document is superseded; superseded chunks marked as historical but remain retrievable for audit.</w:t>
      </w:r>
    </w:p>
    <w:p>
      <w:pPr>
        <w:pStyle w:val="Heading2"/>
        <w:spacing w:after="140" w:before="280"/>
      </w:pPr>
      <w:r>
        <w:t xml:space="preserve">5.4 Email Storage</w:t>
      </w:r>
    </w:p>
    <w:p>
      <w:pPr>
        <w:pStyle w:val="ListParagraph"/>
        <w:numPr>
          <w:ilvl w:val="0"/>
          <w:numId w:val="3"/>
        </w:numPr>
        <w:spacing w:after="80"/>
      </w:pPr>
      <w:r>
        <w:t xml:space="preserve">Original .eml preserved as the evidentiary artifact.</w:t>
      </w:r>
    </w:p>
    <w:p>
      <w:pPr>
        <w:pStyle w:val="ListParagraph"/>
        <w:numPr>
          <w:ilvl w:val="0"/>
          <w:numId w:val="3"/>
        </w:numPr>
        <w:spacing w:after="80"/>
      </w:pPr>
      <w:r>
        <w:t xml:space="preserve">Parsed representation (headers, body, attachments, thread ID) stored in the relational and vector stores.</w:t>
      </w:r>
    </w:p>
    <w:p>
      <w:pPr>
        <w:pStyle w:val="ListParagraph"/>
        <w:numPr>
          <w:ilvl w:val="0"/>
          <w:numId w:val="3"/>
        </w:numPr>
        <w:spacing w:after="80"/>
      </w:pPr>
      <w:r>
        <w:t xml:space="preserve">Attachments stored as Documents with a linkage record back to the originating Email.</w:t>
      </w:r>
    </w:p>
    <w:p>
      <w:pPr>
        <w:pStyle w:val="ListParagraph"/>
        <w:numPr>
          <w:ilvl w:val="0"/>
          <w:numId w:val="3"/>
        </w:numPr>
        <w:spacing w:after="80"/>
      </w:pPr>
      <w:r>
        <w:t xml:space="preserve">Thread reconstruction via RFC 5322 message-ID and references headers.</w:t>
      </w:r>
    </w:p>
    <w:p>
      <w:pPr>
        <w:pStyle w:val="Heading2"/>
        <w:spacing w:after="140" w:before="280"/>
      </w:pPr>
      <w:r>
        <w:t xml:space="preserve">5.5 Revision Tracking</w:t>
      </w:r>
    </w:p>
    <w:p>
      <w:pPr>
        <w:pStyle w:val="ListParagraph"/>
        <w:numPr>
          <w:ilvl w:val="0"/>
          <w:numId w:val="3"/>
        </w:numPr>
        <w:spacing w:after="80"/>
      </w:pPr>
      <w:r>
        <w:t xml:space="preserve">Documents with revision-aware types (drawings, specs, amendments) carry an explicit revision chain.</w:t>
      </w:r>
    </w:p>
    <w:p>
      <w:pPr>
        <w:pStyle w:val="ListParagraph"/>
        <w:numPr>
          <w:ilvl w:val="0"/>
          <w:numId w:val="3"/>
        </w:numPr>
        <w:spacing w:after="80"/>
      </w:pPr>
      <w:r>
        <w:t xml:space="preserve">Prior revisions remain queryable but are marked as superseded in search results and AI responses.</w:t>
      </w:r>
    </w:p>
    <w:p>
      <w:pPr>
        <w:pStyle w:val="ListParagraph"/>
        <w:numPr>
          <w:ilvl w:val="0"/>
          <w:numId w:val="3"/>
        </w:numPr>
        <w:spacing w:after="80"/>
      </w:pPr>
      <w:r>
        <w:t xml:space="preserve">The AI layer prefers current revisions unless the user explicitly requests historical context.</w:t>
      </w:r>
    </w:p>
    <w:p>
      <w:pPr>
        <w:pStyle w:val="Heading2"/>
        <w:spacing w:after="140" w:before="280"/>
      </w:pPr>
      <w:r>
        <w:t xml:space="preserve">5.5b Document Authoritativeness Rule</w:t>
      </w:r>
    </w:p>
    <w:p>
      <w:pPr>
        <w:pStyle w:val="ListParagraph"/>
        <w:numPr>
          <w:ilvl w:val="0"/>
          <w:numId w:val="3"/>
        </w:numPr>
        <w:spacing w:after="80"/>
      </w:pPr>
      <w:r>
        <w:t xml:space="preserve">Where the same file exists as a versioned Document (uploaded through the contract document library) and as an Attachment to an ingested email, the versioned Document is the authoritative source for AI retrieval and citation.</w:t>
      </w:r>
    </w:p>
    <w:p>
      <w:pPr>
        <w:pStyle w:val="ListParagraph"/>
        <w:numPr>
          <w:ilvl w:val="0"/>
          <w:numId w:val="3"/>
        </w:numPr>
        <w:spacing w:after="80"/>
      </w:pPr>
      <w:r>
        <w:t xml:space="preserve">When an email attachment is identified (by hash or by AI-assisted matching) as a copy or revision of a managed Document, the attachment is linked to the Document record and AI retrieval draws from the Document. The original attachment remains preserved inside the .eml for evidentiary integrity.</w:t>
      </w:r>
    </w:p>
    <w:p>
      <w:pPr>
        <w:pStyle w:val="ListParagraph"/>
        <w:numPr>
          <w:ilvl w:val="0"/>
          <w:numId w:val="3"/>
        </w:numPr>
        <w:spacing w:after="80"/>
      </w:pPr>
      <w:r>
        <w:t xml:space="preserve">Where an attachment is not matched to a Document (e.g., a novel client-supplied document arriving by email), it is indexed directly and, if subsequently uploaded as a formal Document, the two records are reconciled and the Document becomes authoritative.</w:t>
      </w:r>
    </w:p>
    <w:p>
      <w:pPr>
        <w:pStyle w:val="ListParagraph"/>
        <w:numPr>
          <w:ilvl w:val="0"/>
          <w:numId w:val="3"/>
        </w:numPr>
        <w:spacing w:after="80"/>
      </w:pPr>
      <w:r>
        <w:t xml:space="preserve">This rule prevents AI responses citing a superseded attachment from a months-old email when the current revision is managed in the document library.</w:t>
      </w:r>
    </w:p>
    <w:p>
      <w:pPr>
        <w:pStyle w:val="Heading2"/>
        <w:spacing w:after="140" w:before="280"/>
      </w:pPr>
      <w:r>
        <w:t xml:space="preserve">5.6 Data Retention &amp; Deletion</w:t>
      </w:r>
    </w:p>
    <w:p>
      <w:pPr>
        <w:pStyle w:val="ListParagraph"/>
        <w:numPr>
          <w:ilvl w:val="0"/>
          <w:numId w:val="3"/>
        </w:numPr>
        <w:spacing w:after="80"/>
      </w:pPr>
      <w:r>
        <w:t xml:space="preserve">Contracts remain active for the life of the contract plus a defined post-closeout period (recommended: 15 years).</w:t>
      </w:r>
    </w:p>
    <w:p>
      <w:pPr>
        <w:pStyle w:val="ListParagraph"/>
        <w:numPr>
          <w:ilvl w:val="0"/>
          <w:numId w:val="3"/>
        </w:numPr>
        <w:spacing w:after="80"/>
      </w:pPr>
      <w:r>
        <w:t xml:space="preserve">Soft deletion for a quarantine period before permanent deletion, with audit trail.</w:t>
      </w:r>
    </w:p>
    <w:p>
      <w:pPr>
        <w:pStyle w:val="ListParagraph"/>
        <w:numPr>
          <w:ilvl w:val="0"/>
          <w:numId w:val="3"/>
        </w:numPr>
        <w:spacing w:after="80"/>
      </w:pPr>
      <w:r>
        <w:t xml:space="preserve">Legal hold capability freezes deletion on a contract under dispute.</w:t>
      </w:r>
    </w:p>
    <w:p>
      <w:r>
        <w:br w:type="page"/>
      </w:r>
    </w:p>
    <w:p>
      <w:pPr>
        <w:pStyle w:val="Heading1"/>
        <w:spacing w:after="180" w:before="360"/>
      </w:pPr>
      <w:r>
        <w:t xml:space="preserve">6. AI / LLM Layer</w:t>
      </w:r>
    </w:p>
    <w:p>
      <w:pPr>
        <w:pStyle w:val="Heading2"/>
        <w:spacing w:after="140" w:before="280"/>
      </w:pPr>
      <w:r>
        <w:t xml:space="preserve">6.1 Architecture</w:t>
      </w:r>
    </w:p>
    <w:p>
      <w:pPr>
        <w:pStyle w:val="ListParagraph"/>
        <w:numPr>
          <w:ilvl w:val="0"/>
          <w:numId w:val="3"/>
        </w:numPr>
        <w:spacing w:after="80"/>
      </w:pPr>
      <w:r>
        <w:t xml:space="preserve">Retrieval-Augmented Generation (RAG): user queries retrieve the most relevant chunks from the contract's vector and keyword indexes, passed to a large language model along with the query for synthesis.</w:t>
      </w:r>
    </w:p>
    <w:p>
      <w:pPr>
        <w:pStyle w:val="ListParagraph"/>
        <w:numPr>
          <w:ilvl w:val="0"/>
          <w:numId w:val="3"/>
        </w:numPr>
        <w:spacing w:after="80"/>
      </w:pPr>
      <w:r>
        <w:t xml:space="preserve">Retrieval is scoped to the contract in context by default; cross-contract retrieval is a Phase 3 feature and is explicitly opt-in with appropriate permissions.</w:t>
      </w:r>
    </w:p>
    <w:p>
      <w:pPr>
        <w:pStyle w:val="ListParagraph"/>
        <w:numPr>
          <w:ilvl w:val="0"/>
          <w:numId w:val="3"/>
        </w:numPr>
        <w:spacing w:after="80"/>
      </w:pPr>
      <w:r>
        <w:t xml:space="preserve">The LLM is prompted to answer only from retrieved context and to refuse or flag uncertainty when context is insufficient.</w:t>
      </w:r>
    </w:p>
    <w:p>
      <w:pPr>
        <w:pStyle w:val="Heading2"/>
        <w:spacing w:after="140" w:before="280"/>
      </w:pPr>
      <w:r>
        <w:t xml:space="preserve">6.2 Model Selection</w:t>
      </w:r>
    </w:p>
    <w:p>
      <w:pPr>
        <w:pStyle w:val="ListParagraph"/>
        <w:numPr>
          <w:ilvl w:val="0"/>
          <w:numId w:val="3"/>
        </w:numPr>
        <w:spacing w:after="80"/>
      </w:pPr>
      <w:r>
        <w:t xml:space="preserve">Primary model: Claude (Anthropic) via API, selected for long-context reasoning, citation discipline, and document analysis. Specific model (Claude Opus for drafting, Sonnet for routine Q&amp;A) chosen per use case to balance cost and performance.</w:t>
      </w:r>
    </w:p>
    <w:p>
      <w:pPr>
        <w:pStyle w:val="ListParagraph"/>
        <w:numPr>
          <w:ilvl w:val="0"/>
          <w:numId w:val="3"/>
        </w:numPr>
        <w:spacing w:after="80"/>
      </w:pPr>
      <w:r>
        <w:t xml:space="preserve">Model selection subject to Technica's data processing and confidentiality requirements; zero-data-retention configurations used where available.</w:t>
      </w:r>
    </w:p>
    <w:p>
      <w:pPr>
        <w:pStyle w:val="ListParagraph"/>
        <w:numPr>
          <w:ilvl w:val="0"/>
          <w:numId w:val="3"/>
        </w:numPr>
        <w:spacing w:after="80"/>
      </w:pPr>
      <w:r>
        <w:t xml:space="preserve">The LLM is abstracted behind an internal interface so secondary models can be swapped in for specific tasks without application rework.</w:t>
      </w:r>
    </w:p>
    <w:p>
      <w:pPr>
        <w:pStyle w:val="ListParagraph"/>
        <w:numPr>
          <w:ilvl w:val="0"/>
          <w:numId w:val="3"/>
        </w:numPr>
        <w:spacing w:after="80"/>
      </w:pPr>
      <w:r>
        <w:rPr>
          <w:b/>
          <w:bCs/>
        </w:rPr>
        <w:t xml:space="preserve">Multi-language support</w:t>
      </w:r>
      <w:r>
        <w:t xml:space="preserve"> — Where contracts are executed in French (Quebec operations, certain federal contracts) or Spanish (potential Latin American mining work), the AI layer must handle non-English contract content natively: embedding, retrieval, extraction, and synthesis in the source language, with responses produced in the requester’s preferred language. Language detection is applied per document and per query. Embedding model selection must support the target languages without quality regression.</w:t>
      </w:r>
    </w:p>
    <w:p>
      <w:pPr>
        <w:pStyle w:val="Heading2"/>
        <w:spacing w:after="140" w:before="280"/>
      </w:pPr>
      <w:r>
        <w:t xml:space="preserve">6.3 AI Capabilities</w:t>
      </w:r>
    </w:p>
    <w:p>
      <w:pPr>
        <w:spacing w:after="140"/>
      </w:pPr>
      <w:r>
        <w:t xml:space="preserve">The AI layer is organized into distinct capabilities, each with its own prompt templates, inputs, outputs, and quality controls. Every capability is versioned, owned, and individually testable. All capabilities cite their sources and signal confidence.</w:t>
      </w:r>
    </w:p>
    <w:p>
      <w:pPr>
        <w:pStyle w:val="Heading3"/>
        <w:spacing w:after="120" w:before="200"/>
      </w:pPr>
      <w:r>
        <w:t xml:space="preserve">6.3.1 Retrieval</w:t>
      </w:r>
    </w:p>
    <w:p>
      <w:pPr>
        <w:pStyle w:val="ListParagraph"/>
        <w:numPr>
          <w:ilvl w:val="0"/>
          <w:numId w:val="3"/>
        </w:numPr>
        <w:spacing w:after="80"/>
      </w:pPr>
      <w:r>
        <w:t xml:space="preserve">Hybrid semantic (vector embedding) and keyword (full-text) search over the contract's document, email, and clause indexes.</w:t>
      </w:r>
    </w:p>
    <w:p>
      <w:pPr>
        <w:pStyle w:val="ListParagraph"/>
        <w:numPr>
          <w:ilvl w:val="0"/>
          <w:numId w:val="3"/>
        </w:numPr>
        <w:spacing w:after="80"/>
      </w:pPr>
      <w:r>
        <w:t xml:space="preserve">Retrieval scoped to the active contract by default; cross-contract retrieval is Phase 3 and explicitly opt-in.</w:t>
      </w:r>
    </w:p>
    <w:p>
      <w:pPr>
        <w:pStyle w:val="ListParagraph"/>
        <w:numPr>
          <w:ilvl w:val="0"/>
          <w:numId w:val="3"/>
        </w:numPr>
        <w:spacing w:after="80"/>
      </w:pPr>
      <w:r>
        <w:t xml:space="preserve">Output: ranked chunks with source metadata (document, page, clause, email message-ID) ready for synthesis or direct display.</w:t>
      </w:r>
    </w:p>
    <w:p>
      <w:pPr>
        <w:pStyle w:val="Heading3"/>
        <w:spacing w:after="120" w:before="200"/>
      </w:pPr>
      <w:r>
        <w:t xml:space="preserve">6.3.2 Clause &amp; Obligation Extraction</w:t>
      </w:r>
    </w:p>
    <w:p>
      <w:pPr>
        <w:pStyle w:val="ListParagraph"/>
        <w:numPr>
          <w:ilvl w:val="0"/>
          <w:numId w:val="3"/>
        </w:numPr>
        <w:spacing w:after="80"/>
      </w:pPr>
      <w:r>
        <w:t xml:space="preserve">Parses contract documents and amendments into structured clauses with position references.</w:t>
      </w:r>
    </w:p>
    <w:p>
      <w:pPr>
        <w:pStyle w:val="ListParagraph"/>
        <w:numPr>
          <w:ilvl w:val="0"/>
          <w:numId w:val="3"/>
        </w:numPr>
        <w:spacing w:after="80"/>
      </w:pPr>
      <w:r>
        <w:t xml:space="preserve">Maps each clause to its implied obligations: required actions, owners, conditions, and deadlines.</w:t>
      </w:r>
    </w:p>
    <w:p>
      <w:pPr>
        <w:pStyle w:val="ListParagraph"/>
        <w:numPr>
          <w:ilvl w:val="0"/>
          <w:numId w:val="3"/>
        </w:numPr>
        <w:spacing w:after="80"/>
      </w:pPr>
      <w:r>
        <w:t xml:space="preserve">Produces the authoritative input to the Notice &amp; Deadline Tracker (Section 3.5) and the Contract Summary (Section 3.4).</w:t>
      </w:r>
    </w:p>
    <w:p>
      <w:pPr>
        <w:pStyle w:val="ListParagraph"/>
        <w:numPr>
          <w:ilvl w:val="0"/>
          <w:numId w:val="3"/>
        </w:numPr>
        <w:spacing w:after="80"/>
      </w:pPr>
      <w:r>
        <w:t xml:space="preserve">All extracted obligations require human verification before becoming trusted references.</w:t>
      </w:r>
    </w:p>
    <w:p>
      <w:pPr>
        <w:pStyle w:val="Heading3"/>
        <w:spacing w:after="120" w:before="200"/>
      </w:pPr>
      <w:r>
        <w:t xml:space="preserve">6.3.3 Deadline Detection</w:t>
      </w:r>
    </w:p>
    <w:p>
      <w:pPr>
        <w:pStyle w:val="ListParagraph"/>
        <w:numPr>
          <w:ilvl w:val="0"/>
          <w:numId w:val="3"/>
        </w:numPr>
        <w:spacing w:after="80"/>
      </w:pPr>
      <w:r>
        <w:t xml:space="preserve">Identifies time-bound obligations from contracts, amendments, correspondence, meeting minutes, and permits.</w:t>
      </w:r>
    </w:p>
    <w:p>
      <w:pPr>
        <w:pStyle w:val="ListParagraph"/>
        <w:numPr>
          <w:ilvl w:val="0"/>
          <w:numId w:val="3"/>
        </w:numPr>
        <w:spacing w:after="80"/>
      </w:pPr>
      <w:r>
        <w:t xml:space="preserve">Normalizes expressions like "within 14 days of becoming aware" into absolute or conditional dates.</w:t>
      </w:r>
    </w:p>
    <w:p>
      <w:pPr>
        <w:pStyle w:val="ListParagraph"/>
        <w:numPr>
          <w:ilvl w:val="0"/>
          <w:numId w:val="3"/>
        </w:numPr>
        <w:spacing w:after="80"/>
      </w:pPr>
      <w:r>
        <w:t xml:space="preserve">Tags each deadline with trigger conditions, owner, and alert lead time.</w:t>
      </w:r>
    </w:p>
    <w:p>
      <w:pPr>
        <w:pStyle w:val="ListParagraph"/>
        <w:numPr>
          <w:ilvl w:val="0"/>
          <w:numId w:val="3"/>
        </w:numPr>
        <w:spacing w:after="80"/>
      </w:pPr>
      <w:r>
        <w:t xml:space="preserve">Human verification required before activation.</w:t>
      </w:r>
    </w:p>
    <w:p>
      <w:pPr>
        <w:pStyle w:val="Heading3"/>
        <w:spacing w:after="120" w:before="200"/>
      </w:pPr>
      <w:r>
        <w:t xml:space="preserve">6.3.4 Risk Flagging (Phase 2)</w:t>
      </w:r>
    </w:p>
    <w:p>
      <w:pPr>
        <w:pStyle w:val="ListParagraph"/>
        <w:numPr>
          <w:ilvl w:val="0"/>
          <w:numId w:val="3"/>
        </w:numPr>
        <w:spacing w:after="80"/>
      </w:pPr>
      <w:r>
        <w:t xml:space="preserve">Continuously monitors incoming emails, documents, and diary entries for events that may create entitlement, liability, or notice obligations.</w:t>
      </w:r>
    </w:p>
    <w:p>
      <w:pPr>
        <w:pStyle w:val="ListParagraph"/>
        <w:numPr>
          <w:ilvl w:val="0"/>
          <w:numId w:val="3"/>
        </w:numPr>
        <w:spacing w:after="80"/>
      </w:pPr>
      <w:r>
        <w:t xml:space="preserve">Generates proactive flags with reasoning, cited sources, and recommended next actions (see Section 3.36).</w:t>
      </w:r>
    </w:p>
    <w:p>
      <w:pPr>
        <w:pStyle w:val="ListParagraph"/>
        <w:numPr>
          <w:ilvl w:val="0"/>
          <w:numId w:val="3"/>
        </w:numPr>
        <w:spacing w:after="80"/>
      </w:pPr>
      <w:r>
        <w:t xml:space="preserve">Includes scope-creep detection on drawing revisions and change-in-circumstance detection on site instructions.</w:t>
      </w:r>
    </w:p>
    <w:p>
      <w:pPr>
        <w:pStyle w:val="ListParagraph"/>
        <w:numPr>
          <w:ilvl w:val="0"/>
          <w:numId w:val="3"/>
        </w:numPr>
        <w:spacing w:after="80"/>
      </w:pPr>
      <w:r>
        <w:t xml:space="preserve">Flag sensitivity is tunable per contract type.</w:t>
      </w:r>
    </w:p>
    <w:p>
      <w:pPr>
        <w:pStyle w:val="Heading3"/>
        <w:spacing w:after="120" w:before="200"/>
      </w:pPr>
      <w:r>
        <w:t xml:space="preserve">6.3.5 Drafting</w:t>
      </w:r>
    </w:p>
    <w:p>
      <w:pPr>
        <w:pStyle w:val="ListParagraph"/>
        <w:numPr>
          <w:ilvl w:val="0"/>
          <w:numId w:val="3"/>
        </w:numPr>
        <w:spacing w:after="80"/>
      </w:pPr>
      <w:r>
        <w:t xml:space="preserve">Generates first drafts of claims, RFIs, delay notices, variation requests, and responses.</w:t>
      </w:r>
    </w:p>
    <w:p>
      <w:pPr>
        <w:pStyle w:val="ListParagraph"/>
        <w:numPr>
          <w:ilvl w:val="0"/>
          <w:numId w:val="3"/>
        </w:numPr>
        <w:spacing w:after="80"/>
      </w:pPr>
      <w:r>
        <w:t xml:space="preserve">Every draft cites the source clauses, emails, and documents supporting each assertion.</w:t>
      </w:r>
    </w:p>
    <w:p>
      <w:pPr>
        <w:pStyle w:val="ListParagraph"/>
        <w:numPr>
          <w:ilvl w:val="0"/>
          <w:numId w:val="3"/>
        </w:numPr>
        <w:spacing w:after="80"/>
      </w:pPr>
      <w:r>
        <w:t xml:space="preserve">Drafts are never submitted directly — they require human review, editing, and explicit approval before any outbound action.</w:t>
      </w:r>
    </w:p>
    <w:p>
      <w:pPr>
        <w:pStyle w:val="ListParagraph"/>
        <w:numPr>
          <w:ilvl w:val="0"/>
          <w:numId w:val="3"/>
        </w:numPr>
        <w:spacing w:after="80"/>
      </w:pPr>
      <w:r>
        <w:t xml:space="preserve">Drafting capability respects the template library and enforced naming/metadata conventions.</w:t>
      </w:r>
    </w:p>
    <w:p>
      <w:pPr>
        <w:pStyle w:val="Heading3"/>
        <w:spacing w:after="120" w:before="200"/>
      </w:pPr>
      <w:r>
        <w:t xml:space="preserve">6.3.6 Synthesis &amp; Q&amp;A</w:t>
      </w:r>
    </w:p>
    <w:p>
      <w:pPr>
        <w:pStyle w:val="ListParagraph"/>
        <w:numPr>
          <w:ilvl w:val="0"/>
          <w:numId w:val="3"/>
        </w:numPr>
        <w:spacing w:after="80"/>
      </w:pPr>
      <w:r>
        <w:t xml:space="preserve">Answers natural language questions scoped to the active contract with mandatory inline citations.</w:t>
      </w:r>
    </w:p>
    <w:p>
      <w:pPr>
        <w:pStyle w:val="ListParagraph"/>
        <w:numPr>
          <w:ilvl w:val="0"/>
          <w:numId w:val="3"/>
        </w:numPr>
        <w:spacing w:after="80"/>
      </w:pPr>
      <w:r>
        <w:t xml:space="preserve">Includes the in-scope / out-of-scope determination, clause interpretation, and scenario analysis use cases.</w:t>
      </w:r>
    </w:p>
    <w:p>
      <w:pPr>
        <w:pStyle w:val="ListParagraph"/>
        <w:numPr>
          <w:ilvl w:val="0"/>
          <w:numId w:val="3"/>
        </w:numPr>
        <w:spacing w:after="80"/>
      </w:pPr>
      <w:r>
        <w:t xml:space="preserve">Refuses to answer or signals low confidence when retrieval context is insufficient; must indicate what information is missing rather than guess.</w:t>
      </w:r>
    </w:p>
    <w:p>
      <w:pPr>
        <w:pStyle w:val="Heading3"/>
        <w:spacing w:after="120" w:before="200"/>
      </w:pPr>
      <w:r>
        <w:t xml:space="preserve">6.3.7 Prompt Template Library</w:t>
      </w:r>
    </w:p>
    <w:p>
      <w:pPr>
        <w:spacing w:after="140"/>
      </w:pPr>
      <w:r>
        <w:t xml:space="preserve">Each capability above is implemented through a curated library of prompt templates with version history and named owners, covering at minimum:</w:t>
      </w:r>
    </w:p>
    <w:p>
      <w:pPr>
        <w:pStyle w:val="ListParagraph"/>
        <w:numPr>
          <w:ilvl w:val="0"/>
          <w:numId w:val="3"/>
        </w:numPr>
        <w:spacing w:after="80"/>
      </w:pPr>
      <w:r>
        <w:t xml:space="preserve">In-scope / out-of-scope analysis</w:t>
      </w:r>
    </w:p>
    <w:p>
      <w:pPr>
        <w:pStyle w:val="ListParagraph"/>
        <w:numPr>
          <w:ilvl w:val="0"/>
          <w:numId w:val="3"/>
        </w:numPr>
        <w:spacing w:after="80"/>
      </w:pPr>
      <w:r>
        <w:t xml:space="preserve">Delay claim analysis</w:t>
      </w:r>
    </w:p>
    <w:p>
      <w:pPr>
        <w:pStyle w:val="ListParagraph"/>
        <w:numPr>
          <w:ilvl w:val="0"/>
          <w:numId w:val="3"/>
        </w:numPr>
        <w:spacing w:after="80"/>
      </w:pPr>
      <w:r>
        <w:t xml:space="preserve">Claim drafting (Phase 2)</w:t>
      </w:r>
    </w:p>
    <w:p>
      <w:pPr>
        <w:pStyle w:val="ListParagraph"/>
        <w:numPr>
          <w:ilvl w:val="0"/>
          <w:numId w:val="3"/>
        </w:numPr>
        <w:spacing w:after="80"/>
      </w:pPr>
      <w:r>
        <w:t xml:space="preserve">Clause interpretation</w:t>
      </w:r>
    </w:p>
    <w:p>
      <w:pPr>
        <w:pStyle w:val="ListParagraph"/>
        <w:numPr>
          <w:ilvl w:val="0"/>
          <w:numId w:val="3"/>
        </w:numPr>
        <w:spacing w:after="80"/>
      </w:pPr>
      <w:r>
        <w:t xml:space="preserve">Contract summary generation</w:t>
      </w:r>
    </w:p>
    <w:p>
      <w:pPr>
        <w:pStyle w:val="ListParagraph"/>
        <w:numPr>
          <w:ilvl w:val="0"/>
          <w:numId w:val="3"/>
        </w:numPr>
        <w:spacing w:after="80"/>
      </w:pPr>
      <w:r>
        <w:t xml:space="preserve">Deadline extraction</w:t>
      </w:r>
    </w:p>
    <w:p>
      <w:pPr>
        <w:pStyle w:val="ListParagraph"/>
        <w:numPr>
          <w:ilvl w:val="0"/>
          <w:numId w:val="3"/>
        </w:numPr>
        <w:spacing w:after="80"/>
      </w:pPr>
      <w:r>
        <w:t xml:space="preserve">Proactive flag generation (Phase 2)</w:t>
      </w:r>
    </w:p>
    <w:p>
      <w:pPr>
        <w:pStyle w:val="ListParagraph"/>
        <w:numPr>
          <w:ilvl w:val="0"/>
          <w:numId w:val="3"/>
        </w:numPr>
        <w:spacing w:after="80"/>
      </w:pPr>
      <w:r>
        <w:t xml:space="preserve">Lessons-learned candidate generation (Phase 3)</w:t>
      </w:r>
    </w:p>
    <w:p>
      <w:pPr>
        <w:pStyle w:val="ListParagraph"/>
        <w:numPr>
          <w:ilvl w:val="0"/>
          <w:numId w:val="3"/>
        </w:numPr>
        <w:spacing w:after="80"/>
      </w:pPr>
      <w:r>
        <w:t xml:space="preserve">Contract review against Technica risk playbook (Phase 3)</w:t>
      </w:r>
    </w:p>
    <w:p>
      <w:pPr>
        <w:pStyle w:val="ListParagraph"/>
        <w:numPr>
          <w:ilvl w:val="0"/>
          <w:numId w:val="3"/>
        </w:numPr>
        <w:spacing w:after="80"/>
      </w:pPr>
      <w:r>
        <w:t xml:space="preserve">Devil's advocate counter-argument (Phase 3)</w:t>
      </w:r>
    </w:p>
    <w:p>
      <w:pPr>
        <w:pStyle w:val="Heading2"/>
        <w:spacing w:after="140" w:before="280"/>
      </w:pPr>
      <w:r>
        <w:t xml:space="preserve">6.4 Hallucination Safeguards</w:t>
      </w:r>
    </w:p>
    <w:p>
      <w:pPr>
        <w:pStyle w:val="ListParagraph"/>
        <w:numPr>
          <w:ilvl w:val="0"/>
          <w:numId w:val="3"/>
        </w:numPr>
        <w:spacing w:after="80"/>
      </w:pPr>
      <w:r>
        <w:rPr>
          <w:b/>
          <w:bCs/>
        </w:rPr>
        <w:t xml:space="preserve">Mandatory citations</w:t>
      </w:r>
      <w:r>
        <w:t xml:space="preserve"> — Every factual claim must carry a citation. Responses without citations are blocked.</w:t>
      </w:r>
    </w:p>
    <w:p>
      <w:pPr>
        <w:pStyle w:val="ListParagraph"/>
        <w:numPr>
          <w:ilvl w:val="0"/>
          <w:numId w:val="3"/>
        </w:numPr>
        <w:spacing w:after="80"/>
      </w:pPr>
      <w:r>
        <w:rPr>
          <w:b/>
          <w:bCs/>
        </w:rPr>
        <w:t xml:space="preserve">Citation verification</w:t>
      </w:r>
      <w:r>
        <w:t xml:space="preserve"> — A post-generation check confirms each cited chunk actually supports the claim; mismatches trigger a warning.</w:t>
      </w:r>
    </w:p>
    <w:p>
      <w:pPr>
        <w:pStyle w:val="ListParagraph"/>
        <w:numPr>
          <w:ilvl w:val="0"/>
          <w:numId w:val="3"/>
        </w:numPr>
        <w:spacing w:after="80"/>
      </w:pPr>
      <w:r>
        <w:rPr>
          <w:b/>
          <w:bCs/>
        </w:rPr>
        <w:t xml:space="preserve">Confidence signaling</w:t>
      </w:r>
      <w:r>
        <w:t xml:space="preserve"> — High / medium / low / insufficient context indicator on every response.</w:t>
      </w:r>
    </w:p>
    <w:p>
      <w:pPr>
        <w:pStyle w:val="ListParagraph"/>
        <w:numPr>
          <w:ilvl w:val="0"/>
          <w:numId w:val="3"/>
        </w:numPr>
        <w:spacing w:after="80"/>
      </w:pPr>
      <w:r>
        <w:rPr>
          <w:b/>
          <w:bCs/>
        </w:rPr>
        <w:t xml:space="preserve">Refusal on insufficient context</w:t>
      </w:r>
      <w:r>
        <w:t xml:space="preserve"> — The model says "the contract does not appear to address this" rather than guess.</w:t>
      </w:r>
    </w:p>
    <w:p>
      <w:pPr>
        <w:pStyle w:val="ListParagraph"/>
        <w:numPr>
          <w:ilvl w:val="0"/>
          <w:numId w:val="3"/>
        </w:numPr>
        <w:spacing w:after="80"/>
      </w:pPr>
      <w:r>
        <w:rPr>
          <w:b/>
          <w:bCs/>
        </w:rPr>
        <w:t xml:space="preserve">Human verification gates</w:t>
      </w:r>
      <w:r>
        <w:t xml:space="preserve"> — AI-extracted contract summaries and deadlines require human approval before becoming trusted references.</w:t>
      </w:r>
    </w:p>
    <w:p>
      <w:pPr>
        <w:pStyle w:val="ListParagraph"/>
        <w:numPr>
          <w:ilvl w:val="0"/>
          <w:numId w:val="3"/>
        </w:numPr>
        <w:spacing w:after="80"/>
      </w:pPr>
      <w:r>
        <w:rPr>
          <w:b/>
          <w:bCs/>
        </w:rPr>
        <w:t xml:space="preserve">Feedback loop</w:t>
      </w:r>
      <w:r>
        <w:t xml:space="preserve"> — User feedback drives prompt refinement.</w:t>
      </w:r>
    </w:p>
    <w:p>
      <w:pPr>
        <w:pStyle w:val="Heading2"/>
        <w:spacing w:after="140" w:before="280"/>
      </w:pPr>
      <w:r>
        <w:t xml:space="preserve">6.5 Evaluation &amp; Quality Assurance</w:t>
      </w:r>
    </w:p>
    <w:p>
      <w:pPr>
        <w:pStyle w:val="ListParagraph"/>
        <w:numPr>
          <w:ilvl w:val="0"/>
          <w:numId w:val="3"/>
        </w:numPr>
        <w:spacing w:after="80"/>
      </w:pPr>
      <w:r>
        <w:t xml:space="preserve">Regression test set of representative queries with known answers, run on every material change to prompts, retrieval, or model version.</w:t>
      </w:r>
    </w:p>
    <w:p>
      <w:pPr>
        <w:pStyle w:val="ListParagraph"/>
        <w:numPr>
          <w:ilvl w:val="0"/>
          <w:numId w:val="3"/>
        </w:numPr>
        <w:spacing w:after="80"/>
      </w:pPr>
      <w:r>
        <w:t xml:space="preserve">Scheduled spot audits by the commercial/claims team.</w:t>
      </w:r>
    </w:p>
    <w:p>
      <w:pPr>
        <w:pStyle w:val="Heading2"/>
        <w:spacing w:after="140" w:before="280"/>
      </w:pPr>
      <w:r>
        <w:t xml:space="preserve">6.6 Data Handling</w:t>
      </w:r>
    </w:p>
    <w:p>
      <w:pPr>
        <w:pStyle w:val="ListParagraph"/>
        <w:numPr>
          <w:ilvl w:val="0"/>
          <w:numId w:val="3"/>
        </w:numPr>
        <w:spacing w:after="80"/>
      </w:pPr>
      <w:r>
        <w:t xml:space="preserve">Queries and retrieved context transmitted over encrypted channels.</w:t>
      </w:r>
    </w:p>
    <w:p>
      <w:pPr>
        <w:pStyle w:val="ListParagraph"/>
        <w:numPr>
          <w:ilvl w:val="0"/>
          <w:numId w:val="3"/>
        </w:numPr>
        <w:spacing w:after="80"/>
      </w:pPr>
      <w:r>
        <w:t xml:space="preserve">No contract data used to train third-party models; zero-data-retention API configurations used where available.</w:t>
      </w:r>
    </w:p>
    <w:p>
      <w:pPr>
        <w:pStyle w:val="ListParagraph"/>
        <w:numPr>
          <w:ilvl w:val="0"/>
          <w:numId w:val="3"/>
        </w:numPr>
        <w:spacing w:after="80"/>
      </w:pPr>
      <w:r>
        <w:t xml:space="preserve">All AI interactions logged in the audit trail.</w:t>
      </w:r>
    </w:p>
    <w:p>
      <w:pPr>
        <w:pStyle w:val="Heading2"/>
        <w:spacing w:after="140" w:before="280"/>
      </w:pPr>
      <w:r>
        <w:t xml:space="preserve">6.7 LLM Cost Governance</w:t>
      </w:r>
    </w:p>
    <w:p>
      <w:pPr>
        <w:pStyle w:val="ListParagraph"/>
        <w:numPr>
          <w:ilvl w:val="0"/>
          <w:numId w:val="3"/>
        </w:numPr>
        <w:spacing w:after="80"/>
      </w:pPr>
      <w:r>
        <w:t xml:space="preserve">Because proactive flagging runs across every incoming email and document, and because synthesis and drafting capabilities draw on long retrieved contexts, LLM token consumption at scale is a material cost that must be actively governed.</w:t>
      </w:r>
    </w:p>
    <w:p>
      <w:pPr>
        <w:pStyle w:val="ListParagraph"/>
        <w:numPr>
          <w:ilvl w:val="0"/>
          <w:numId w:val="3"/>
        </w:numPr>
        <w:spacing w:after="80"/>
      </w:pPr>
      <w:r>
        <w:rPr>
          <w:b/>
          <w:bCs/>
        </w:rPr>
        <w:t xml:space="preserve">Tiered model routing</w:t>
      </w:r>
      <w:r>
        <w:t xml:space="preserve"> — Routine retrieval, basic Q&amp;A, deadline detection, and routine flag evaluation routed to a cost-efficient model (Claude Sonnet). Drafting, complex synthesis, devil’s advocate review, contract review at tender, and any task requiring deep multi-document reasoning routed to the strongest model (Claude Opus). Routing decisions are defined per capability and versioned alongside the prompt templates.</w:t>
      </w:r>
    </w:p>
    <w:p>
      <w:pPr>
        <w:pStyle w:val="ListParagraph"/>
        <w:numPr>
          <w:ilvl w:val="0"/>
          <w:numId w:val="3"/>
        </w:numPr>
        <w:spacing w:after="80"/>
      </w:pPr>
      <w:r>
        <w:rPr>
          <w:b/>
          <w:bCs/>
        </w:rPr>
        <w:t xml:space="preserve">Cost telemetry</w:t>
      </w:r>
      <w:r>
        <w:t xml:space="preserve"> — Token consumption, model used, and latency captured per request and attributed to contract, capability, and user role. Dashboards surface cost by contract, by capability, and by user for the Knowledge Centre Administrator.</w:t>
      </w:r>
    </w:p>
    <w:p>
      <w:pPr>
        <w:pStyle w:val="ListParagraph"/>
        <w:numPr>
          <w:ilvl w:val="0"/>
          <w:numId w:val="3"/>
        </w:numPr>
        <w:spacing w:after="80"/>
      </w:pPr>
      <w:r>
        <w:rPr>
          <w:b/>
          <w:bCs/>
        </w:rPr>
        <w:t xml:space="preserve">Monthly cost governance review</w:t>
      </w:r>
      <w:r>
        <w:t xml:space="preserve"> — Knowledge Centre Administrator, with the Commercial/Claims Lead and IT, reviews the prior month’s consumption, anomalies, and routing effectiveness. Routing tables and prompt templates are adjusted based on findings.</w:t>
      </w:r>
    </w:p>
    <w:p>
      <w:pPr>
        <w:pStyle w:val="ListParagraph"/>
        <w:numPr>
          <w:ilvl w:val="0"/>
          <w:numId w:val="3"/>
        </w:numPr>
        <w:spacing w:after="80"/>
      </w:pPr>
      <w:r>
        <w:rPr>
          <w:b/>
          <w:bCs/>
        </w:rPr>
        <w:t xml:space="preserve">Guardrails</w:t>
      </w:r>
      <w:r>
        <w:t xml:space="preserve"> — Per-contract and per-user consumption thresholds with configurable alerts. Cost ceilings do not silently degrade service; they trigger alerts to administrators, not automatic refusals to users.</w:t>
      </w:r>
    </w:p>
    <w:p>
      <w:r>
        <w:br w:type="page"/>
      </w:r>
    </w:p>
    <w:p>
      <w:pPr>
        <w:pStyle w:val="Heading1"/>
        <w:spacing w:after="180" w:before="360"/>
      </w:pPr>
      <w:r>
        <w:t xml:space="preserve">7. Integration Requirements</w:t>
      </w:r>
    </w:p>
    <w:p>
      <w:pPr>
        <w:pStyle w:val="Heading2"/>
        <w:spacing w:after="140" w:before="280"/>
      </w:pPr>
      <w:r>
        <w:t xml:space="preserve">7.1 Technica Knowledge Centre Ecosystem</w:t>
      </w:r>
    </w:p>
    <w:p>
      <w:pPr>
        <w:spacing w:after="140"/>
      </w:pPr>
      <w:r>
        <w:t xml:space="preserve">The Contract Knowledge Base is one of several applications in the TKC ecosystem and is architected to share infrastructure and exchange data with them.</w:t>
      </w:r>
    </w:p>
    <w:p>
      <w:pPr>
        <w:spacing w:after="120"/>
      </w:pPr>
      <w:r>
        <w:rPr>
          <w:b/>
          <w:bCs/>
        </w:rPr>
        <w:t xml:space="preserve">Shared services (consumed by all TKC apps):</w:t>
      </w:r>
    </w:p>
    <w:p>
      <w:pPr>
        <w:pStyle w:val="ListParagraph"/>
        <w:numPr>
          <w:ilvl w:val="0"/>
          <w:numId w:val="3"/>
        </w:numPr>
        <w:spacing w:after="80"/>
      </w:pPr>
      <w:r>
        <w:t xml:space="preserve">Identity and authentication (Azure AD / Entra ID).</w:t>
      </w:r>
    </w:p>
    <w:p>
      <w:pPr>
        <w:pStyle w:val="ListParagraph"/>
        <w:numPr>
          <w:ilvl w:val="0"/>
          <w:numId w:val="3"/>
        </w:numPr>
        <w:spacing w:after="80"/>
      </w:pPr>
      <w:r>
        <w:t xml:space="preserve">Audit logging.</w:t>
      </w:r>
    </w:p>
    <w:p>
      <w:pPr>
        <w:pStyle w:val="ListParagraph"/>
        <w:numPr>
          <w:ilvl w:val="0"/>
          <w:numId w:val="3"/>
        </w:numPr>
        <w:spacing w:after="80"/>
      </w:pPr>
      <w:r>
        <w:t xml:space="preserve">Notification service (in-app, email, digest).</w:t>
      </w:r>
    </w:p>
    <w:p>
      <w:pPr>
        <w:pStyle w:val="ListParagraph"/>
        <w:numPr>
          <w:ilvl w:val="0"/>
          <w:numId w:val="3"/>
        </w:numPr>
        <w:spacing w:after="80"/>
      </w:pPr>
      <w:r>
        <w:t xml:space="preserve">User directory (Technica staff).</w:t>
      </w:r>
    </w:p>
    <w:p>
      <w:pPr>
        <w:pStyle w:val="ListParagraph"/>
        <w:numPr>
          <w:ilvl w:val="0"/>
          <w:numId w:val="3"/>
        </w:numPr>
        <w:spacing w:after="80"/>
      </w:pPr>
      <w:r>
        <w:t xml:space="preserve">Master data: clients, subcontractors, suppliers, equipment.</w:t>
      </w:r>
    </w:p>
    <w:p>
      <w:pPr>
        <w:pStyle w:val="ListParagraph"/>
        <w:numPr>
          <w:ilvl w:val="0"/>
          <w:numId w:val="3"/>
        </w:numPr>
        <w:spacing w:after="80"/>
      </w:pPr>
      <w:r>
        <w:t xml:space="preserve">Tagging and taxonomy conventions.</w:t>
      </w:r>
    </w:p>
    <w:p>
      <w:pPr>
        <w:spacing w:after="120"/>
      </w:pPr>
      <w:r>
        <w:rPr>
          <w:b/>
          <w:bCs/>
        </w:rPr>
        <w:t xml:space="preserve">Cross-app data flows:</w:t>
      </w:r>
    </w:p>
    <w:p>
      <w:pPr>
        <w:pStyle w:val="ListParagraph"/>
        <w:numPr>
          <w:ilvl w:val="0"/>
          <w:numId w:val="3"/>
        </w:numPr>
        <w:spacing w:after="80"/>
      </w:pPr>
      <w:r>
        <w:rPr>
          <w:b/>
          <w:bCs/>
        </w:rPr>
        <w:t xml:space="preserve">Bid Intake &amp; Generation → Contract Knowledge Base (Phase 2):</w:t>
      </w:r>
      <w:r>
        <w:t xml:space="preserve"> On bid win, the bid application hands off winning proposal, estimates, assumptions, qualifications, identified risks, and key bid-phase correspondence to create a pre-populated Contract Knowledge Base record.</w:t>
      </w:r>
    </w:p>
    <w:p>
      <w:pPr>
        <w:pStyle w:val="ListParagraph"/>
        <w:numPr>
          <w:ilvl w:val="0"/>
          <w:numId w:val="3"/>
        </w:numPr>
        <w:spacing w:after="80"/>
      </w:pPr>
      <w:r>
        <w:rPr>
          <w:b/>
          <w:bCs/>
        </w:rPr>
        <w:t xml:space="preserve">Contract Knowledge Base → Bid Intake &amp; Generation (Phase 3):</w:t>
      </w:r>
      <w:r>
        <w:t xml:space="preserve"> Closed-contract lessons learned, clause precedents, and risk outcomes flow back into the bid application to inform future tenders and AI-assisted contract reviews.</w:t>
      </w:r>
    </w:p>
    <w:p>
      <w:pPr>
        <w:pStyle w:val="ListParagraph"/>
        <w:numPr>
          <w:ilvl w:val="0"/>
          <w:numId w:val="3"/>
        </w:numPr>
        <w:spacing w:after="80"/>
      </w:pPr>
      <w:r>
        <w:rPr>
          <w:b/>
          <w:bCs/>
        </w:rPr>
        <w:t xml:space="preserve">Contract Knowledge Base → Future TKC applications (Phase 4):</w:t>
      </w:r>
      <w:r>
        <w:t xml:space="preserve"> As the platform graduates into a full DMS, it becomes the document store for other TKC apps.</w:t>
      </w:r>
    </w:p>
    <w:p>
      <w:pPr>
        <w:pStyle w:val="Heading2"/>
        <w:spacing w:after="140" w:before="280"/>
      </w:pPr>
      <w:r>
        <w:t xml:space="preserve">7.2 Identity &amp; Access</w:t>
      </w:r>
    </w:p>
    <w:p>
      <w:pPr>
        <w:pStyle w:val="ListParagraph"/>
        <w:numPr>
          <w:ilvl w:val="0"/>
          <w:numId w:val="3"/>
        </w:numPr>
        <w:spacing w:after="80"/>
      </w:pPr>
      <w:r>
        <w:rPr>
          <w:b/>
          <w:bCs/>
        </w:rPr>
        <w:t xml:space="preserve">Target state:</w:t>
      </w:r>
      <w:r>
        <w:t xml:space="preserve"> Single sign-on via Azure AD / Entra ID following Technica's planned Microsoft 365 migration (within approximately six months). SCIM provisioning for user lifecycle management.</w:t>
      </w:r>
    </w:p>
    <w:p>
      <w:pPr>
        <w:pStyle w:val="ListParagraph"/>
        <w:numPr>
          <w:ilvl w:val="0"/>
          <w:numId w:val="3"/>
        </w:numPr>
        <w:spacing w:after="80"/>
      </w:pPr>
      <w:r>
        <w:rPr>
          <w:b/>
          <w:bCs/>
        </w:rPr>
        <w:t xml:space="preserve">Interim state (if Phase 1 launches before migration completes):</w:t>
      </w:r>
      <w:r>
        <w:t xml:space="preserve"> AD FS or equivalent federation bridge from the existing on-premises Active Directory, using the user's Windows session token. This avoids creating a separate credential for users and is fully replaceable by Azure AD on migration day.</w:t>
      </w:r>
    </w:p>
    <w:p>
      <w:pPr>
        <w:pStyle w:val="ListParagraph"/>
        <w:numPr>
          <w:ilvl w:val="0"/>
          <w:numId w:val="3"/>
        </w:numPr>
        <w:spacing w:after="80"/>
      </w:pPr>
      <w:r>
        <w:rPr>
          <w:b/>
          <w:bCs/>
        </w:rPr>
        <w:t xml:space="preserve">Forward compatibility:</w:t>
      </w:r>
      <w:r>
        <w:t xml:space="preserve"> The application must be architected to Azure AD standards so the interim AD FS bridge can be removed without changes to the application's authentication model.</w:t>
      </w:r>
    </w:p>
    <w:p>
      <w:pPr>
        <w:pStyle w:val="Heading2"/>
        <w:spacing w:after="140" w:before="280"/>
      </w:pPr>
      <w:r>
        <w:t xml:space="preserve">7.3 Email Infrastructure</w:t>
      </w:r>
    </w:p>
    <w:p>
      <w:pPr>
        <w:pStyle w:val="ListParagraph"/>
        <w:numPr>
          <w:ilvl w:val="0"/>
          <w:numId w:val="3"/>
        </w:numPr>
        <w:spacing w:after="80"/>
      </w:pPr>
      <w:r>
        <w:rPr>
          <w:b/>
          <w:bCs/>
        </w:rPr>
        <w:t xml:space="preserve">Subdomain setup</w:t>
      </w:r>
      <w:r>
        <w:t xml:space="preserve"> — contracts.technicamining.com provisioned with appropriate MX, SPF, DKIM, and DMARC records for deliverability and spoof prevention.</w:t>
      </w:r>
    </w:p>
    <w:p>
      <w:pPr>
        <w:pStyle w:val="ListParagraph"/>
        <w:numPr>
          <w:ilvl w:val="0"/>
          <w:numId w:val="3"/>
        </w:numPr>
        <w:spacing w:after="80"/>
      </w:pPr>
      <w:r>
        <w:rPr>
          <w:b/>
          <w:bCs/>
        </w:rPr>
        <w:t xml:space="preserve">Inbound email service</w:t>
      </w:r>
      <w:r>
        <w:t xml:space="preserve"> — A managed inbound email parsing service (SendGrid Inbound Parse, Postmark Inbound, or Azure-hosted equivalent). Azure-native options preferred following the cloud migration.</w:t>
      </w:r>
    </w:p>
    <w:p>
      <w:pPr>
        <w:pStyle w:val="ListParagraph"/>
        <w:numPr>
          <w:ilvl w:val="0"/>
          <w:numId w:val="3"/>
        </w:numPr>
        <w:spacing w:after="80"/>
      </w:pPr>
      <w:r>
        <w:rPr>
          <w:b/>
          <w:bCs/>
        </w:rPr>
        <w:t xml:space="preserve">Outbound email service (Phase 2)</w:t>
      </w:r>
      <w:r>
        <w:t xml:space="preserve"> — A transactional email service for sending from project-designated addresses with DKIM signing.</w:t>
      </w:r>
    </w:p>
    <w:p>
      <w:pPr>
        <w:pStyle w:val="ListParagraph"/>
        <w:numPr>
          <w:ilvl w:val="0"/>
          <w:numId w:val="3"/>
        </w:numPr>
        <w:spacing w:after="80"/>
      </w:pPr>
      <w:r>
        <w:rPr>
          <w:b/>
          <w:bCs/>
        </w:rPr>
        <w:t xml:space="preserve">Bounce, spam, and abuse handling</w:t>
      </w:r>
      <w:r>
        <w:t xml:space="preserve"> — Standard handling for undeliverable, flagged, or abusive mail.</w:t>
      </w:r>
    </w:p>
    <w:p>
      <w:pPr>
        <w:pStyle w:val="Heading2"/>
        <w:spacing w:after="140" w:before="280"/>
      </w:pPr>
      <w:r>
        <w:t xml:space="preserve">7.4 Document Management Integration</w:t>
      </w:r>
    </w:p>
    <w:p>
      <w:pPr>
        <w:pStyle w:val="ListParagraph"/>
        <w:numPr>
          <w:ilvl w:val="0"/>
          <w:numId w:val="3"/>
        </w:numPr>
        <w:spacing w:after="80"/>
      </w:pPr>
      <w:r>
        <w:t xml:space="preserve">In Phase 1, the Contract Knowledge Base is the system of record for contract-specific documents.</w:t>
      </w:r>
    </w:p>
    <w:p>
      <w:pPr>
        <w:pStyle w:val="ListParagraph"/>
        <w:numPr>
          <w:ilvl w:val="0"/>
          <w:numId w:val="3"/>
        </w:numPr>
        <w:spacing w:after="80"/>
      </w:pPr>
      <w:r>
        <w:t xml:space="preserve">Any existing document management system or network file share with authoritative contract documents is integrated read-only during Phase 1–3, with full migration addressed in Phase 4 as part of the DMS graduation.</w:t>
      </w:r>
    </w:p>
    <w:p>
      <w:pPr>
        <w:pStyle w:val="Heading2"/>
        <w:spacing w:after="140" w:before="280"/>
      </w:pPr>
      <w:r>
        <w:t xml:space="preserve">7.5 Scheduling Tools (Phase 3)</w:t>
      </w:r>
    </w:p>
    <w:p>
      <w:pPr>
        <w:pStyle w:val="ListParagraph"/>
        <w:numPr>
          <w:ilvl w:val="0"/>
          <w:numId w:val="3"/>
        </w:numPr>
        <w:spacing w:after="80"/>
      </w:pPr>
      <w:r>
        <w:t xml:space="preserve">Read integration with Primavera P6 and/or Microsoft Project for delay analysis, comparing contractual milestones to as-built progress.</w:t>
      </w:r>
    </w:p>
    <w:p>
      <w:pPr>
        <w:pStyle w:val="Heading2"/>
        <w:spacing w:after="140" w:before="280"/>
      </w:pPr>
      <w:r>
        <w:t xml:space="preserve">7.6 Outlook Add-in (Phase 2)</w:t>
      </w:r>
    </w:p>
    <w:p>
      <w:pPr>
        <w:pStyle w:val="ListParagraph"/>
        <w:numPr>
          <w:ilvl w:val="0"/>
          <w:numId w:val="3"/>
        </w:numPr>
        <w:spacing w:after="80"/>
      </w:pPr>
      <w:r>
        <w:t xml:space="preserve">Deployed through Technica's Microsoft 365 tenant following the cloud migration.</w:t>
      </w:r>
    </w:p>
    <w:p>
      <w:pPr>
        <w:pStyle w:val="ListParagraph"/>
        <w:numPr>
          <w:ilvl w:val="0"/>
          <w:numId w:val="3"/>
        </w:numPr>
        <w:spacing w:after="80"/>
      </w:pPr>
      <w:r>
        <w:t xml:space="preserve">Authenticates via Azure AD using the user's existing session.</w:t>
      </w:r>
    </w:p>
    <w:p>
      <w:pPr>
        <w:pStyle w:val="ListParagraph"/>
        <w:numPr>
          <w:ilvl w:val="0"/>
          <w:numId w:val="3"/>
        </w:numPr>
        <w:spacing w:after="80"/>
      </w:pPr>
      <w:r>
        <w:t xml:space="preserve">Deployment scope (all staff vs pilot) determined in consultation with IT.</w:t>
      </w:r>
    </w:p>
    <w:p>
      <w:pPr>
        <w:pStyle w:val="Heading2"/>
        <w:spacing w:after="140" w:before="280"/>
      </w:pPr>
      <w:r>
        <w:t xml:space="preserve">7.7 Integration Boundaries Table</w:t>
      </w:r>
    </w:p>
    <w:p>
      <w:pPr>
        <w:spacing w:after="140"/>
      </w:pPr>
      <w:r>
        <w:t xml:space="preserve">For every integration, the following table defines what data flows in and out, whether the integration is real-time or batch, and which system is the authoritative source of record. This prevents ambiguity and reduces integration rework during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1600"/>
        <w:gridCol w:w="21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Integration</w:t>
            </w:r>
          </w:p>
        </w:tc>
        <w:tc>
          <w:tcPr>
            <w:tcW w:type="dxa" w:w="2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Data In</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Data Out</w:t>
            </w:r>
          </w:p>
        </w:tc>
        <w:tc>
          <w:tcPr>
            <w:tcW w:type="dxa" w:w="1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Mode</w:t>
            </w:r>
          </w:p>
        </w:tc>
        <w:tc>
          <w:tcPr>
            <w:tcW w:type="dxa" w:w="21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System of Record</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Azure AD / Entra ID (identity)</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User identity, group membership, authentication tokens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None (read-only consumer)</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Real-time (OIDC/SAML, SCIM provisioning)</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Azure AD</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Inbound Email Service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Full .eml messages, attachments, headers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Delivery confirmations (optional auto-reply)</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Real-time (push)</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Contract Knowledge Base (post-ingestion)</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Outbound Email Service (Phase 2)</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None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Outbound RFIs, notices, correspondence from project address</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Real-time</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Contract Knowledge Base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Bid Intake &amp; Generation app (Phase 2 inbound)</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Winning proposal, estimates, assumptions, qualifications, bid-phase risks and correspondence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None</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Event-driven (bid-win trigger) + on-demand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Bid app (pre-handoff); Contract Knowledge Base (post-handoff)</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Bid Intake &amp; Generation app (Phase 3 outbound)</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None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Lessons learned, clause precedents, risk outcomes, closed-contract insights</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On-demand query + scheduled refresh</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Contract Knowledge Base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Outlook Add-in (Phase 2)</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Email content and attachments routed by users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Contract list for selection UI</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Real-time</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Contract Knowledge Base (for email), Azure AD (for user identity)</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Scheduling tools — P6 / MS Project (Phase 3)</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Milestones, baseline dates, as-built progress, float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None (read-only)</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Scheduled batch (daily) + on-demand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Scheduling tool</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Existing document stores / DMS (Phase 1–3)</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Read-only access to authoritative contract documents where they reside outside TKC</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None</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Real-time read-through or scheduled sync</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Existing DMS until Phase 4 migration</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TKC Shared Services — Audit, Notifications, User Directory, Master Data</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Client list, subcontractor list, supplier list, equipment list, taxonomy</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Audit events, notification triggers</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Real-time</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TKC shared services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Claude / LLM API</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Query + retrieved context (no training data shared)</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Generated responses with citations</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Real-time (on query)</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Not a system of record — stateless inference</w:t>
            </w:r>
          </w:p>
        </w:tc>
      </w:tr>
    </w:tbl>
    <w:p>
      <w:pPr>
        <w:spacing w:after="140"/>
      </w:pPr>
      <w:r>
        <w:t xml:space="preserve">A more detailed API and data-contract specification will be produced during detailed design for each integration. The table above is intended to anchor architectural conversations and eliminate disputes about which system owns which data.</w:t>
      </w:r>
    </w:p>
    <w:p>
      <w:pPr>
        <w:pStyle w:val="Heading2"/>
        <w:spacing w:after="140" w:before="280"/>
      </w:pPr>
      <w:r>
        <w:t xml:space="preserve">7.8 ERP / Cost System Read-Only Linkage (Phase 2/3)</w:t>
      </w:r>
    </w:p>
    <w:p>
      <w:pPr>
        <w:spacing w:after="140"/>
      </w:pPr>
      <w:r>
        <w:t xml:space="preserve">Section 1.3 correctly scopes cost tracking, invoicing, and forecasting out of this platform. The Contract Knowledge Base is not an ERP and will not become one. However, the Claim Readiness Score’s quantum component, the Variation register’s baseline reconciliation, and the Payment Application tracker all reference commercial values that should be grounded in authoritative ERP data rather than entered manually and drifting out of sync.</w:t>
      </w:r>
    </w:p>
    <w:p>
      <w:pPr>
        <w:pStyle w:val="ListParagraph"/>
        <w:numPr>
          <w:ilvl w:val="0"/>
          <w:numId w:val="3"/>
        </w:numPr>
        <w:spacing w:after="80"/>
      </w:pPr>
      <w:r>
        <w:rPr>
          <w:b/>
          <w:bCs/>
        </w:rPr>
        <w:t xml:space="preserve">Scope</w:t>
      </w:r>
      <w:r>
        <w:t xml:space="preserve"> — A narrow read-only integration pulling a defined set of fields from Technica’s ERP: approved contract value, approved variations (and their commercial impact), committed cost to date, certified amounts to date, and paid to date.</w:t>
      </w:r>
    </w:p>
    <w:p>
      <w:pPr>
        <w:pStyle w:val="ListParagraph"/>
        <w:numPr>
          <w:ilvl w:val="0"/>
          <w:numId w:val="3"/>
        </w:numPr>
        <w:spacing w:after="80"/>
      </w:pPr>
      <w:r>
        <w:rPr>
          <w:b/>
          <w:bCs/>
        </w:rPr>
        <w:t xml:space="preserve">Direction of flow</w:t>
      </w:r>
      <w:r>
        <w:t xml:space="preserve"> — Strictly read-only from the Contract Knowledge Base perspective. The ERP remains the system of record for all cost and commercial data.</w:t>
      </w:r>
    </w:p>
    <w:p>
      <w:pPr>
        <w:pStyle w:val="ListParagraph"/>
        <w:numPr>
          <w:ilvl w:val="0"/>
          <w:numId w:val="3"/>
        </w:numPr>
        <w:spacing w:after="80"/>
      </w:pPr>
      <w:r>
        <w:rPr>
          <w:b/>
          <w:bCs/>
        </w:rPr>
        <w:t xml:space="preserve">Mode</w:t>
      </w:r>
      <w:r>
        <w:t xml:space="preserve"> — Scheduled daily refresh with on-demand refresh available to the Contract Owner and Commercial/Claims Lead. Timestamp of last refresh is surfaced to users wherever ERP-sourced values are displayed.</w:t>
      </w:r>
    </w:p>
    <w:p>
      <w:pPr>
        <w:pStyle w:val="ListParagraph"/>
        <w:numPr>
          <w:ilvl w:val="0"/>
          <w:numId w:val="3"/>
        </w:numPr>
        <w:spacing w:after="80"/>
      </w:pPr>
      <w:r>
        <w:rPr>
          <w:b/>
          <w:bCs/>
        </w:rPr>
        <w:t xml:space="preserve">Phasing</w:t>
      </w:r>
      <w:r>
        <w:t xml:space="preserve"> — Phase 2 for the contract-value and approved-variation fields (feeding the variation register and Claim Readiness Score quantum component). Phase 3 for committed / certified / paid fields (feeding the payment application tracker with grounded data).</w:t>
      </w:r>
    </w:p>
    <w:p>
      <w:pPr>
        <w:pStyle w:val="ListParagraph"/>
        <w:numPr>
          <w:ilvl w:val="0"/>
          <w:numId w:val="3"/>
        </w:numPr>
        <w:spacing w:after="80"/>
      </w:pPr>
      <w:r>
        <w:rPr>
          <w:b/>
          <w:bCs/>
        </w:rPr>
        <w:t xml:space="preserve">Dependency</w:t>
      </w:r>
      <w:r>
        <w:t xml:space="preserve"> — Confirm Technica’s ERP and the availability of a supported integration surface during Phase 1 discovery. Manual entry of these fields remains the fallback if ERP integration is not viable in Phase 2.</w:t>
      </w:r>
    </w:p>
    <w:p>
      <w:r>
        <w:br w:type="page"/>
      </w:r>
    </w:p>
    <w:p>
      <w:pPr>
        <w:pStyle w:val="Heading1"/>
        <w:spacing w:after="180" w:before="360"/>
      </w:pPr>
      <w:r>
        <w:t xml:space="preserve">8. User Interface &amp; Workflow</w:t>
      </w:r>
    </w:p>
    <w:p>
      <w:pPr>
        <w:pStyle w:val="Heading2"/>
        <w:spacing w:after="140" w:before="280"/>
      </w:pPr>
      <w:r>
        <w:t xml:space="preserve">8.1 Contract Dashboard</w:t>
      </w:r>
    </w:p>
    <w:p>
      <w:pPr>
        <w:spacing w:after="140"/>
      </w:pPr>
      <w:r>
        <w:t xml:space="preserve">The primary landing page for any contract. Displays:</w:t>
      </w:r>
    </w:p>
    <w:p>
      <w:pPr>
        <w:pStyle w:val="ListParagraph"/>
        <w:numPr>
          <w:ilvl w:val="0"/>
          <w:numId w:val="3"/>
        </w:numPr>
        <w:spacing w:after="80"/>
      </w:pPr>
      <w:r>
        <w:t xml:space="preserve">Contract name, client, value, status, and key parties.</w:t>
      </w:r>
    </w:p>
    <w:p>
      <w:pPr>
        <w:pStyle w:val="ListParagraph"/>
        <w:numPr>
          <w:ilvl w:val="0"/>
          <w:numId w:val="3"/>
        </w:numPr>
        <w:spacing w:after="80"/>
      </w:pPr>
      <w:r>
        <w:t xml:space="preserve">Project-designated email address with one-click copy button.</w:t>
      </w:r>
    </w:p>
    <w:p>
      <w:pPr>
        <w:pStyle w:val="ListParagraph"/>
        <w:numPr>
          <w:ilvl w:val="0"/>
          <w:numId w:val="3"/>
        </w:numPr>
        <w:spacing w:after="80"/>
      </w:pPr>
      <w:r>
        <w:t xml:space="preserve">Contract summary / cheat sheet with verification status.</w:t>
      </w:r>
    </w:p>
    <w:p>
      <w:pPr>
        <w:pStyle w:val="ListParagraph"/>
        <w:numPr>
          <w:ilvl w:val="0"/>
          <w:numId w:val="3"/>
        </w:numPr>
        <w:spacing w:after="80"/>
      </w:pPr>
      <w:r>
        <w:t xml:space="preserve">Upcoming deadlines (next 30 days) with alert status.</w:t>
      </w:r>
    </w:p>
    <w:p>
      <w:pPr>
        <w:pStyle w:val="ListParagraph"/>
        <w:numPr>
          <w:ilvl w:val="0"/>
          <w:numId w:val="3"/>
        </w:numPr>
        <w:spacing w:after="80"/>
      </w:pPr>
      <w:r>
        <w:t xml:space="preserve">Recent activity feed.</w:t>
      </w:r>
    </w:p>
    <w:p>
      <w:pPr>
        <w:pStyle w:val="ListParagraph"/>
        <w:numPr>
          <w:ilvl w:val="0"/>
          <w:numId w:val="3"/>
        </w:numPr>
        <w:spacing w:after="80"/>
      </w:pPr>
      <w:r>
        <w:t xml:space="preserve">Shortcuts to document library, email threads, claims, variations, risks, diary, closeout checklist.</w:t>
      </w:r>
    </w:p>
    <w:p>
      <w:pPr>
        <w:pStyle w:val="ListParagraph"/>
        <w:numPr>
          <w:ilvl w:val="0"/>
          <w:numId w:val="3"/>
        </w:numPr>
        <w:spacing w:after="80"/>
      </w:pPr>
      <w:r>
        <w:t xml:space="preserve">AI query input bar at the top.</w:t>
      </w:r>
    </w:p>
    <w:p>
      <w:pPr>
        <w:pStyle w:val="Heading2"/>
        <w:spacing w:after="140" w:before="280"/>
      </w:pPr>
      <w:r>
        <w:t xml:space="preserve">8.2 Document Viewer</w:t>
      </w:r>
    </w:p>
    <w:p>
      <w:pPr>
        <w:pStyle w:val="ListParagraph"/>
        <w:numPr>
          <w:ilvl w:val="0"/>
          <w:numId w:val="3"/>
        </w:numPr>
        <w:spacing w:after="80"/>
      </w:pPr>
      <w:r>
        <w:t xml:space="preserve">Renders PDFs, DOCX, images, and DWG files inline.</w:t>
      </w:r>
    </w:p>
    <w:p>
      <w:pPr>
        <w:pStyle w:val="ListParagraph"/>
        <w:numPr>
          <w:ilvl w:val="0"/>
          <w:numId w:val="3"/>
        </w:numPr>
        <w:spacing w:after="80"/>
      </w:pPr>
      <w:r>
        <w:t xml:space="preserve">Clause-level anchoring: clicking a citation opens the document at the exact clause.</w:t>
      </w:r>
    </w:p>
    <w:p>
      <w:pPr>
        <w:pStyle w:val="ListParagraph"/>
        <w:numPr>
          <w:ilvl w:val="0"/>
          <w:numId w:val="3"/>
        </w:numPr>
        <w:spacing w:after="80"/>
      </w:pPr>
      <w:r>
        <w:t xml:space="preserve">Side panel showing related clauses, amendments, and referencing emails.</w:t>
      </w:r>
    </w:p>
    <w:p>
      <w:pPr>
        <w:pStyle w:val="ListParagraph"/>
        <w:numPr>
          <w:ilvl w:val="0"/>
          <w:numId w:val="3"/>
        </w:numPr>
        <w:spacing w:after="80"/>
      </w:pPr>
      <w:r>
        <w:t xml:space="preserve">Revision history accessible from the document header.</w:t>
      </w:r>
    </w:p>
    <w:p>
      <w:pPr>
        <w:pStyle w:val="Heading2"/>
        <w:spacing w:after="140" w:before="280"/>
      </w:pPr>
      <w:r>
        <w:t xml:space="preserve">8.3 Email Thread Viewer</w:t>
      </w:r>
    </w:p>
    <w:p>
      <w:pPr>
        <w:pStyle w:val="ListParagraph"/>
        <w:numPr>
          <w:ilvl w:val="0"/>
          <w:numId w:val="3"/>
        </w:numPr>
        <w:spacing w:after="80"/>
      </w:pPr>
      <w:r>
        <w:t xml:space="preserve">Chronological thread view with sender, recipients, date, body.</w:t>
      </w:r>
    </w:p>
    <w:p>
      <w:pPr>
        <w:pStyle w:val="ListParagraph"/>
        <w:numPr>
          <w:ilvl w:val="0"/>
          <w:numId w:val="3"/>
        </w:numPr>
        <w:spacing w:after="80"/>
      </w:pPr>
      <w:r>
        <w:t xml:space="preserve">Attachment list with preview and link to associated document version.</w:t>
      </w:r>
    </w:p>
    <w:p>
      <w:pPr>
        <w:pStyle w:val="ListParagraph"/>
        <w:numPr>
          <w:ilvl w:val="0"/>
          <w:numId w:val="3"/>
        </w:numPr>
        <w:spacing w:after="80"/>
      </w:pPr>
      <w:r>
        <w:t xml:space="preserve">Option to download the original .eml.</w:t>
      </w:r>
    </w:p>
    <w:p>
      <w:pPr>
        <w:pStyle w:val="ListParagraph"/>
        <w:numPr>
          <w:ilvl w:val="0"/>
          <w:numId w:val="3"/>
        </w:numPr>
        <w:spacing w:after="80"/>
      </w:pPr>
      <w:r>
        <w:t xml:space="preserve">Indicator showing how the email entered the system.</w:t>
      </w:r>
    </w:p>
    <w:p>
      <w:pPr>
        <w:pStyle w:val="Heading2"/>
        <w:spacing w:after="140" w:before="280"/>
      </w:pPr>
      <w:r>
        <w:t xml:space="preserve">8.4 Conversation / Query Interface</w:t>
      </w:r>
    </w:p>
    <w:p>
      <w:pPr>
        <w:pStyle w:val="ListParagraph"/>
        <w:numPr>
          <w:ilvl w:val="0"/>
          <w:numId w:val="3"/>
        </w:numPr>
        <w:spacing w:after="80"/>
      </w:pPr>
      <w:r>
        <w:t xml:space="preserve">Chat-style interface scoped to the active contract.</w:t>
      </w:r>
    </w:p>
    <w:p>
      <w:pPr>
        <w:pStyle w:val="ListParagraph"/>
        <w:numPr>
          <w:ilvl w:val="0"/>
          <w:numId w:val="3"/>
        </w:numPr>
        <w:spacing w:after="80"/>
      </w:pPr>
      <w:r>
        <w:t xml:space="preserve">Every response includes inline citations and a confidence indicator.</w:t>
      </w:r>
    </w:p>
    <w:p>
      <w:pPr>
        <w:pStyle w:val="ListParagraph"/>
        <w:numPr>
          <w:ilvl w:val="0"/>
          <w:numId w:val="3"/>
        </w:numPr>
        <w:spacing w:after="80"/>
      </w:pPr>
      <w:r>
        <w:t xml:space="preserve">Save queries, share query results, export responses as PDF with citations.</w:t>
      </w:r>
    </w:p>
    <w:p>
      <w:pPr>
        <w:pStyle w:val="Heading2"/>
        <w:spacing w:after="140" w:before="280"/>
      </w:pPr>
      <w:r>
        <w:t xml:space="preserve">8.5 Notice &amp; Deadline Tracker</w:t>
      </w:r>
    </w:p>
    <w:p>
      <w:pPr>
        <w:pStyle w:val="ListParagraph"/>
        <w:numPr>
          <w:ilvl w:val="0"/>
          <w:numId w:val="3"/>
        </w:numPr>
        <w:spacing w:after="80"/>
      </w:pPr>
      <w:r>
        <w:t xml:space="preserve">Calendar view and list view.</w:t>
      </w:r>
    </w:p>
    <w:p>
      <w:pPr>
        <w:pStyle w:val="ListParagraph"/>
        <w:numPr>
          <w:ilvl w:val="0"/>
          <w:numId w:val="3"/>
        </w:numPr>
        <w:spacing w:after="80"/>
      </w:pPr>
      <w:r>
        <w:t xml:space="preserve">Filter by status (verified, unverified, overdue, upcoming, complete).</w:t>
      </w:r>
    </w:p>
    <w:p>
      <w:pPr>
        <w:pStyle w:val="ListParagraph"/>
        <w:numPr>
          <w:ilvl w:val="0"/>
          <w:numId w:val="3"/>
        </w:numPr>
        <w:spacing w:after="80"/>
      </w:pPr>
      <w:r>
        <w:t xml:space="preserve">Drill-down to source clause.</w:t>
      </w:r>
    </w:p>
    <w:p>
      <w:pPr>
        <w:pStyle w:val="ListParagraph"/>
        <w:numPr>
          <w:ilvl w:val="0"/>
          <w:numId w:val="3"/>
        </w:numPr>
        <w:spacing w:after="80"/>
      </w:pPr>
      <w:r>
        <w:t xml:space="preserve">Alert configuration per deadline.</w:t>
      </w:r>
    </w:p>
    <w:p>
      <w:pPr>
        <w:pStyle w:val="Heading2"/>
        <w:spacing w:after="140" w:before="280"/>
      </w:pPr>
      <w:r>
        <w:t xml:space="preserve">8.6 Contact Directory</w:t>
      </w:r>
    </w:p>
    <w:p>
      <w:pPr>
        <w:pStyle w:val="ListParagraph"/>
        <w:numPr>
          <w:ilvl w:val="0"/>
          <w:numId w:val="3"/>
        </w:numPr>
        <w:spacing w:after="80"/>
      </w:pPr>
      <w:r>
        <w:t xml:space="preserve">Per-contract contact list with authority level, role, organization, and contact details.</w:t>
      </w:r>
    </w:p>
    <w:p>
      <w:pPr>
        <w:pStyle w:val="ListParagraph"/>
        <w:numPr>
          <w:ilvl w:val="0"/>
          <w:numId w:val="3"/>
        </w:numPr>
        <w:spacing w:after="80"/>
      </w:pPr>
      <w:r>
        <w:t xml:space="preserve">Quick indicators ("can direct extra work," "administrative only") at the point of decision.</w:t>
      </w:r>
    </w:p>
    <w:p>
      <w:pPr>
        <w:pStyle w:val="Heading2"/>
        <w:spacing w:after="140" w:before="280"/>
      </w:pPr>
      <w:r>
        <w:t xml:space="preserve">8.7 Timeline View (Phase 2)</w:t>
      </w:r>
    </w:p>
    <w:p>
      <w:pPr>
        <w:pStyle w:val="ListParagraph"/>
        <w:numPr>
          <w:ilvl w:val="0"/>
          <w:numId w:val="3"/>
        </w:numPr>
        <w:spacing w:after="80"/>
      </w:pPr>
      <w:r>
        <w:t xml:space="preserve">Chronological rollup of all contract events in a single scannable view.</w:t>
      </w:r>
    </w:p>
    <w:p>
      <w:pPr>
        <w:pStyle w:val="Heading2"/>
        <w:spacing w:after="140" w:before="280"/>
      </w:pPr>
      <w:r>
        <w:t xml:space="preserve">8.8 Claim Draft Workspace (Phase 2)</w:t>
      </w:r>
    </w:p>
    <w:p>
      <w:pPr>
        <w:pStyle w:val="ListParagraph"/>
        <w:numPr>
          <w:ilvl w:val="0"/>
          <w:numId w:val="3"/>
        </w:numPr>
        <w:spacing w:after="80"/>
      </w:pPr>
      <w:r>
        <w:t xml:space="preserve">Split view: draft on left, evidence panel on right.</w:t>
      </w:r>
    </w:p>
    <w:p>
      <w:pPr>
        <w:pStyle w:val="ListParagraph"/>
        <w:numPr>
          <w:ilvl w:val="0"/>
          <w:numId w:val="3"/>
        </w:numPr>
        <w:spacing w:after="80"/>
      </w:pPr>
      <w:r>
        <w:t xml:space="preserve">AI generates first draft; user refines.</w:t>
      </w:r>
    </w:p>
    <w:p>
      <w:pPr>
        <w:pStyle w:val="ListParagraph"/>
        <w:numPr>
          <w:ilvl w:val="0"/>
          <w:numId w:val="3"/>
        </w:numPr>
        <w:spacing w:after="80"/>
      </w:pPr>
      <w:r>
        <w:t xml:space="preserve">Evidence bundle compiled automatically; exportable as a single package.</w:t>
      </w:r>
    </w:p>
    <w:p>
      <w:pPr>
        <w:pStyle w:val="Heading2"/>
        <w:spacing w:after="140" w:before="280"/>
      </w:pPr>
      <w:r>
        <w:t xml:space="preserve">8.9 Register Views (Phase 2)</w:t>
      </w:r>
    </w:p>
    <w:p>
      <w:pPr>
        <w:pStyle w:val="ListParagraph"/>
        <w:numPr>
          <w:ilvl w:val="0"/>
          <w:numId w:val="3"/>
        </w:numPr>
        <w:spacing w:after="80"/>
      </w:pPr>
      <w:r>
        <w:t xml:space="preserve">Variation register, risk register, claim register, payment application tracker, insurance/bond/permit tracker — each with filterable list, drill-down, and export.</w:t>
      </w:r>
    </w:p>
    <w:p>
      <w:pPr>
        <w:pStyle w:val="Heading2"/>
        <w:spacing w:after="140" w:before="280"/>
      </w:pPr>
      <w:r>
        <w:t xml:space="preserve">8.10 Daily Site Diary (Phase 2)</w:t>
      </w:r>
    </w:p>
    <w:p>
      <w:pPr>
        <w:pStyle w:val="ListParagraph"/>
        <w:numPr>
          <w:ilvl w:val="0"/>
          <w:numId w:val="3"/>
        </w:numPr>
        <w:spacing w:after="80"/>
      </w:pPr>
      <w:r>
        <w:t xml:space="preserve">Mobile-responsive entry form.</w:t>
      </w:r>
    </w:p>
    <w:p>
      <w:pPr>
        <w:pStyle w:val="ListParagraph"/>
        <w:numPr>
          <w:ilvl w:val="0"/>
          <w:numId w:val="3"/>
        </w:numPr>
        <w:spacing w:after="80"/>
      </w:pPr>
      <w:r>
        <w:t xml:space="preserve">Contemporaneous entries locked after edit window.</w:t>
      </w:r>
    </w:p>
    <w:p>
      <w:pPr>
        <w:pStyle w:val="ListParagraph"/>
        <w:numPr>
          <w:ilvl w:val="0"/>
          <w:numId w:val="3"/>
        </w:numPr>
        <w:spacing w:after="80"/>
      </w:pPr>
      <w:r>
        <w:t xml:space="preserve">Retrieval by date, author, tags.</w:t>
      </w:r>
    </w:p>
    <w:p>
      <w:pPr>
        <w:pStyle w:val="Heading2"/>
        <w:spacing w:after="140" w:before="280"/>
      </w:pPr>
      <w:r>
        <w:t xml:space="preserve">8.10b Offline Diary Behaviour (Phase 2)</w:t>
      </w:r>
    </w:p>
    <w:p>
      <w:pPr>
        <w:pStyle w:val="ListParagraph"/>
        <w:numPr>
          <w:ilvl w:val="0"/>
          <w:numId w:val="3"/>
        </w:numPr>
        <w:spacing w:after="80"/>
      </w:pPr>
      <w:r>
        <w:t xml:space="preserve">Site supervisors frequently work underground, at remote sites, or in areas with intermittent cellular coverage. A diary entry that fails silently because of a lost connection is a lost contemporaneous record — which is the exact opposite of what the diary feature is meant to protect.</w:t>
      </w:r>
    </w:p>
    <w:p>
      <w:pPr>
        <w:pStyle w:val="ListParagraph"/>
        <w:numPr>
          <w:ilvl w:val="0"/>
          <w:numId w:val="3"/>
        </w:numPr>
        <w:spacing w:after="80"/>
      </w:pPr>
      <w:r>
        <w:rPr>
          <w:b/>
          <w:bCs/>
        </w:rPr>
        <w:t xml:space="preserve">Local-draft capture</w:t>
      </w:r>
      <w:r>
        <w:t xml:space="preserve"> — Diary entries created offline are saved immediately to local device storage with a stable timestamp set at the moment of creation (not the moment of sync). Photos and voice notes (Phase 3) are captured locally and queued for upload.</w:t>
      </w:r>
    </w:p>
    <w:p>
      <w:pPr>
        <w:pStyle w:val="ListParagraph"/>
        <w:numPr>
          <w:ilvl w:val="0"/>
          <w:numId w:val="3"/>
        </w:numPr>
        <w:spacing w:after="80"/>
      </w:pPr>
      <w:r>
        <w:rPr>
          <w:b/>
          <w:bCs/>
        </w:rPr>
        <w:t xml:space="preserve">Sync on reconnect</w:t>
      </w:r>
      <w:r>
        <w:t xml:space="preserve"> — When connectivity returns, queued entries sync automatically in the background. The server records both the original creation timestamp and the sync timestamp in the audit trail, preserving the contemporaneous-record character of the entry.</w:t>
      </w:r>
    </w:p>
    <w:p>
      <w:pPr>
        <w:pStyle w:val="ListParagraph"/>
        <w:numPr>
          <w:ilvl w:val="0"/>
          <w:numId w:val="3"/>
        </w:numPr>
        <w:spacing w:after="80"/>
      </w:pPr>
      <w:r>
        <w:rPr>
          <w:b/>
          <w:bCs/>
        </w:rPr>
        <w:t xml:space="preserve">Visible sync state</w:t>
      </w:r>
      <w:r>
        <w:t xml:space="preserve"> — The UI clearly indicates per-entry state: Local Only, Syncing, Synced, or Sync Failed. Supervisors never have to guess whether an entry reached the server.</w:t>
      </w:r>
    </w:p>
    <w:p>
      <w:pPr>
        <w:pStyle w:val="ListParagraph"/>
        <w:numPr>
          <w:ilvl w:val="0"/>
          <w:numId w:val="3"/>
        </w:numPr>
        <w:spacing w:after="80"/>
      </w:pPr>
      <w:r>
        <w:rPr>
          <w:b/>
          <w:bCs/>
        </w:rPr>
        <w:t xml:space="preserve">Edit-lock window</w:t>
      </w:r>
      <w:r>
        <w:t xml:space="preserve"> — The end-of-next-business-day edit-lock applies to the original creation timestamp, not the sync timestamp, so a sync delay does not extend or shorten the evidentiary lock window.</w:t>
      </w:r>
    </w:p>
    <w:p>
      <w:pPr>
        <w:pStyle w:val="ListParagraph"/>
        <w:numPr>
          <w:ilvl w:val="0"/>
          <w:numId w:val="3"/>
        </w:numPr>
        <w:spacing w:after="80"/>
      </w:pPr>
      <w:r>
        <w:rPr>
          <w:b/>
          <w:bCs/>
        </w:rPr>
        <w:t xml:space="preserve">Conflict handling</w:t>
      </w:r>
      <w:r>
        <w:t xml:space="preserve"> — Where the same entry is edited on more than one device before either syncs, both are preserved on reconnect with a clear indicator and a reconciliation step by the author.</w:t>
      </w:r>
    </w:p>
    <w:p>
      <w:pPr>
        <w:pStyle w:val="Heading2"/>
        <w:spacing w:after="140" w:before="280"/>
      </w:pPr>
      <w:r>
        <w:t xml:space="preserve">8.11 Closeout Checklist (Phase 2)</w:t>
      </w:r>
    </w:p>
    <w:p>
      <w:pPr>
        <w:pStyle w:val="ListParagraph"/>
        <w:numPr>
          <w:ilvl w:val="0"/>
          <w:numId w:val="3"/>
        </w:numPr>
        <w:spacing w:after="80"/>
      </w:pPr>
      <w:r>
        <w:t xml:space="preserve">Structured checklist with per-item owner and sign-off.</w:t>
      </w:r>
    </w:p>
    <w:p>
      <w:pPr>
        <w:pStyle w:val="ListParagraph"/>
        <w:numPr>
          <w:ilvl w:val="0"/>
          <w:numId w:val="3"/>
        </w:numPr>
        <w:spacing w:after="80"/>
      </w:pPr>
      <w:r>
        <w:t xml:space="preserve">Progress indicator.</w:t>
      </w:r>
    </w:p>
    <w:p>
      <w:pPr>
        <w:pStyle w:val="ListParagraph"/>
        <w:numPr>
          <w:ilvl w:val="0"/>
          <w:numId w:val="3"/>
        </w:numPr>
        <w:spacing w:after="80"/>
      </w:pPr>
      <w:r>
        <w:t xml:space="preserve">Certificate generation on completion.</w:t>
      </w:r>
    </w:p>
    <w:p>
      <w:pPr>
        <w:pStyle w:val="Heading2"/>
        <w:spacing w:after="140" w:before="280"/>
      </w:pPr>
      <w:r>
        <w:t xml:space="preserve">8.12 Review Queue</w:t>
      </w:r>
    </w:p>
    <w:p>
      <w:pPr>
        <w:pStyle w:val="ListParagraph"/>
        <w:numPr>
          <w:ilvl w:val="0"/>
          <w:numId w:val="3"/>
        </w:numPr>
        <w:spacing w:after="80"/>
      </w:pPr>
      <w:r>
        <w:t xml:space="preserve">Items requiring approval: unapproved email senders, flagged emails, AI-extracted summaries and deadlines awaiting verification.</w:t>
      </w:r>
    </w:p>
    <w:p>
      <w:pPr>
        <w:pStyle w:val="ListParagraph"/>
        <w:numPr>
          <w:ilvl w:val="0"/>
          <w:numId w:val="3"/>
        </w:numPr>
        <w:spacing w:after="80"/>
      </w:pPr>
      <w:r>
        <w:t xml:space="preserve">Bulk-approve and bulk-reject actions.</w:t>
      </w:r>
    </w:p>
    <w:p>
      <w:pPr>
        <w:pStyle w:val="Heading2"/>
        <w:spacing w:after="140" w:before="280"/>
      </w:pPr>
      <w:r>
        <w:t xml:space="preserve">8.13 Administration UI</w:t>
      </w:r>
    </w:p>
    <w:p>
      <w:pPr>
        <w:pStyle w:val="ListParagraph"/>
        <w:numPr>
          <w:ilvl w:val="0"/>
          <w:numId w:val="3"/>
        </w:numPr>
        <w:spacing w:after="80"/>
      </w:pPr>
      <w:r>
        <w:t xml:space="preserve">Contract creation and configuration.</w:t>
      </w:r>
    </w:p>
    <w:p>
      <w:pPr>
        <w:pStyle w:val="ListParagraph"/>
        <w:numPr>
          <w:ilvl w:val="0"/>
          <w:numId w:val="3"/>
        </w:numPr>
        <w:spacing w:after="80"/>
      </w:pPr>
      <w:r>
        <w:t xml:space="preserve">User and permission management.</w:t>
      </w:r>
    </w:p>
    <w:p>
      <w:pPr>
        <w:pStyle w:val="ListParagraph"/>
        <w:numPr>
          <w:ilvl w:val="0"/>
          <w:numId w:val="3"/>
        </w:numPr>
        <w:spacing w:after="80"/>
      </w:pPr>
      <w:r>
        <w:t xml:space="preserve">Email address lifecycle management.</w:t>
      </w:r>
    </w:p>
    <w:p>
      <w:pPr>
        <w:pStyle w:val="ListParagraph"/>
        <w:numPr>
          <w:ilvl w:val="0"/>
          <w:numId w:val="3"/>
        </w:numPr>
        <w:spacing w:after="80"/>
      </w:pPr>
      <w:r>
        <w:t xml:space="preserve">Template library management (correspondence templates, checklist templates, prompt templates).</w:t>
      </w:r>
    </w:p>
    <w:p>
      <w:pPr>
        <w:pStyle w:val="ListParagraph"/>
        <w:numPr>
          <w:ilvl w:val="0"/>
          <w:numId w:val="3"/>
        </w:numPr>
        <w:spacing w:after="80"/>
      </w:pPr>
      <w:r>
        <w:t xml:space="preserve">Audit log access for Auditor role.</w:t>
      </w:r>
    </w:p>
    <w:p>
      <w:r>
        <w:br w:type="page"/>
      </w:r>
    </w:p>
    <w:p>
      <w:pPr>
        <w:pStyle w:val="Heading1"/>
        <w:spacing w:after="180" w:before="360"/>
      </w:pPr>
      <w:r>
        <w:t xml:space="preserve">9. Permissions &amp; Governance</w:t>
      </w:r>
    </w:p>
    <w:p>
      <w:pPr>
        <w:pStyle w:val="Heading2"/>
        <w:spacing w:after="140" w:before="280"/>
      </w:pPr>
      <w:r>
        <w:t xml:space="preserve">9.1 Access Control</w:t>
      </w:r>
    </w:p>
    <w:p>
      <w:pPr>
        <w:pStyle w:val="ListParagraph"/>
        <w:numPr>
          <w:ilvl w:val="0"/>
          <w:numId w:val="3"/>
        </w:numPr>
        <w:spacing w:after="80"/>
      </w:pPr>
      <w:r>
        <w:t xml:space="preserve">Default deny: users see only contracts to which they have been explicitly granted access.</w:t>
      </w:r>
    </w:p>
    <w:p>
      <w:pPr>
        <w:pStyle w:val="ListParagraph"/>
        <w:numPr>
          <w:ilvl w:val="0"/>
          <w:numId w:val="3"/>
        </w:numPr>
        <w:spacing w:after="80"/>
      </w:pPr>
      <w:r>
        <w:t xml:space="preserve">Contract Owner and Contract Administrator can grant and revoke access within their contracts.</w:t>
      </w:r>
    </w:p>
    <w:p>
      <w:pPr>
        <w:pStyle w:val="ListParagraph"/>
        <w:numPr>
          <w:ilvl w:val="0"/>
          <w:numId w:val="3"/>
        </w:numPr>
        <w:spacing w:after="80"/>
      </w:pPr>
      <w:r>
        <w:t xml:space="preserve">Restricted Viewer role excludes negotiation records and sensitive commercial material.</w:t>
      </w:r>
    </w:p>
    <w:p>
      <w:pPr>
        <w:pStyle w:val="Heading2"/>
        <w:spacing w:after="140" w:before="280"/>
      </w:pPr>
      <w:r>
        <w:t xml:space="preserve">9.2 Governance Responsibilities</w:t>
      </w:r>
    </w:p>
    <w:p>
      <w:pPr>
        <w:pStyle w:val="ListParagraph"/>
        <w:numPr>
          <w:ilvl w:val="0"/>
          <w:numId w:val="3"/>
        </w:numPr>
        <w:spacing w:after="80"/>
      </w:pPr>
      <w:r>
        <w:rPr>
          <w:b/>
          <w:bCs/>
        </w:rPr>
        <w:t xml:space="preserve">Contract Owner</w:t>
      </w:r>
      <w:r>
        <w:t xml:space="preserve"> — Accountable for the accuracy of the contract record; approves the verified contract summary and deadlines.</w:t>
      </w:r>
    </w:p>
    <w:p>
      <w:pPr>
        <w:pStyle w:val="ListParagraph"/>
        <w:numPr>
          <w:ilvl w:val="0"/>
          <w:numId w:val="3"/>
        </w:numPr>
        <w:spacing w:after="80"/>
      </w:pPr>
      <w:r>
        <w:rPr>
          <w:b/>
          <w:bCs/>
        </w:rPr>
        <w:t xml:space="preserve">Contract Administrator</w:t>
      </w:r>
      <w:r>
        <w:t xml:space="preserve"> — Day-to-day curation: approves new email senders, processes the review queue, manages tags and the contact directory.</w:t>
      </w:r>
    </w:p>
    <w:p>
      <w:pPr>
        <w:pStyle w:val="ListParagraph"/>
        <w:numPr>
          <w:ilvl w:val="0"/>
          <w:numId w:val="3"/>
        </w:numPr>
        <w:spacing w:after="80"/>
      </w:pPr>
      <w:r>
        <w:rPr>
          <w:b/>
          <w:bCs/>
        </w:rPr>
        <w:t xml:space="preserve">Commercial / Claims Lead</w:t>
      </w:r>
      <w:r>
        <w:t xml:space="preserve"> — Primary drafter of claims; reviews AI outputs for claim-related queries.</w:t>
      </w:r>
    </w:p>
    <w:p>
      <w:pPr>
        <w:pStyle w:val="ListParagraph"/>
        <w:numPr>
          <w:ilvl w:val="0"/>
          <w:numId w:val="3"/>
        </w:numPr>
        <w:spacing w:after="80"/>
      </w:pPr>
      <w:r>
        <w:rPr>
          <w:b/>
          <w:bCs/>
        </w:rPr>
        <w:t xml:space="preserve">Knowledge Centre Administrator</w:t>
      </w:r>
      <w:r>
        <w:t xml:space="preserve"> — Owns platform-level configuration, prompt templates, taxonomy, and integration health.</w:t>
      </w:r>
    </w:p>
    <w:p>
      <w:pPr>
        <w:pStyle w:val="ListParagraph"/>
        <w:numPr>
          <w:ilvl w:val="0"/>
          <w:numId w:val="3"/>
        </w:numPr>
        <w:spacing w:after="80"/>
      </w:pPr>
      <w:r>
        <w:rPr>
          <w:b/>
          <w:bCs/>
        </w:rPr>
        <w:t xml:space="preserve">Auditor</w:t>
      </w:r>
      <w:r>
        <w:t xml:space="preserve"> — Read-only access to all content and audit logs for compliance purposes.</w:t>
      </w:r>
    </w:p>
    <w:p>
      <w:pPr>
        <w:pStyle w:val="Heading2"/>
        <w:spacing w:after="140" w:before="280"/>
      </w:pPr>
      <w:r>
        <w:t xml:space="preserve">9.3 Confidentiality Controls</w:t>
      </w:r>
    </w:p>
    <w:p>
      <w:pPr>
        <w:pStyle w:val="ListParagraph"/>
        <w:numPr>
          <w:ilvl w:val="0"/>
          <w:numId w:val="3"/>
        </w:numPr>
        <w:spacing w:after="80"/>
      </w:pPr>
      <w:r>
        <w:t xml:space="preserve">Contracts can be flagged Highly Confidential, restricting access to a named list and excluding from cross-contract learning (Phase 3).</w:t>
      </w:r>
    </w:p>
    <w:p>
      <w:pPr>
        <w:pStyle w:val="ListParagraph"/>
        <w:numPr>
          <w:ilvl w:val="0"/>
          <w:numId w:val="3"/>
        </w:numPr>
        <w:spacing w:after="80"/>
      </w:pPr>
      <w:r>
        <w:t xml:space="preserve">Active disputes can be placed under legal hold, disabling deletion and flagging any export.</w:t>
      </w:r>
    </w:p>
    <w:p>
      <w:pPr>
        <w:pStyle w:val="Heading2"/>
        <w:spacing w:after="140" w:before="280"/>
      </w:pPr>
      <w:r>
        <w:t xml:space="preserve">9.4 Redaction Controls</w:t>
      </w:r>
    </w:p>
    <w:p>
      <w:pPr>
        <w:pStyle w:val="ListParagraph"/>
        <w:numPr>
          <w:ilvl w:val="0"/>
          <w:numId w:val="3"/>
        </w:numPr>
        <w:spacing w:after="80"/>
      </w:pPr>
      <w:r>
        <w:t xml:space="preserve">Authorized users (Contract Owner, Knowledge Centre Administrator, Legal Counsel) can apply redactions to specific passages within documents or emails without altering the original.</w:t>
      </w:r>
    </w:p>
    <w:p>
      <w:pPr>
        <w:pStyle w:val="ListParagraph"/>
        <w:numPr>
          <w:ilvl w:val="0"/>
          <w:numId w:val="3"/>
        </w:numPr>
        <w:spacing w:after="80"/>
      </w:pPr>
      <w:r>
        <w:t xml:space="preserve">Redactions create a displayed view that hides the redacted content from users without the appropriate clearance, while the original remains preserved for evidentiary integrity, audit, and legal hold.</w:t>
      </w:r>
    </w:p>
    <w:p>
      <w:pPr>
        <w:pStyle w:val="ListParagraph"/>
        <w:numPr>
          <w:ilvl w:val="0"/>
          <w:numId w:val="3"/>
        </w:numPr>
        <w:spacing w:after="80"/>
      </w:pPr>
      <w:r>
        <w:t xml:space="preserve">Each redaction records the redactor, timestamp, reason (privileged, commercially sensitive, personal information, third-party confidential), and scope (passage, page, or document).</w:t>
      </w:r>
    </w:p>
    <w:p>
      <w:pPr>
        <w:pStyle w:val="ListParagraph"/>
        <w:numPr>
          <w:ilvl w:val="0"/>
          <w:numId w:val="3"/>
        </w:numPr>
        <w:spacing w:after="80"/>
      </w:pPr>
      <w:r>
        <w:t xml:space="preserve">Redactions can be reversed by the same roles, with the reversal logged in the audit trail.</w:t>
      </w:r>
    </w:p>
    <w:p>
      <w:pPr>
        <w:pStyle w:val="ListParagraph"/>
        <w:numPr>
          <w:ilvl w:val="0"/>
          <w:numId w:val="3"/>
        </w:numPr>
        <w:spacing w:after="80"/>
      </w:pPr>
      <w:r>
        <w:t xml:space="preserve">When redacted content is included in AI retrieval context, the AI is instructed to ignore the redacted passages and to signal that redacted content exists rather than bypass the redaction.</w:t>
      </w:r>
    </w:p>
    <w:p>
      <w:pPr>
        <w:pStyle w:val="ListParagraph"/>
        <w:numPr>
          <w:ilvl w:val="0"/>
          <w:numId w:val="3"/>
        </w:numPr>
        <w:spacing w:after="80"/>
      </w:pPr>
      <w:r>
        <w:t xml:space="preserve">Evidence bundles and exports respect redactions by default; exporting a non-redacted version requires explicit elevated permission and is logged.</w:t>
      </w:r>
    </w:p>
    <w:p>
      <w:pPr>
        <w:pStyle w:val="Heading2"/>
        <w:spacing w:after="140" w:before="280"/>
      </w:pPr>
      <w:r>
        <w:t xml:space="preserve">9.5 Change Management</w:t>
      </w:r>
    </w:p>
    <w:p>
      <w:pPr>
        <w:pStyle w:val="ListParagraph"/>
        <w:numPr>
          <w:ilvl w:val="0"/>
          <w:numId w:val="3"/>
        </w:numPr>
        <w:spacing w:after="80"/>
      </w:pPr>
      <w:r>
        <w:t xml:space="preserve">Prompt template changes, permission model changes, taxonomy changes, and retention policy changes require Knowledge Centre Administrator approval and are logged.</w:t>
      </w:r>
    </w:p>
    <w:p>
      <w:pPr>
        <w:pStyle w:val="Heading2"/>
        <w:spacing w:after="140" w:before="280"/>
      </w:pPr>
      <w:r>
        <w:t xml:space="preserve">9.6 Ethical Walls &amp; Individual Access Revocation</w:t>
      </w:r>
    </w:p>
    <w:p>
      <w:pPr>
        <w:pStyle w:val="ListParagraph"/>
        <w:numPr>
          <w:ilvl w:val="0"/>
          <w:numId w:val="3"/>
        </w:numPr>
        <w:spacing w:after="80"/>
      </w:pPr>
      <w:r>
        <w:t xml:space="preserve">On disputed contracts, Technica’s legal team or external counsel may need to exclude specific individuals from access — even individuals who would normally have it through their role — because of a change in role, a personal conflict of interest, or an established ethical wall.</w:t>
      </w:r>
    </w:p>
    <w:p>
      <w:pPr>
        <w:pStyle w:val="ListParagraph"/>
        <w:numPr>
          <w:ilvl w:val="0"/>
          <w:numId w:val="3"/>
        </w:numPr>
        <w:spacing w:after="80"/>
      </w:pPr>
      <w:r>
        <w:rPr>
          <w:b/>
          <w:bCs/>
        </w:rPr>
        <w:t xml:space="preserve">Individual-level revocation</w:t>
      </w:r>
      <w:r>
        <w:t xml:space="preserve"> — The Contract Owner, Knowledge Centre Administrator, or Legal Counsel can explicitly revoke a named individual’s access to a contract. This revocation overrides role-based defaults and any inherited access from group membership.</w:t>
      </w:r>
    </w:p>
    <w:p>
      <w:pPr>
        <w:pStyle w:val="ListParagraph"/>
        <w:numPr>
          <w:ilvl w:val="0"/>
          <w:numId w:val="3"/>
        </w:numPr>
        <w:spacing w:after="80"/>
      </w:pPr>
      <w:r>
        <w:rPr>
          <w:b/>
          <w:bCs/>
        </w:rPr>
        <w:t xml:space="preserve">Scope</w:t>
      </w:r>
      <w:r>
        <w:t xml:space="preserve"> — Revocation blocks the individual from viewing, searching, querying, and receiving notifications about the contract. AI retrieval scoped to other contracts does not return content from the walled contract for that user even under cross-contract search (Phase 3).</w:t>
      </w:r>
    </w:p>
    <w:p>
      <w:pPr>
        <w:pStyle w:val="ListParagraph"/>
        <w:numPr>
          <w:ilvl w:val="0"/>
          <w:numId w:val="3"/>
        </w:numPr>
        <w:spacing w:after="80"/>
      </w:pPr>
      <w:r>
        <w:rPr>
          <w:b/>
          <w:bCs/>
        </w:rPr>
        <w:t xml:space="preserve">Audit</w:t>
      </w:r>
      <w:r>
        <w:t xml:space="preserve"> — The revocation event records the revoker, the revoked user, the reason category (conflict of interest, role change, legal instruction, ethical wall), and a free-text justification. Reversals are equally logged. The audit log is exportable and discoverable.</w:t>
      </w:r>
    </w:p>
    <w:p>
      <w:pPr>
        <w:pStyle w:val="ListParagraph"/>
        <w:numPr>
          <w:ilvl w:val="0"/>
          <w:numId w:val="3"/>
        </w:numPr>
        <w:spacing w:after="80"/>
      </w:pPr>
      <w:r>
        <w:rPr>
          <w:b/>
          <w:bCs/>
        </w:rPr>
        <w:t xml:space="preserve">Notification to the affected user</w:t>
      </w:r>
      <w:r>
        <w:t xml:space="preserve"> — Configurable per revocation. In sensitive situations (e.g., dispute-driven walls), revocations may be silent to the affected user; in routine role-change situations they may be explicit. The choice is logged.</w:t>
      </w:r>
    </w:p>
    <w:p>
      <w:r>
        <w:br w:type="page"/>
      </w:r>
    </w:p>
    <w:p>
      <w:pPr>
        <w:pStyle w:val="Heading1"/>
        <w:spacing w:after="180" w:before="360"/>
      </w:pPr>
      <w:r>
        <w:t xml:space="preserve">10. Risks &amp; Assumptions</w:t>
      </w:r>
    </w:p>
    <w:p>
      <w:pPr>
        <w:pStyle w:val="Heading2"/>
        <w:spacing w:after="140" w:before="280"/>
      </w:pPr>
      <w:r>
        <w:t xml:space="preserve">10.1 Technical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Risk</w:t>
            </w:r>
          </w:p>
        </w:tc>
        <w:tc>
          <w:tcPr>
            <w:tcW w:type="dxa" w:w="46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Mitigation</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Email deliverability issues (spam filtering, bounces)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Proper SPF/DKIM/DMARC setup, monitored deliverability, managed inbound service</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AI hallucination producing inaccurate claims support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Mandatory citations, citation verification, confidence signaling, human verification gates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OCR errors on poor-quality scanned documents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Quality thresholds with manual review fallback; ability to correct OCR output</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Vector retrieval missing relevant content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Hybrid retrieval (vector + keyword), tunable; regression testing</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Performance degradation at scale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Per-contract index isolation, horizontal scaling architecture</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Authentication rework if M365 migration slips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Architect to Azure AD standards from day one; AD FS bridge is replaceable</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Data quality — poor-quality inputs producing poor AI outputs ("garbage in, garbage out")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Ingestion validation standards (minimum metadata, OCR quality thresholds, duplicate detection, format checks); contract onboarding checklist enforcing document completeness; explicit data-quality review step before a contract is marked Active; periodic data-quality audits; ability for users to flag poor-quality source material and block its use in AI retrieval until remediated</w:t>
            </w:r>
          </w:p>
        </w:tc>
      </w:tr>
    </w:tbl>
    <w:p>
      <w:pPr>
        <w:pStyle w:val="Heading2"/>
        <w:spacing w:after="140" w:before="280"/>
      </w:pPr>
      <w:r>
        <w:t xml:space="preserve">10.2 Legal &amp; Commercial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Risk</w:t>
            </w:r>
          </w:p>
        </w:tc>
        <w:tc>
          <w:tcPr>
            <w:tcW w:type="dxa" w:w="46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Mitigation</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Evidentiary admissibility of ingested emails challenged</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Preservation of original .eml with full headers; immutable audit trail; hash-based integrity verification</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Privileged or sensitive content inadvertently indexed</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Review queue, content filters, restricted access tier</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Over-reliance on AI-extracted deadlines leading to missed notice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Human verification gate on all extracted deadlines; clear unverified flagging</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Data residency or privacy non-compliance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Confirm residency requirements early; Azure region selection accordingly</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Lessons-learned surfacing sensitive information across contracts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Permission-gated, opt-in; highly confidential contracts excluded by default</w:t>
            </w:r>
          </w:p>
        </w:tc>
      </w:tr>
    </w:tbl>
    <w:p>
      <w:pPr>
        <w:pStyle w:val="Heading2"/>
        <w:spacing w:after="140" w:before="280"/>
      </w:pPr>
      <w:r>
        <w:t xml:space="preserve">10.3 Operational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Risk</w:t>
            </w:r>
          </w:p>
        </w:tc>
        <w:tc>
          <w:tcPr>
            <w:tcW w:type="dxa" w:w="46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b/>
                <w:bCs/>
                <w:color w:val="FFFFFF"/>
              </w:rPr>
              <w:t xml:space="preserve">Mitigation</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Low adoption — staff don't CC the project address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Training, internal champions, Phase 2 Outlook add-in to remove friction, leadership visibility of adoption metrics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Contract administrators overwhelmed by review queue volume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Sensible default rules, bulk actions, auto-approval for established sender domains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AI answers cited in external communications without verification</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UI warnings, export watermarks indicating AI-assisted origin, user training</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Knowledge silos if contracts not consistently onboarded</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Policy mandating onboarding above a defined threshold; leadership visibility</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Bid-to-contract handoff fails if Bid app schedule slips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Design handoff interface as optional in Phase 2; manual contract creation remains supported</w:t>
            </w:r>
          </w:p>
        </w:tc>
      </w:tr>
    </w:tbl>
    <w:p>
      <w:pPr>
        <w:pStyle w:val="Heading2"/>
        <w:spacing w:after="140" w:before="280"/>
      </w:pPr>
      <w:r>
        <w:t xml:space="preserve">10.4 Key Assumptions</w:t>
      </w:r>
    </w:p>
    <w:p>
      <w:pPr>
        <w:pStyle w:val="ListParagraph"/>
        <w:numPr>
          <w:ilvl w:val="0"/>
          <w:numId w:val="3"/>
        </w:numPr>
        <w:spacing w:after="80"/>
      </w:pPr>
      <w:r>
        <w:t xml:space="preserve">Technica's Microsoft 365 / Azure migration completes within approximately six months of Phase 1 kickoff.</w:t>
      </w:r>
    </w:p>
    <w:p>
      <w:pPr>
        <w:pStyle w:val="ListParagraph"/>
        <w:numPr>
          <w:ilvl w:val="0"/>
          <w:numId w:val="3"/>
        </w:numPr>
        <w:spacing w:after="80"/>
      </w:pPr>
      <w:r>
        <w:t xml:space="preserve">IT will support provisioning of the contracts.technicamining.com and kc.technicamining.com subdomains and associated DNS.</w:t>
      </w:r>
    </w:p>
    <w:p>
      <w:pPr>
        <w:pStyle w:val="ListParagraph"/>
        <w:numPr>
          <w:ilvl w:val="0"/>
          <w:numId w:val="3"/>
        </w:numPr>
        <w:spacing w:after="80"/>
      </w:pPr>
      <w:r>
        <w:t xml:space="preserve">A designated business owner is available for day-to-day product decisions during build.</w:t>
      </w:r>
    </w:p>
    <w:p>
      <w:pPr>
        <w:pStyle w:val="ListParagraph"/>
        <w:numPr>
          <w:ilvl w:val="0"/>
          <w:numId w:val="3"/>
        </w:numPr>
        <w:spacing w:after="80"/>
      </w:pPr>
      <w:r>
        <w:t xml:space="preserve">Contract data is owned by Technica and not subject to client-side restrictions preventing indexing (to be confirmed per contract type).</w:t>
      </w:r>
    </w:p>
    <w:p>
      <w:pPr>
        <w:pStyle w:val="ListParagraph"/>
        <w:numPr>
          <w:ilvl w:val="0"/>
          <w:numId w:val="3"/>
        </w:numPr>
        <w:spacing w:after="80"/>
      </w:pPr>
      <w:r>
        <w:t xml:space="preserve">The Bid Intake &amp; Generation application will expose a defined handoff interface in time for Phase 2.</w:t>
      </w:r>
    </w:p>
    <w:p>
      <w:r>
        <w:br w:type="page"/>
      </w:r>
    </w:p>
    <w:p>
      <w:pPr>
        <w:pStyle w:val="Heading1"/>
        <w:spacing w:after="180" w:before="360"/>
      </w:pPr>
      <w:r>
        <w:t xml:space="preserve">11. Phased Delivery Plan</w:t>
      </w:r>
    </w:p>
    <w:p>
      <w:pPr>
        <w:pStyle w:val="Heading2"/>
        <w:spacing w:after="140" w:before="280"/>
      </w:pPr>
      <w:r>
        <w:t xml:space="preserve">Phase 1 — MVP</w:t>
      </w:r>
    </w:p>
    <w:p>
      <w:pPr>
        <w:spacing w:after="140"/>
      </w:pPr>
      <w:r>
        <w:rPr>
          <w:b/>
          <w:bCs/>
        </w:rPr>
        <w:t xml:space="preserve">Goal: </w:t>
      </w:r>
      <w:r>
        <w:t xml:space="preserve">Deliver a production-grade tool that project managers, site supervisors, and commercial staff use daily from launch.</w:t>
      </w:r>
    </w:p>
    <w:p>
      <w:pPr>
        <w:pStyle w:val="ListParagraph"/>
        <w:numPr>
          <w:ilvl w:val="0"/>
          <w:numId w:val="3"/>
        </w:numPr>
        <w:spacing w:after="80"/>
      </w:pPr>
      <w:r>
        <w:t xml:space="preserve">Contract creation and document upload (contracts, drawings, specs, amendments, negotiation records, permits, insurance, bonds).</w:t>
      </w:r>
    </w:p>
    <w:p>
      <w:pPr>
        <w:pStyle w:val="ListParagraph"/>
        <w:numPr>
          <w:ilvl w:val="0"/>
          <w:numId w:val="3"/>
        </w:numPr>
        <w:spacing w:after="80"/>
      </w:pPr>
      <w:r>
        <w:t xml:space="preserve">Project-designated email ingestion with attachment handling, thread reconstruction, sender whitelisting, review queue, evidentiary preservation.</w:t>
      </w:r>
    </w:p>
    <w:p>
      <w:pPr>
        <w:pStyle w:val="ListParagraph"/>
        <w:numPr>
          <w:ilvl w:val="0"/>
          <w:numId w:val="3"/>
        </w:numPr>
        <w:spacing w:after="80"/>
      </w:pPr>
      <w:r>
        <w:t xml:space="preserve">AI Q&amp;A with mandatory citations back to source documents, clauses, and specific emails.</w:t>
      </w:r>
    </w:p>
    <w:p>
      <w:pPr>
        <w:pStyle w:val="ListParagraph"/>
        <w:numPr>
          <w:ilvl w:val="0"/>
          <w:numId w:val="3"/>
        </w:numPr>
        <w:spacing w:after="80"/>
      </w:pPr>
      <w:r>
        <w:t xml:space="preserve">Contract summary / cheat sheet view (AI-generated, human-verified).</w:t>
      </w:r>
    </w:p>
    <w:p>
      <w:pPr>
        <w:pStyle w:val="ListParagraph"/>
        <w:numPr>
          <w:ilvl w:val="0"/>
          <w:numId w:val="3"/>
        </w:numPr>
        <w:spacing w:after="80"/>
      </w:pPr>
      <w:r>
        <w:t xml:space="preserve">Notice &amp; deadline tracker with configurable alerts (AI-extracted, human-verified).</w:t>
      </w:r>
    </w:p>
    <w:p>
      <w:pPr>
        <w:pStyle w:val="ListParagraph"/>
        <w:numPr>
          <w:ilvl w:val="0"/>
          <w:numId w:val="3"/>
        </w:numPr>
        <w:spacing w:after="80"/>
      </w:pPr>
      <w:r>
        <w:t xml:space="preserve">Clause-to-clause cross-referencing.</w:t>
      </w:r>
    </w:p>
    <w:p>
      <w:pPr>
        <w:pStyle w:val="ListParagraph"/>
        <w:numPr>
          <w:ilvl w:val="0"/>
          <w:numId w:val="3"/>
        </w:numPr>
        <w:spacing w:after="80"/>
      </w:pPr>
      <w:r>
        <w:t xml:space="preserve">Client &amp; stakeholder contact directory with authority levels.</w:t>
      </w:r>
    </w:p>
    <w:p>
      <w:pPr>
        <w:pStyle w:val="ListParagraph"/>
        <w:numPr>
          <w:ilvl w:val="0"/>
          <w:numId w:val="3"/>
        </w:numPr>
        <w:spacing w:after="80"/>
      </w:pPr>
      <w:r>
        <w:t xml:space="preserve">Global search across all contract content.</w:t>
      </w:r>
    </w:p>
    <w:p>
      <w:pPr>
        <w:pStyle w:val="ListParagraph"/>
        <w:numPr>
          <w:ilvl w:val="0"/>
          <w:numId w:val="3"/>
        </w:numPr>
        <w:spacing w:after="80"/>
      </w:pPr>
      <w:r>
        <w:t xml:space="preserve">Basic notification digest (per-event).</w:t>
      </w:r>
    </w:p>
    <w:p>
      <w:pPr>
        <w:pStyle w:val="ListParagraph"/>
        <w:numPr>
          <w:ilvl w:val="0"/>
          <w:numId w:val="3"/>
        </w:numPr>
        <w:spacing w:after="80"/>
      </w:pPr>
      <w:r>
        <w:t xml:space="preserve">Contract dashboard, document viewer, email thread viewer, conversation interface, review queue, contact directory UI.</w:t>
      </w:r>
    </w:p>
    <w:p>
      <w:pPr>
        <w:pStyle w:val="ListParagraph"/>
        <w:numPr>
          <w:ilvl w:val="0"/>
          <w:numId w:val="3"/>
        </w:numPr>
        <w:spacing w:after="80"/>
      </w:pPr>
      <w:r>
        <w:t xml:space="preserve">Role-based permissions, audit trail, SSO (Azure AD or AD FS bridge).</w:t>
      </w:r>
    </w:p>
    <w:p>
      <w:pPr>
        <w:pStyle w:val="ListParagraph"/>
        <w:numPr>
          <w:ilvl w:val="0"/>
          <w:numId w:val="3"/>
        </w:numPr>
        <w:spacing w:after="80"/>
      </w:pPr>
      <w:r>
        <w:t xml:space="preserve">Administration UI for contract, user, and email address management.</w:t>
      </w:r>
    </w:p>
    <w:p>
      <w:pPr>
        <w:pStyle w:val="Heading3"/>
        <w:spacing w:after="120" w:before="200"/>
      </w:pPr>
      <w:r>
        <w:t xml:space="preserve">Phase 1 AI Scope — Deliberate Decision</w:t>
      </w:r>
    </w:p>
    <w:p>
      <w:pPr>
        <w:spacing w:after="140"/>
      </w:pPr>
      <w:r>
        <w:t xml:space="preserve">The AI capabilities included in Phase 1 — cited Q&amp;A, contract summary generation, deadline extraction, and clause cross-referencing — are a deliberate decision, not scope creep. They are the features that make the platform materially more valuable than a document repository with search, and they are the features that drive daily user adoption from launch.</w:t>
      </w:r>
    </w:p>
    <w:p>
      <w:pPr>
        <w:spacing w:after="140"/>
      </w:pPr>
      <w:r>
        <w:t xml:space="preserve">Stripping Phase 1 AI out would produce a filing cabinet with search. The resulting tool would not earn daily adoption, the investment case would weaken, and by the time AI is re-introduced in a later phase, entrenched habits (searching shared drives, emailing around for clauses, missing notices) would be much harder to dislodge.</w:t>
      </w:r>
    </w:p>
    <w:p>
      <w:pPr>
        <w:spacing w:after="140"/>
      </w:pPr>
      <w:r>
        <w:t xml:space="preserve">The Phase 1 AI features are mitigated by:</w:t>
      </w:r>
    </w:p>
    <w:p>
      <w:pPr>
        <w:pStyle w:val="ListParagraph"/>
        <w:numPr>
          <w:ilvl w:val="0"/>
          <w:numId w:val="3"/>
        </w:numPr>
        <w:spacing w:after="80"/>
      </w:pPr>
      <w:r>
        <w:t xml:space="preserve">Mandatory citations on every AI response, with citation verification.</w:t>
      </w:r>
    </w:p>
    <w:p>
      <w:pPr>
        <w:pStyle w:val="ListParagraph"/>
        <w:numPr>
          <w:ilvl w:val="0"/>
          <w:numId w:val="3"/>
        </w:numPr>
        <w:spacing w:after="80"/>
      </w:pPr>
      <w:r>
        <w:t xml:space="preserve">Human verification gates on AI-extracted summaries and deadlines before they become trusted references.</w:t>
      </w:r>
    </w:p>
    <w:p>
      <w:pPr>
        <w:pStyle w:val="ListParagraph"/>
        <w:numPr>
          <w:ilvl w:val="0"/>
          <w:numId w:val="3"/>
        </w:numPr>
        <w:spacing w:after="80"/>
      </w:pPr>
      <w:r>
        <w:t xml:space="preserve">Confidence signaling and refusal-on-insufficient-context behavior.</w:t>
      </w:r>
    </w:p>
    <w:p>
      <w:pPr>
        <w:pStyle w:val="ListParagraph"/>
        <w:numPr>
          <w:ilvl w:val="0"/>
          <w:numId w:val="3"/>
        </w:numPr>
        <w:spacing w:after="80"/>
      </w:pPr>
      <w:r>
        <w:t xml:space="preserve">A weekly audit cadence for the first 90 days.</w:t>
      </w:r>
    </w:p>
    <w:p>
      <w:pPr>
        <w:pStyle w:val="ListParagraph"/>
        <w:numPr>
          <w:ilvl w:val="0"/>
          <w:numId w:val="3"/>
        </w:numPr>
        <w:spacing w:after="80"/>
      </w:pPr>
      <w:r>
        <w:t xml:space="preserve">A regression test set run on every material change.</w:t>
      </w:r>
    </w:p>
    <w:p>
      <w:pPr>
        <w:spacing w:after="140"/>
      </w:pPr>
      <w:r>
        <w:t xml:space="preserve">Scope discipline in Phase 1 will be maintained by phasing more aggressively elsewhere (pushing Phase 2 candidates out if pressure emerges) rather than by hollowing out the Phase 1 AI layer. This decision should not be relitigated at each review cycle; any change requires explicit sign-off from the executive sponsor.</w:t>
      </w:r>
    </w:p>
    <w:p>
      <w:pPr>
        <w:pStyle w:val="Heading2"/>
        <w:spacing w:after="140" w:before="280"/>
      </w:pPr>
      <w:r>
        <w:t xml:space="preserve">Phase 2 — Adoption &amp; Lifecycle Depth</w:t>
      </w:r>
    </w:p>
    <w:p>
      <w:pPr>
        <w:spacing w:after="140"/>
      </w:pPr>
      <w:r>
        <w:rPr>
          <w:b/>
          <w:bCs/>
        </w:rPr>
        <w:t xml:space="preserve">Goal:</w:t>
      </w:r>
      <w:r>
        <w:t xml:space="preserve"> Convert the platform from “useful” to “commercially defensible.” Phase 2 is a coherent commercial-hardening release, not a grab-bag of features. The three features that drive this shift — Claim Readiness Score (3.35), Proactive AI Flagging (3.36), and Evidence Packaging (3.37) — depend on the supporting registers and lifecycle machinery delivered alongside them. The variation, risk, payment, insurance, and submittals registers exist so those three features have structured data to operate on; the lifecycle state machines exist so transitions between states drive the right actions, flags, and evidence captures at the right moments. Bid-to-contract handoff, the Outlook add-in, and outbound correspondence close the loop from upstream (bid) through execution, and the closeout checklist and interpretation log ensure nothing is lost at the back end. Cutting any of these in isolation weakens the commercial-defense intent of the release.</w:t>
      </w:r>
    </w:p>
    <w:p>
      <w:pPr>
        <w:pStyle w:val="ListParagraph"/>
        <w:numPr>
          <w:ilvl w:val="0"/>
          <w:numId w:val="3"/>
        </w:numPr>
        <w:spacing w:after="80"/>
      </w:pPr>
      <w:r>
        <w:t xml:space="preserve">Bid-to-contract handoff from Bid Intake &amp; Generation application.</w:t>
      </w:r>
    </w:p>
    <w:p>
      <w:pPr>
        <w:pStyle w:val="ListParagraph"/>
        <w:numPr>
          <w:ilvl w:val="0"/>
          <w:numId w:val="3"/>
        </w:numPr>
        <w:spacing w:after="80"/>
      </w:pPr>
      <w:r>
        <w:t xml:space="preserve">Contract change log / timeline view.</w:t>
      </w:r>
    </w:p>
    <w:p>
      <w:pPr>
        <w:pStyle w:val="ListParagraph"/>
        <w:numPr>
          <w:ilvl w:val="0"/>
          <w:numId w:val="3"/>
        </w:numPr>
        <w:spacing w:after="80"/>
      </w:pPr>
      <w:r>
        <w:t xml:space="preserve">Variation / change order register.</w:t>
      </w:r>
    </w:p>
    <w:p>
      <w:pPr>
        <w:pStyle w:val="ListParagraph"/>
        <w:numPr>
          <w:ilvl w:val="0"/>
          <w:numId w:val="3"/>
        </w:numPr>
        <w:spacing w:after="80"/>
      </w:pPr>
      <w:r>
        <w:t xml:space="preserve">Risk register.</w:t>
      </w:r>
    </w:p>
    <w:p>
      <w:pPr>
        <w:pStyle w:val="ListParagraph"/>
        <w:numPr>
          <w:ilvl w:val="0"/>
          <w:numId w:val="3"/>
        </w:numPr>
        <w:spacing w:after="80"/>
      </w:pPr>
      <w:r>
        <w:t xml:space="preserve">Interpretation / decision log.</w:t>
      </w:r>
    </w:p>
    <w:p>
      <w:pPr>
        <w:pStyle w:val="ListParagraph"/>
        <w:numPr>
          <w:ilvl w:val="0"/>
          <w:numId w:val="3"/>
        </w:numPr>
        <w:spacing w:after="80"/>
      </w:pPr>
      <w:r>
        <w:t xml:space="preserve">Daily site diary with contemporaneous-record protection.</w:t>
      </w:r>
    </w:p>
    <w:p>
      <w:pPr>
        <w:pStyle w:val="ListParagraph"/>
        <w:numPr>
          <w:ilvl w:val="0"/>
          <w:numId w:val="3"/>
        </w:numPr>
        <w:spacing w:after="80"/>
      </w:pPr>
      <w:r>
        <w:t xml:space="preserve">Payment application tracking.</w:t>
      </w:r>
    </w:p>
    <w:p>
      <w:pPr>
        <w:pStyle w:val="ListParagraph"/>
        <w:numPr>
          <w:ilvl w:val="0"/>
          <w:numId w:val="3"/>
        </w:numPr>
        <w:spacing w:after="80"/>
      </w:pPr>
      <w:r>
        <w:t xml:space="preserve">Insurance, bonds &amp; permit tracking.</w:t>
      </w:r>
    </w:p>
    <w:p>
      <w:pPr>
        <w:pStyle w:val="ListParagraph"/>
        <w:numPr>
          <w:ilvl w:val="0"/>
          <w:numId w:val="3"/>
        </w:numPr>
        <w:spacing w:after="80"/>
      </w:pPr>
      <w:r>
        <w:t xml:space="preserve">Claim drafting workspace with evidence bundling.</w:t>
      </w:r>
    </w:p>
    <w:p>
      <w:pPr>
        <w:pStyle w:val="ListParagraph"/>
        <w:numPr>
          <w:ilvl w:val="0"/>
          <w:numId w:val="3"/>
        </w:numPr>
        <w:spacing w:after="80"/>
      </w:pPr>
      <w:r>
        <w:t xml:space="preserve">Claim register &amp; status tracker.</w:t>
      </w:r>
    </w:p>
    <w:p>
      <w:pPr>
        <w:pStyle w:val="ListParagraph"/>
        <w:numPr>
          <w:ilvl w:val="0"/>
          <w:numId w:val="3"/>
        </w:numPr>
        <w:spacing w:after="80"/>
      </w:pPr>
      <w:r>
        <w:t xml:space="preserve">Outbound correspondence from project address with enforced naming, metadata, auto-BCC, and template library.</w:t>
      </w:r>
    </w:p>
    <w:p>
      <w:pPr>
        <w:pStyle w:val="ListParagraph"/>
        <w:numPr>
          <w:ilvl w:val="0"/>
          <w:numId w:val="3"/>
        </w:numPr>
        <w:spacing w:after="80"/>
      </w:pPr>
      <w:r>
        <w:t xml:space="preserve">Drawing comparison tool ("what changed?").</w:t>
      </w:r>
    </w:p>
    <w:p>
      <w:pPr>
        <w:pStyle w:val="ListParagraph"/>
        <w:numPr>
          <w:ilvl w:val="0"/>
          <w:numId w:val="3"/>
        </w:numPr>
        <w:spacing w:after="80"/>
      </w:pPr>
      <w:r>
        <w:t xml:space="preserve">"Send to Contract" Outlook add-in.</w:t>
      </w:r>
    </w:p>
    <w:p>
      <w:pPr>
        <w:pStyle w:val="ListParagraph"/>
        <w:numPr>
          <w:ilvl w:val="0"/>
          <w:numId w:val="3"/>
        </w:numPr>
        <w:spacing w:after="80"/>
      </w:pPr>
      <w:r>
        <w:t xml:space="preserve">Meeting minutes ingestion with action item extraction.</w:t>
      </w:r>
    </w:p>
    <w:p>
      <w:pPr>
        <w:pStyle w:val="ListParagraph"/>
        <w:numPr>
          <w:ilvl w:val="0"/>
          <w:numId w:val="3"/>
        </w:numPr>
        <w:spacing w:after="80"/>
      </w:pPr>
      <w:r>
        <w:t xml:space="preserve">Project closeout checklists with certificate generation.</w:t>
      </w:r>
    </w:p>
    <w:p>
      <w:pPr>
        <w:pStyle w:val="ListParagraph"/>
        <w:numPr>
          <w:ilvl w:val="0"/>
          <w:numId w:val="3"/>
        </w:numPr>
        <w:spacing w:after="80"/>
      </w:pPr>
      <w:r>
        <w:t xml:space="preserve">Full configurable notification digest.</w:t>
      </w:r>
    </w:p>
    <w:p>
      <w:pPr>
        <w:pStyle w:val="ListParagraph"/>
        <w:numPr>
          <w:ilvl w:val="0"/>
          <w:numId w:val="3"/>
        </w:numPr>
        <w:spacing w:after="80"/>
      </w:pPr>
      <w:r>
        <w:t xml:space="preserve">Lifecycle state machines for contracts, claims, variations, RFIs, and obligations with gated transitions.</w:t>
      </w:r>
    </w:p>
    <w:p>
      <w:pPr>
        <w:pStyle w:val="ListParagraph"/>
        <w:numPr>
          <w:ilvl w:val="0"/>
          <w:numId w:val="3"/>
        </w:numPr>
        <w:spacing w:after="80"/>
      </w:pPr>
      <w:r>
        <w:t xml:space="preserve">Claim Readiness Score with notice, evidence, timeline, clause, and quantum components.</w:t>
      </w:r>
    </w:p>
    <w:p>
      <w:pPr>
        <w:pStyle w:val="ListParagraph"/>
        <w:numPr>
          <w:ilvl w:val="0"/>
          <w:numId w:val="3"/>
        </w:numPr>
        <w:spacing w:after="80"/>
      </w:pPr>
      <w:r>
        <w:t xml:space="preserve">Proactive AI Flagging — unprompted identification of potential notices, scope changes, and deadline risks.</w:t>
      </w:r>
    </w:p>
    <w:p>
      <w:pPr>
        <w:pStyle w:val="ListParagraph"/>
        <w:numPr>
          <w:ilvl w:val="0"/>
          <w:numId w:val="3"/>
        </w:numPr>
        <w:spacing w:after="80"/>
      </w:pPr>
      <w:r>
        <w:t xml:space="preserve">Standalone Evidence Packaging tool producing PDF portfolios and native-format ZIP bundles.</w:t>
      </w:r>
    </w:p>
    <w:p>
      <w:pPr>
        <w:pStyle w:val="Heading2"/>
        <w:spacing w:after="140" w:before="280"/>
      </w:pPr>
      <w:r>
        <w:t xml:space="preserve">Phase 3 — Strategic &amp; Institutional Capability</w:t>
      </w:r>
    </w:p>
    <w:p>
      <w:pPr>
        <w:pStyle w:val="ListParagraph"/>
        <w:numPr>
          <w:ilvl w:val="0"/>
          <w:numId w:val="3"/>
        </w:numPr>
        <w:spacing w:after="80"/>
      </w:pPr>
      <w:r>
        <w:t xml:space="preserve">Cross-contract precedent search.</w:t>
      </w:r>
    </w:p>
    <w:p>
      <w:pPr>
        <w:pStyle w:val="ListParagraph"/>
        <w:numPr>
          <w:ilvl w:val="0"/>
          <w:numId w:val="3"/>
        </w:numPr>
        <w:spacing w:after="80"/>
      </w:pPr>
      <w:r>
        <w:t xml:space="preserve">Automated lessons learned loop into Bid Intake &amp; Generation.</w:t>
      </w:r>
    </w:p>
    <w:p>
      <w:pPr>
        <w:pStyle w:val="ListParagraph"/>
        <w:numPr>
          <w:ilvl w:val="0"/>
          <w:numId w:val="3"/>
        </w:numPr>
        <w:spacing w:after="80"/>
      </w:pPr>
      <w:r>
        <w:t xml:space="preserve">"Devil's advocate" claim review.</w:t>
      </w:r>
    </w:p>
    <w:p>
      <w:pPr>
        <w:pStyle w:val="ListParagraph"/>
        <w:numPr>
          <w:ilvl w:val="0"/>
          <w:numId w:val="3"/>
        </w:numPr>
        <w:spacing w:after="80"/>
      </w:pPr>
      <w:r>
        <w:t xml:space="preserve">Voice note ingestion from site.</w:t>
      </w:r>
    </w:p>
    <w:p>
      <w:pPr>
        <w:pStyle w:val="ListParagraph"/>
        <w:numPr>
          <w:ilvl w:val="0"/>
          <w:numId w:val="3"/>
        </w:numPr>
        <w:spacing w:after="80"/>
      </w:pPr>
      <w:r>
        <w:t xml:space="preserve">Subcontractor/supplier contract linking and flow-down checking.</w:t>
      </w:r>
    </w:p>
    <w:p>
      <w:pPr>
        <w:pStyle w:val="ListParagraph"/>
        <w:numPr>
          <w:ilvl w:val="0"/>
          <w:numId w:val="3"/>
        </w:numPr>
        <w:spacing w:after="80"/>
      </w:pPr>
      <w:r>
        <w:t xml:space="preserve">AI-assisted contract review at tender.</w:t>
      </w:r>
    </w:p>
    <w:p>
      <w:pPr>
        <w:pStyle w:val="ListParagraph"/>
        <w:numPr>
          <w:ilvl w:val="0"/>
          <w:numId w:val="3"/>
        </w:numPr>
        <w:spacing w:after="80"/>
      </w:pPr>
      <w:r>
        <w:t xml:space="preserve">Contract risk scoring dashboard.</w:t>
      </w:r>
    </w:p>
    <w:p>
      <w:pPr>
        <w:pStyle w:val="ListParagraph"/>
        <w:numPr>
          <w:ilvl w:val="0"/>
          <w:numId w:val="3"/>
        </w:numPr>
        <w:spacing w:after="80"/>
      </w:pPr>
      <w:r>
        <w:t xml:space="preserve">Photo and video evidence ingestion.</w:t>
      </w:r>
    </w:p>
    <w:p>
      <w:pPr>
        <w:pStyle w:val="ListParagraph"/>
        <w:numPr>
          <w:ilvl w:val="0"/>
          <w:numId w:val="3"/>
        </w:numPr>
        <w:spacing w:after="80"/>
      </w:pPr>
      <w:r>
        <w:t xml:space="preserve">Scheduling tool integration (P6, MS Project) for delay analysis.</w:t>
      </w:r>
    </w:p>
    <w:p>
      <w:pPr>
        <w:pStyle w:val="Heading2"/>
        <w:spacing w:after="140" w:before="280"/>
      </w:pPr>
      <w:r>
        <w:t xml:space="preserve">Phase 4 — Enterprise Document Management</w:t>
      </w:r>
    </w:p>
    <w:p>
      <w:pPr>
        <w:pStyle w:val="ListParagraph"/>
        <w:numPr>
          <w:ilvl w:val="0"/>
          <w:numId w:val="3"/>
        </w:numPr>
        <w:spacing w:after="80"/>
      </w:pPr>
      <w:r>
        <w:t xml:space="preserve">Graduates the platform into a full DMS for the business, extending beyond contracts to all business documents.</w:t>
      </w:r>
    </w:p>
    <w:p>
      <w:pPr>
        <w:pStyle w:val="ListParagraph"/>
        <w:numPr>
          <w:ilvl w:val="0"/>
          <w:numId w:val="3"/>
        </w:numPr>
        <w:spacing w:after="80"/>
      </w:pPr>
      <w:r>
        <w:t xml:space="preserve">Check-in/check-out, document approval workflows, retention policies, records classification, legal hold.</w:t>
      </w:r>
    </w:p>
    <w:p>
      <w:pPr>
        <w:pStyle w:val="ListParagraph"/>
        <w:numPr>
          <w:ilvl w:val="0"/>
          <w:numId w:val="3"/>
        </w:numPr>
        <w:spacing w:after="80"/>
      </w:pPr>
      <w:r>
        <w:t xml:space="preserve">Migration from existing network drives and file shares.</w:t>
      </w:r>
    </w:p>
    <w:p>
      <w:pPr>
        <w:pStyle w:val="ListParagraph"/>
        <w:numPr>
          <w:ilvl w:val="0"/>
          <w:numId w:val="3"/>
        </w:numPr>
        <w:spacing w:after="80"/>
      </w:pPr>
      <w:r>
        <w:t xml:space="preserve">Single governed document system for the business, integrated with the rest of TKC.</w:t>
      </w:r>
    </w:p>
    <w:p>
      <w:pPr>
        <w:pStyle w:val="Heading2"/>
        <w:spacing w:after="140" w:before="280"/>
      </w:pPr>
      <w:r>
        <w:t xml:space="preserve">11.5 Training &amp; Change Management Workstream</w:t>
      </w:r>
    </w:p>
    <w:p>
      <w:pPr>
        <w:spacing w:after="140"/>
      </w:pPr>
      <w:r>
        <w:t xml:space="preserve">Section 10.3 identifies low adoption as the top operational risk. A platform of this value dies quietly if project managers keep searching shared drives, site supervisors keep jotting notes in pocketbooks that never reach the record, and commercial staff keep rebuilding evidence bundles by hand. Training and change management are not a post-launch afterthought; they are a named parallel workstream running from Phase 1 kickoff through the first twelve months of production operation.</w:t>
      </w:r>
    </w:p>
    <w:p>
      <w:pPr>
        <w:pStyle w:val="ListParagraph"/>
        <w:numPr>
          <w:ilvl w:val="0"/>
          <w:numId w:val="3"/>
        </w:numPr>
        <w:spacing w:after="80"/>
      </w:pPr>
      <w:r>
        <w:rPr>
          <w:b/>
          <w:bCs/>
        </w:rPr>
        <w:t xml:space="preserve">Training plan</w:t>
      </w:r>
      <w:r>
        <w:t xml:space="preserve"> — Role-based training tracks for each primary persona (PM, Commercial/Claims, Estimator, Site Supervisor, Contract Admin, Leadership, IT). Hands-on workshops rather than passive recorded content, delivered against a real pilot contract so staff practice on live data.</w:t>
      </w:r>
    </w:p>
    <w:p>
      <w:pPr>
        <w:pStyle w:val="ListParagraph"/>
        <w:numPr>
          <w:ilvl w:val="0"/>
          <w:numId w:val="3"/>
        </w:numPr>
        <w:spacing w:after="80"/>
      </w:pPr>
      <w:r>
        <w:rPr>
          <w:b/>
          <w:bCs/>
        </w:rPr>
        <w:t xml:space="preserve">Champions program</w:t>
      </w:r>
      <w:r>
        <w:t xml:space="preserve"> — One named champion per division or major contract, drawn from the people who actually do the daily work (not the IT team). Champions get early access, deeper training, and a direct line to the product team for feedback. They are the first call when a colleague has a question.</w:t>
      </w:r>
    </w:p>
    <w:p>
      <w:pPr>
        <w:pStyle w:val="ListParagraph"/>
        <w:numPr>
          <w:ilvl w:val="0"/>
          <w:numId w:val="3"/>
        </w:numPr>
        <w:spacing w:after="80"/>
      </w:pPr>
      <w:r>
        <w:rPr>
          <w:b/>
          <w:bCs/>
        </w:rPr>
        <w:t xml:space="preserve">Adoption dashboard</w:t>
      </w:r>
      <w:r>
        <w:t xml:space="preserve"> — Leadership-visible metrics: active weekly users within each target role, contracts onboarded above threshold, AI query volume, deadline verification rate, diary entries per active contract, review-queue latency, and the count of outbound emails sent through the platform vs. outside it. What gets measured gets managed.</w:t>
      </w:r>
    </w:p>
    <w:p>
      <w:pPr>
        <w:pStyle w:val="ListParagraph"/>
        <w:numPr>
          <w:ilvl w:val="0"/>
          <w:numId w:val="3"/>
        </w:numPr>
        <w:spacing w:after="80"/>
      </w:pPr>
      <w:r>
        <w:rPr>
          <w:b/>
          <w:bCs/>
        </w:rPr>
        <w:t xml:space="preserve">Communication plan</w:t>
      </w:r>
      <w:r>
        <w:t xml:space="preserve"> — Pre-launch briefings, launch announcement from the VP of Operations (per Section 12 recommendation 28), monthly “what’s new” notes in the first six months, and a quarterly review with leadership for the first year.</w:t>
      </w:r>
    </w:p>
    <w:p>
      <w:pPr>
        <w:pStyle w:val="ListParagraph"/>
        <w:numPr>
          <w:ilvl w:val="0"/>
          <w:numId w:val="3"/>
        </w:numPr>
        <w:spacing w:after="80"/>
      </w:pPr>
      <w:r>
        <w:rPr>
          <w:b/>
          <w:bCs/>
        </w:rPr>
        <w:t xml:space="preserve">Ownership</w:t>
      </w:r>
      <w:r>
        <w:t xml:space="preserve"> — Business Manager owns this workstream as product owner. The Knowledge Centre Administrator supports on platform specifics. HR/L&amp;D partners on training logistics. Executive sponsor (VP Operations) owns adoption accountability.</w:t>
      </w:r>
    </w:p>
    <w:p>
      <w:pPr>
        <w:pStyle w:val="ListParagraph"/>
        <w:numPr>
          <w:ilvl w:val="0"/>
          <w:numId w:val="3"/>
        </w:numPr>
        <w:spacing w:after="80"/>
      </w:pPr>
      <w:r>
        <w:rPr>
          <w:b/>
          <w:bCs/>
        </w:rPr>
        <w:t xml:space="preserve">Budget</w:t>
      </w:r>
      <w:r>
        <w:t xml:space="preserve"> — A defined training and change management budget line, separate from build cost, covering training delivery, champion time allocation, and communications material. Underfunding this line is the fastest way to lose the investment made in the build.</w:t>
      </w:r>
    </w:p>
    <w:p>
      <w:r>
        <w:br w:type="page"/>
      </w:r>
    </w:p>
    <w:p>
      <w:pPr>
        <w:pStyle w:val="Heading1"/>
        <w:spacing w:after="180" w:before="360"/>
      </w:pPr>
      <w:r>
        <w:t xml:space="preserve">12. Open Questions &amp; Recommended Starting Positions</w:t>
      </w:r>
    </w:p>
    <w:p>
      <w:pPr>
        <w:spacing w:after="140"/>
      </w:pPr>
      <w:r>
        <w:t xml:space="preserve">Each question below includes a recommended starting position to accelerate stakeholder decisions. Recommendations are the default; stakeholders can accept, adjust, or override.</w:t>
      </w:r>
    </w:p>
    <w:p>
      <w:pPr>
        <w:pStyle w:val="Heading2"/>
        <w:spacing w:after="140" w:before="280"/>
      </w:pPr>
      <w:r>
        <w:t xml:space="preserve">Section 1 — Objectives &amp; Success Criteria</w:t>
      </w:r>
    </w:p>
    <w:p>
      <w:pPr>
        <w:spacing w:after="80" w:before="160"/>
      </w:pPr>
      <w:r>
        <w:rPr>
          <w:b/>
          <w:bCs/>
        </w:rPr>
        <w:t xml:space="preserve">1. Contract value threshold for mandatory onboarding</w:t>
      </w:r>
    </w:p>
    <w:p>
      <w:pPr>
        <w:spacing w:after="140"/>
      </w:pPr>
      <w:r>
        <w:rPr>
          <w:b/>
          <w:bCs/>
          <w:i/>
          <w:iCs/>
        </w:rPr>
        <w:t xml:space="preserve">Recommendation: </w:t>
      </w:r>
      <w:r>
        <w:t xml:space="preserve">All contracts above $500,000 CAD plus any contract flagged as high-risk regardless of value (disputed, novel client, unusual scope, political sensitivity). Below $500K remains optional but encouraged. This threshold captures the contracts where claims, disputes, and scope arguments carry financial consequence, without drowning the platform in low-value work orders in its first year.</w:t>
      </w:r>
    </w:p>
    <w:p>
      <w:pPr>
        <w:spacing w:after="80" w:before="160"/>
      </w:pPr>
      <w:r>
        <w:rPr>
          <w:b/>
          <w:bCs/>
        </w:rPr>
        <w:t xml:space="preserve">2. Baseline for "time to answer a scope question"</w:t>
      </w:r>
    </w:p>
    <w:p>
      <w:pPr>
        <w:spacing w:after="140"/>
      </w:pPr>
      <w:r>
        <w:rPr>
          <w:b/>
          <w:bCs/>
          <w:i/>
          <w:iCs/>
        </w:rPr>
        <w:t xml:space="preserve">Recommendation: </w:t>
      </w:r>
      <w:r>
        <w:t xml:space="preserve">Run a two-week baseline study before Phase 1 kickoff. Ask 5–10 PMs and commercial staff to log the time taken on each scope/entitlement question they handle. Target is anecdotal improvement validated by a second two-week study six months post-launch. Gives leadership a credible before/after story rather than a made-up number.</w:t>
      </w:r>
    </w:p>
    <w:p>
      <w:pPr>
        <w:spacing w:after="80" w:before="160"/>
      </w:pPr>
      <w:r>
        <w:rPr>
          <w:b/>
          <w:bCs/>
        </w:rPr>
        <w:t xml:space="preserve">3. Pilot contract — active dispute vs fresh contract</w:t>
      </w:r>
    </w:p>
    <w:p>
      <w:pPr>
        <w:spacing w:after="140"/>
      </w:pPr>
      <w:r>
        <w:rPr>
          <w:b/>
          <w:bCs/>
          <w:i/>
          <w:iCs/>
        </w:rPr>
        <w:t xml:space="preserve">Recommendation: </w:t>
      </w:r>
      <w:r>
        <w:t xml:space="preserve">One of each. A fresh contract proves the platform works from day one and builds clean data. An active (but not critical-path) dispute proves the claims and evidence-retrieval capabilities where the stakes are real. Avoid piloting on a litigation-stage dispute — the pressure is wrong for a new tool.</w:t>
      </w:r>
    </w:p>
    <w:p>
      <w:pPr>
        <w:pStyle w:val="Heading2"/>
        <w:spacing w:after="140" w:before="280"/>
      </w:pPr>
      <w:r>
        <w:t xml:space="preserve">Section 2 — Personas &amp; Use Cases</w:t>
      </w:r>
    </w:p>
    <w:p>
      <w:pPr>
        <w:spacing w:after="80" w:before="160"/>
      </w:pPr>
      <w:r>
        <w:rPr>
          <w:b/>
          <w:bCs/>
        </w:rPr>
        <w:t xml:space="preserve">4. Additional personas (Safety, QA/QC, Environmental)</w:t>
      </w:r>
    </w:p>
    <w:p>
      <w:pPr>
        <w:spacing w:after="140"/>
      </w:pPr>
      <w:r>
        <w:rPr>
          <w:b/>
          <w:bCs/>
          <w:i/>
          <w:iCs/>
        </w:rPr>
        <w:t xml:space="preserve">Recommendation: </w:t>
      </w:r>
      <w:r>
        <w:t xml:space="preserve">Add Safety and QA/QC as first-class personas in Phase 2; Environmental as a contact/notification stakeholder in Phase 1. Safety and QA/QC generate and consume significant contractual documentation (incident reports, inspection records, non-conformance reports) that feeds claims and disputes. Environmental tends to be narrower and permit-focused, which the Phase 2 permit tracker handles.</w:t>
      </w:r>
    </w:p>
    <w:p>
      <w:pPr>
        <w:spacing w:after="80" w:before="160"/>
      </w:pPr>
      <w:r>
        <w:rPr>
          <w:b/>
          <w:bCs/>
        </w:rPr>
        <w:t xml:space="preserve">5. Client read access to a sanitized view</w:t>
      </w:r>
    </w:p>
    <w:p>
      <w:pPr>
        <w:spacing w:after="140"/>
      </w:pPr>
      <w:r>
        <w:rPr>
          <w:b/>
          <w:bCs/>
          <w:i/>
          <w:iCs/>
        </w:rPr>
        <w:t xml:space="preserve">Recommendation: </w:t>
      </w:r>
      <w:r>
        <w:t xml:space="preserve">Out of scope through Phase 3; revisit in Phase 4. Internal-only for now. A client-facing portal is a different product with different security requirements and opens commercial questions. Revisit once the internal platform is mature.</w:t>
      </w:r>
    </w:p>
    <w:p>
      <w:pPr>
        <w:pStyle w:val="Heading2"/>
        <w:spacing w:after="140" w:before="280"/>
      </w:pPr>
      <w:r>
        <w:t xml:space="preserve">Section 3 — Functional Requirements</w:t>
      </w:r>
    </w:p>
    <w:p>
      <w:pPr>
        <w:spacing w:after="80" w:before="160"/>
      </w:pPr>
      <w:r>
        <w:rPr>
          <w:b/>
          <w:bCs/>
        </w:rPr>
        <w:t xml:space="preserve">6. File formats beyond PDF, DOCX, XLSX, DWG, images</w:t>
      </w:r>
    </w:p>
    <w:p>
      <w:pPr>
        <w:spacing w:after="140"/>
      </w:pPr>
      <w:r>
        <w:rPr>
          <w:b/>
          <w:bCs/>
          <w:i/>
          <w:iCs/>
        </w:rPr>
        <w:t xml:space="preserve">Recommendation: </w:t>
      </w:r>
      <w:r>
        <w:t xml:space="preserve">Phase 1: add Bluebeam PDF with markups preserved, .msg and .eml email files, .txt, .csv. Phase 2: add Revit .rvt and IFC files for BIM model viewing. Phase 3: add 3D scan formats if mining operations are moving that direction. Starting narrow keeps the viewer reliable.</w:t>
      </w:r>
    </w:p>
    <w:p>
      <w:pPr>
        <w:spacing w:after="80" w:before="160"/>
      </w:pPr>
      <w:r>
        <w:rPr>
          <w:b/>
          <w:bCs/>
        </w:rPr>
        <w:t xml:space="preserve">7. In-app drawing markup/annotation in Phase 1</w:t>
      </w:r>
    </w:p>
    <w:p>
      <w:pPr>
        <w:spacing w:after="140"/>
      </w:pPr>
      <w:r>
        <w:rPr>
          <w:b/>
          <w:bCs/>
          <w:i/>
          <w:iCs/>
        </w:rPr>
        <w:t xml:space="preserve">Recommendation: </w:t>
      </w:r>
      <w:r>
        <w:t xml:space="preserve">View-only in Phase 1, markup in Phase 2 as part of the drawing comparison tool. Markup is a feature users will love but is surprisingly hard to build well; worth a dedicated phase rather than compromising the MVP timeline.</w:t>
      </w:r>
    </w:p>
    <w:p>
      <w:pPr>
        <w:spacing w:after="80" w:before="160"/>
      </w:pPr>
      <w:r>
        <w:rPr>
          <w:b/>
          <w:bCs/>
        </w:rPr>
        <w:t xml:space="preserve">8. Email alias format convention</w:t>
      </w:r>
    </w:p>
    <w:p>
      <w:pPr>
        <w:spacing w:after="140"/>
      </w:pPr>
      <w:r>
        <w:rPr>
          <w:b/>
          <w:bCs/>
          <w:i/>
          <w:iCs/>
        </w:rPr>
        <w:t xml:space="preserve">Recommendation: </w:t>
      </w:r>
      <w:r>
        <w:t xml:space="preserve">Human-readable alias as the primary address (e.g., redlake-expansion@contracts.technicamining.com) with a system-generated contract number address as a permanent fallback (e.g., c-1234@contracts.technicamining.com). Both forward to the same contract. Site teams will remember the name; the contract number guarantees uniqueness.</w:t>
      </w:r>
    </w:p>
    <w:p>
      <w:pPr>
        <w:spacing w:after="80" w:before="160"/>
      </w:pPr>
      <w:r>
        <w:rPr>
          <w:b/>
          <w:bCs/>
        </w:rPr>
        <w:t xml:space="preserve">9. Diary edit-lock window</w:t>
      </w:r>
    </w:p>
    <w:p>
      <w:pPr>
        <w:spacing w:after="140"/>
      </w:pPr>
      <w:r>
        <w:rPr>
          <w:b/>
          <w:bCs/>
          <w:i/>
          <w:iCs/>
        </w:rPr>
        <w:t xml:space="preserve">Recommendation: </w:t>
      </w:r>
      <w:r>
        <w:t xml:space="preserve">End of next business day. Long enough that a super can finish the entry the morning after a late shift, short enough to preserve contemporaneous-record evidentiary weight. After lock, additions go in as dated supplementary entries rather than edits — exactly how courts expect site records to behave.</w:t>
      </w:r>
    </w:p>
    <w:p>
      <w:pPr>
        <w:spacing w:after="80" w:before="160"/>
      </w:pPr>
      <w:r>
        <w:rPr>
          <w:b/>
          <w:bCs/>
        </w:rPr>
        <w:t xml:space="preserve">10. Existing closeout checklist templates</w:t>
      </w:r>
    </w:p>
    <w:p>
      <w:pPr>
        <w:spacing w:after="140"/>
      </w:pPr>
      <w:r>
        <w:rPr>
          <w:b/>
          <w:bCs/>
          <w:i/>
          <w:iCs/>
        </w:rPr>
        <w:t xml:space="preserve">Recommendation: </w:t>
      </w:r>
      <w:r>
        <w:t xml:space="preserve">Ask operations to supply their current closeout checklists (every PM has one). Consolidate into 3–4 master templates (EPC, construction, supply, services) and refine from there. Do not design these from scratch — the knowledge already exists in the business.</w:t>
      </w:r>
    </w:p>
    <w:p>
      <w:pPr>
        <w:pStyle w:val="Heading2"/>
        <w:spacing w:after="140" w:before="280"/>
      </w:pPr>
      <w:r>
        <w:t xml:space="preserve">Section 4 — Non-Functional Requirements</w:t>
      </w:r>
    </w:p>
    <w:p>
      <w:pPr>
        <w:spacing w:after="80" w:before="160"/>
      </w:pPr>
      <w:r>
        <w:rPr>
          <w:b/>
          <w:bCs/>
        </w:rPr>
        <w:t xml:space="preserve">11. Data residency</w:t>
      </w:r>
    </w:p>
    <w:p>
      <w:pPr>
        <w:spacing w:after="140"/>
      </w:pPr>
      <w:r>
        <w:rPr>
          <w:b/>
          <w:bCs/>
          <w:i/>
          <w:iCs/>
        </w:rPr>
        <w:t xml:space="preserve">Recommendation: </w:t>
      </w:r>
      <w:r>
        <w:t xml:space="preserve">Canada-only. Azure Canada Central (Toronto) primary, Canada East (Quebec City) for backup. Covers PIPEDA, provincial privacy requirements, and any client contract clauses requiring Canadian data storage — increasingly common in mining.</w:t>
      </w:r>
    </w:p>
    <w:p>
      <w:pPr>
        <w:spacing w:after="80" w:before="160"/>
      </w:pPr>
      <w:r>
        <w:rPr>
          <w:b/>
          <w:bCs/>
        </w:rPr>
        <w:t xml:space="preserve">12. Record retention period</w:t>
      </w:r>
    </w:p>
    <w:p>
      <w:pPr>
        <w:spacing w:after="140"/>
      </w:pPr>
      <w:r>
        <w:rPr>
          <w:b/>
          <w:bCs/>
          <w:i/>
          <w:iCs/>
        </w:rPr>
        <w:t xml:space="preserve">Recommendation: </w:t>
      </w:r>
      <w:r>
        <w:t xml:space="preserve">Life of contract plus 15 years as the default, with legal hold overriding. Aligns with typical construction statute of limitations and mining-sector practice for long-tail liabilities (environmental, warranty, latent defects). Confirm with legal and records management before locking.</w:t>
      </w:r>
    </w:p>
    <w:p>
      <w:pPr>
        <w:spacing w:after="80" w:before="160"/>
      </w:pPr>
      <w:r>
        <w:rPr>
          <w:b/>
          <w:bCs/>
        </w:rPr>
        <w:t xml:space="preserve">13. Native mobile app</w:t>
      </w:r>
    </w:p>
    <w:p>
      <w:pPr>
        <w:spacing w:after="140"/>
      </w:pPr>
      <w:r>
        <w:rPr>
          <w:b/>
          <w:bCs/>
          <w:i/>
          <w:iCs/>
        </w:rPr>
        <w:t xml:space="preserve">Recommendation: </w:t>
      </w:r>
      <w:r>
        <w:t xml:space="preserve">Mobile-responsive web through Phase 2. Revisit a native app for Phase 3 if diary, voice notes, and photo evidence drive field adoption that responsive web can't serve. Native app adds meaningful cost and ongoing maintenance; defer until the need is proven.</w:t>
      </w:r>
    </w:p>
    <w:p>
      <w:pPr>
        <w:pStyle w:val="Heading2"/>
        <w:spacing w:after="140" w:before="280"/>
      </w:pPr>
      <w:r>
        <w:t xml:space="preserve">Section 5 — Data Architecture</w:t>
      </w:r>
    </w:p>
    <w:p>
      <w:pPr>
        <w:spacing w:after="80" w:before="160"/>
      </w:pPr>
      <w:r>
        <w:rPr>
          <w:b/>
          <w:bCs/>
        </w:rPr>
        <w:t xml:space="preserve">14. Post-Phase-4 DMS — replace or coexist with existing stores</w:t>
      </w:r>
    </w:p>
    <w:p>
      <w:pPr>
        <w:spacing w:after="140"/>
      </w:pPr>
      <w:r>
        <w:rPr>
          <w:b/>
          <w:bCs/>
          <w:i/>
          <w:iCs/>
        </w:rPr>
        <w:t xml:space="preserve">Recommendation: </w:t>
      </w:r>
      <w:r>
        <w:t xml:space="preserve">Replace, with a staged migration. A single governed system is the whole point of Phase 4. Coexistence defeats it and creates a perpetual "which copy is authoritative" problem. Staging: new documents land in TKC from day one of Phase 4; historical content migrates over 12–18 months by department.</w:t>
      </w:r>
    </w:p>
    <w:p>
      <w:pPr>
        <w:spacing w:after="80" w:before="160"/>
      </w:pPr>
      <w:r>
        <w:rPr>
          <w:b/>
          <w:bCs/>
        </w:rPr>
        <w:t xml:space="preserve">15. Contracts spanning multiple phases/sites/work packages</w:t>
      </w:r>
    </w:p>
    <w:p>
      <w:pPr>
        <w:spacing w:after="140"/>
      </w:pPr>
      <w:r>
        <w:rPr>
          <w:b/>
          <w:bCs/>
          <w:i/>
          <w:iCs/>
        </w:rPr>
        <w:t xml:space="preserve">Recommendation: </w:t>
      </w:r>
      <w:r>
        <w:t xml:space="preserve">Single contract record as the legal/commercial truth, with sub-contexts (work packages, sites, phases) as tagged partitions within it. Claims and disputes live at the contract level; operational work lives at the sub-context level. Matches how the contract itself is structured and keeps entitlements analysis coherent.</w:t>
      </w:r>
    </w:p>
    <w:p>
      <w:pPr>
        <w:pStyle w:val="Heading2"/>
        <w:spacing w:after="140" w:before="280"/>
      </w:pPr>
      <w:r>
        <w:t xml:space="preserve">Section 6 — AI/LLM Layer</w:t>
      </w:r>
    </w:p>
    <w:p>
      <w:pPr>
        <w:spacing w:after="80" w:before="160"/>
      </w:pPr>
      <w:r>
        <w:rPr>
          <w:b/>
          <w:bCs/>
        </w:rPr>
        <w:t xml:space="preserve">16. Claude as preferred AI provider, or model-agnostic</w:t>
      </w:r>
    </w:p>
    <w:p>
      <w:pPr>
        <w:spacing w:after="140"/>
      </w:pPr>
      <w:r>
        <w:rPr>
          <w:b/>
          <w:bCs/>
          <w:i/>
          <w:iCs/>
        </w:rPr>
        <w:t xml:space="preserve">Recommendation: </w:t>
      </w:r>
      <w:r>
        <w:t xml:space="preserve">Claude as primary, architecture model-agnostic. Claude's long-context reasoning and citation discipline are current best-in-class for contract work. Abstract the LLM behind an internal interface so models can be swapped or added for specific tasks without rebuilding. Avoid lock-in without sacrificing quality.</w:t>
      </w:r>
    </w:p>
    <w:p>
      <w:pPr>
        <w:spacing w:after="80" w:before="160"/>
      </w:pPr>
      <w:r>
        <w:rPr>
          <w:b/>
          <w:bCs/>
        </w:rPr>
        <w:t xml:space="preserve">17. Business owner of the prompt template library</w:t>
      </w:r>
    </w:p>
    <w:p>
      <w:pPr>
        <w:spacing w:after="140"/>
      </w:pPr>
      <w:r>
        <w:rPr>
          <w:b/>
          <w:bCs/>
          <w:i/>
          <w:iCs/>
        </w:rPr>
        <w:t xml:space="preserve">Recommendation: </w:t>
      </w:r>
      <w:r>
        <w:t xml:space="preserve">Commercial / Claims Lead as primary owner, with a quarterly review involving Legal, a senior PM, and the Knowledge Centre Administrator. Prompt templates are commercial IP — they encode how Technica thinks about scope, entitlement, and claims. They need a business owner, not an IT owner.</w:t>
      </w:r>
    </w:p>
    <w:p>
      <w:pPr>
        <w:spacing w:after="80" w:before="160"/>
      </w:pPr>
      <w:r>
        <w:rPr>
          <w:b/>
          <w:bCs/>
        </w:rPr>
        <w:t xml:space="preserve">18. AI answer quality spot audit cadence</w:t>
      </w:r>
    </w:p>
    <w:p>
      <w:pPr>
        <w:spacing w:after="140"/>
      </w:pPr>
      <w:r>
        <w:rPr>
          <w:b/>
          <w:bCs/>
          <w:i/>
          <w:iCs/>
        </w:rPr>
        <w:t xml:space="preserve">Recommendation: </w:t>
      </w:r>
      <w:r>
        <w:t xml:space="preserve">Weekly audits of 20 randomly sampled AI responses for the first 90 days, then monthly audits of 30 responses thereafter. Audited by Commercial/Claims Lead with a scoring rubric (accurate, partially accurate, inaccurate, hallucinated citation). Results feed prompt refinement.</w:t>
      </w:r>
    </w:p>
    <w:p>
      <w:pPr>
        <w:pStyle w:val="Heading2"/>
        <w:spacing w:after="140" w:before="280"/>
      </w:pPr>
      <w:r>
        <w:t xml:space="preserve">Section 7 — Integration</w:t>
      </w:r>
    </w:p>
    <w:p>
      <w:pPr>
        <w:spacing w:after="80" w:before="160"/>
      </w:pPr>
      <w:r>
        <w:rPr>
          <w:b/>
          <w:bCs/>
        </w:rPr>
        <w:t xml:space="preserve">19. M365 migration timing vs Phase 1 authentication</w:t>
      </w:r>
    </w:p>
    <w:p>
      <w:pPr>
        <w:spacing w:after="140"/>
      </w:pPr>
      <w:r>
        <w:rPr>
          <w:b/>
          <w:bCs/>
          <w:i/>
          <w:iCs/>
        </w:rPr>
        <w:t xml:space="preserve">Recommendation: </w:t>
      </w:r>
      <w:r>
        <w:t xml:space="preserve">Architect to Azure AD / Entra ID from day one. Plan for the AD FS bridge only as a contingency if Phase 1 goes live before migration completes. If migration runs ahead of Phase 1 — even better, delete the contingency. Keeps the design clean and avoids wasted effort on an interim solution.</w:t>
      </w:r>
    </w:p>
    <w:p>
      <w:pPr>
        <w:spacing w:after="80" w:before="160"/>
      </w:pPr>
      <w:r>
        <w:rPr>
          <w:b/>
          <w:bCs/>
        </w:rPr>
        <w:t xml:space="preserve">20. Bid Intake &amp; Generation handoff interface and timeline</w:t>
      </w:r>
    </w:p>
    <w:p>
      <w:pPr>
        <w:spacing w:after="140"/>
      </w:pPr>
      <w:r>
        <w:rPr>
          <w:b/>
          <w:bCs/>
          <w:i/>
          <w:iCs/>
        </w:rPr>
        <w:t xml:space="preserve">Recommendation: </w:t>
      </w:r>
      <w:r>
        <w:t xml:space="preserve">Define the handoff contract (API schema, field mapping) jointly with the Bid app team during Phase 1. Build the receiving end in Phase 2. If the Bid app isn't ready by Phase 2, the handoff is a no-op and contracts continue to be created manually — no blocking dependency.</w:t>
      </w:r>
    </w:p>
    <w:p>
      <w:pPr>
        <w:spacing w:after="80" w:before="160"/>
      </w:pPr>
      <w:r>
        <w:rPr>
          <w:b/>
          <w:bCs/>
        </w:rPr>
        <w:t xml:space="preserve">21. Primavera P6 vs Microsoft Project</w:t>
      </w:r>
    </w:p>
    <w:p>
      <w:pPr>
        <w:spacing w:after="140"/>
      </w:pPr>
      <w:r>
        <w:rPr>
          <w:b/>
          <w:bCs/>
          <w:i/>
          <w:iCs/>
        </w:rPr>
        <w:t xml:space="preserve">Recommendation: </w:t>
      </w:r>
      <w:r>
        <w:t xml:space="preserve">Confirm with operations. Expectation for mining: P6 for large projects, MS Project for smaller works. Phase 3 supports both via a common delay-analysis data model. Start with whichever is used on the largest active contract.</w:t>
      </w:r>
    </w:p>
    <w:p>
      <w:pPr>
        <w:spacing w:after="80" w:before="160"/>
      </w:pPr>
      <w:r>
        <w:rPr>
          <w:b/>
          <w:bCs/>
        </w:rPr>
        <w:t xml:space="preserve">22. Existing commercial DMS to migrate in Phase 4</w:t>
      </w:r>
    </w:p>
    <w:p>
      <w:pPr>
        <w:spacing w:after="140"/>
      </w:pPr>
      <w:r>
        <w:rPr>
          <w:b/>
          <w:bCs/>
          <w:i/>
          <w:iCs/>
        </w:rPr>
        <w:t xml:space="preserve">Recommendation: </w:t>
      </w:r>
      <w:r>
        <w:t xml:space="preserve">Inventory in Phase 1 (IT discovery exercise, minimal effort). Expectation: a mix of SharePoint and network file shares — the typical midsize-company pattern. Phase 4 design is based on whatever inventory returns; avoid committing to a migration scope until we know what's out there.</w:t>
      </w:r>
    </w:p>
    <w:p>
      <w:pPr>
        <w:pStyle w:val="Heading2"/>
        <w:spacing w:after="140" w:before="280"/>
      </w:pPr>
      <w:r>
        <w:t xml:space="preserve">Section 8 — UI &amp; Workflow</w:t>
      </w:r>
    </w:p>
    <w:p>
      <w:pPr>
        <w:spacing w:after="80" w:before="160"/>
      </w:pPr>
      <w:r>
        <w:rPr>
          <w:b/>
          <w:bCs/>
        </w:rPr>
        <w:t xml:space="preserve">23. Existing TKC design standards</w:t>
      </w:r>
    </w:p>
    <w:p>
      <w:pPr>
        <w:spacing w:after="140"/>
      </w:pPr>
      <w:r>
        <w:rPr>
          <w:b/>
          <w:bCs/>
          <w:i/>
          <w:iCs/>
        </w:rPr>
        <w:t xml:space="preserve">Recommendation: </w:t>
      </w:r>
      <w:r>
        <w:t xml:space="preserve">Establish a TKC design system as part of this project if one doesn't exist. Consistent look, components, and interaction patterns across TKC apps is a force multiplier for adoption. Either reuse what the Bid app is using or create the standard here and propagate. Worth raising with whoever owns TKC strategy.</w:t>
      </w:r>
    </w:p>
    <w:p>
      <w:pPr>
        <w:spacing w:after="80" w:before="160"/>
      </w:pPr>
      <w:r>
        <w:rPr>
          <w:b/>
          <w:bCs/>
        </w:rPr>
        <w:t xml:space="preserve">24. Preferred export format for evidence bundles</w:t>
      </w:r>
    </w:p>
    <w:p>
      <w:pPr>
        <w:spacing w:after="140"/>
      </w:pPr>
      <w:r>
        <w:rPr>
          <w:b/>
          <w:bCs/>
          <w:i/>
          <w:iCs/>
        </w:rPr>
        <w:t xml:space="preserve">Recommendation: </w:t>
      </w:r>
      <w:r>
        <w:t xml:space="preserve">PDF portfolio (single file with embedded attachments) as the default for claim submissions, plus an optional ZIP package with original files preserved for cases where the client or arbitrator requires native formats. Word export for draft claims so the commercial team can continue editing.</w:t>
      </w:r>
    </w:p>
    <w:p>
      <w:pPr>
        <w:pStyle w:val="Heading2"/>
        <w:spacing w:after="140" w:before="280"/>
      </w:pPr>
      <w:r>
        <w:t xml:space="preserve">Section 9 — Permissions &amp; Governance</w:t>
      </w:r>
    </w:p>
    <w:p>
      <w:pPr>
        <w:spacing w:after="80" w:before="160"/>
      </w:pPr>
      <w:r>
        <w:rPr>
          <w:b/>
          <w:bCs/>
        </w:rPr>
        <w:t xml:space="preserve">25. Contract access list management</w:t>
      </w:r>
    </w:p>
    <w:p>
      <w:pPr>
        <w:spacing w:after="140"/>
      </w:pPr>
      <w:r>
        <w:rPr>
          <w:b/>
          <w:bCs/>
          <w:i/>
          <w:iCs/>
        </w:rPr>
        <w:t xml:space="preserve">Recommendation: </w:t>
      </w:r>
      <w:r>
        <w:t xml:space="preserve">Contract Owner manages, Contract Administrator executes, IT provisions at the platform level. Operations owns who sees what on their contract; IT owns user identity. A central governance role is unnecessary overhead for a platform of this size.</w:t>
      </w:r>
    </w:p>
    <w:p>
      <w:pPr>
        <w:spacing w:after="80" w:before="160"/>
      </w:pPr>
      <w:r>
        <w:rPr>
          <w:b/>
          <w:bCs/>
        </w:rPr>
        <w:t xml:space="preserve">26. Legal counsel approval on certain contracts</w:t>
      </w:r>
    </w:p>
    <w:p>
      <w:pPr>
        <w:spacing w:after="140"/>
      </w:pPr>
      <w:r>
        <w:rPr>
          <w:b/>
          <w:bCs/>
          <w:i/>
          <w:iCs/>
        </w:rPr>
        <w:t xml:space="preserve">Recommendation: </w:t>
      </w:r>
      <w:r>
        <w:t xml:space="preserve">Yes, for contracts flagged Highly Confidential or under active dispute. Legal approves access for anyone outside the core commercial team. For standard contracts, Contract Owner has sole authority. A sensible, light-touch legal control.</w:t>
      </w:r>
    </w:p>
    <w:p>
      <w:pPr>
        <w:pStyle w:val="Heading2"/>
        <w:spacing w:after="140" w:before="280"/>
      </w:pPr>
      <w:r>
        <w:t xml:space="preserve">Section 10 — Risks &amp; Assumptions</w:t>
      </w:r>
    </w:p>
    <w:p>
      <w:pPr>
        <w:spacing w:after="80" w:before="160"/>
      </w:pPr>
      <w:r>
        <w:rPr>
          <w:b/>
          <w:bCs/>
        </w:rPr>
        <w:t xml:space="preserve">27. Legal team consultation on evidentiary use of AI outputs</w:t>
      </w:r>
    </w:p>
    <w:p>
      <w:pPr>
        <w:spacing w:after="140"/>
      </w:pPr>
      <w:r>
        <w:rPr>
          <w:b/>
          <w:bCs/>
          <w:i/>
          <w:iCs/>
        </w:rPr>
        <w:t xml:space="preserve">Recommendation: </w:t>
      </w:r>
      <w:r>
        <w:t xml:space="preserve">Engage legal before Phase 1 kickoff, not after. Specifically on: admissibility of AI-generated claim drafts (human-edited, should be fine), admissibility of AI-extracted deadlines (human-verified, fine), and handling of privilege when AI processes privileged correspondence (needs defined protocol). A short legal workshop, output documented as a Platform Legal Protocol, owned by legal going forward.</w:t>
      </w:r>
    </w:p>
    <w:p>
      <w:pPr>
        <w:spacing w:after="80" w:before="160"/>
      </w:pPr>
      <w:r>
        <w:rPr>
          <w:b/>
          <w:bCs/>
        </w:rPr>
        <w:t xml:space="preserve">28. Executive sponsor for adoption</w:t>
      </w:r>
    </w:p>
    <w:p>
      <w:pPr>
        <w:spacing w:after="140"/>
      </w:pPr>
      <w:r>
        <w:rPr>
          <w:b/>
          <w:bCs/>
          <w:i/>
          <w:iCs/>
        </w:rPr>
        <w:t xml:space="preserve">Recommendation: </w:t>
      </w:r>
      <w:r>
        <w:t xml:space="preserve">VP of Operations. Adoption is an operations problem — PMs, supers, and contract admins are the daily users. The Business Manager is the right product owner and internal champion, but the accountable exec needs to be the one whose direct reports are expected to use it.</w:t>
      </w:r>
    </w:p>
    <w:p>
      <w:pPr>
        <w:pStyle w:val="Heading2"/>
        <w:spacing w:after="140" w:before="280"/>
      </w:pPr>
      <w:r>
        <w:t xml:space="preserve">Section 11 — Phasing</w:t>
      </w:r>
    </w:p>
    <w:p>
      <w:pPr>
        <w:spacing w:after="80" w:before="160"/>
      </w:pPr>
      <w:r>
        <w:rPr>
          <w:b/>
          <w:bCs/>
        </w:rPr>
        <w:t xml:space="preserve">29. Target Phase 1 go-live date</w:t>
      </w:r>
    </w:p>
    <w:p>
      <w:pPr>
        <w:spacing w:after="140"/>
      </w:pPr>
      <w:r>
        <w:rPr>
          <w:b/>
          <w:bCs/>
          <w:i/>
          <w:iCs/>
        </w:rPr>
        <w:t xml:space="preserve">Recommendation: </w:t>
      </w:r>
      <w:r>
        <w:t xml:space="preserve">9 months from SOW sign-off. Aggressive but achievable for the Phase 1 scope with focused execution. Build in a 6-week pilot on the selected pilot contract before general rollout.</w:t>
      </w:r>
    </w:p>
    <w:p>
      <w:pPr>
        <w:spacing w:after="80" w:before="160"/>
      </w:pPr>
      <w:r>
        <w:rPr>
          <w:b/>
          <w:bCs/>
        </w:rPr>
        <w:t xml:space="preserve">30. Budget envelope vs fixed scope</w:t>
      </w:r>
    </w:p>
    <w:p>
      <w:pPr>
        <w:spacing w:after="140"/>
      </w:pPr>
      <w:r>
        <w:rPr>
          <w:b/>
          <w:bCs/>
          <w:i/>
          <w:iCs/>
        </w:rPr>
        <w:t xml:space="preserve">Recommendation: </w:t>
      </w:r>
      <w:r>
        <w:t xml:space="preserve">Fixed Phase 1 scope, budget set to match, with a 15% contingency. The Phase 1 feature set is the minimum that delivers real value — cutting further produces a tool that doesn't get used. If cost pressure emerges, phase more aggressively (push Phase 2 features out) rather than hollowing out Phase 1.</w:t>
      </w:r>
    </w:p>
    <w:p>
      <w:pPr>
        <w:spacing w:after="80" w:before="160"/>
      </w:pPr>
      <w:r>
        <w:rPr>
          <w:b/>
          <w:bCs/>
        </w:rPr>
        <w:t xml:space="preserve">31. Pilot contract for Phase 1</w:t>
      </w:r>
    </w:p>
    <w:p>
      <w:pPr>
        <w:spacing w:after="140"/>
      </w:pPr>
      <w:r>
        <w:rPr>
          <w:b/>
          <w:bCs/>
          <w:i/>
          <w:iCs/>
        </w:rPr>
        <w:t xml:space="preserve">Recommendation: </w:t>
      </w:r>
      <w:r>
        <w:t xml:space="preserve">Select based on three criteria: active but past the initial chaos, a PM who is engaged and vocal, and a client relationship stable enough that a rough edge in the tool won't create commercial risk. Avoid the biggest or most sensitive contract for the pilot. Shortlist candidates once stakeholders are in the room.</w:t>
      </w:r>
    </w:p>
    <w:p>
      <w:pPr>
        <w:spacing w:after="80" w:before="160"/>
      </w:pPr>
      <w:r>
        <w:rPr>
          <w:b/>
          <w:bCs/>
        </w:rPr>
        <w:t xml:space="preserve">32. Phase 4 DMS strategy or vendor preference</w:t>
      </w:r>
    </w:p>
    <w:p>
      <w:pPr>
        <w:spacing w:after="140"/>
      </w:pPr>
      <w:r>
        <w:rPr>
          <w:b/>
          <w:bCs/>
          <w:i/>
          <w:iCs/>
        </w:rPr>
        <w:t xml:space="preserve">Recommendation: </w:t>
      </w:r>
      <w:r>
        <w:t xml:space="preserve">Deliberately defer. Phase 4 is 24+ months out. Committing now locks in assumptions that will be wrong by then. Revisit at the start of Phase 3 with a fresh evaluation. Design Phases 1–3 to be DMS-agnostic.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Technica Mining — Contract Knowledge Base SOW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549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Knowledge Base — Scope of Work</dc:title>
  <dc:creator>Technica Mining</dc:creator>
  <cp:lastModifiedBy>Un-named</cp:lastModifiedBy>
  <cp:revision>1</cp:revision>
  <dcterms:created xsi:type="dcterms:W3CDTF">2026-04-21T19:02:15.557Z</dcterms:created>
  <dcterms:modified xsi:type="dcterms:W3CDTF">2026-04-21T19:02:15.558Z</dcterms:modified>
</cp:coreProperties>
</file>

<file path=docProps/custom.xml><?xml version="1.0" encoding="utf-8"?>
<Properties xmlns="http://schemas.openxmlformats.org/officeDocument/2006/custom-properties" xmlns:vt="http://schemas.openxmlformats.org/officeDocument/2006/docPropsVTypes"/>
</file>