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Cohere AI Model Swap Playbook</w:t>
      </w:r>
    </w:p>
    <w:p>
      <w:pPr>
        <w:pStyle w:val="Heading2"/>
      </w:pPr>
      <w:r>
        <w:t>Purpose</w:t>
      </w:r>
    </w:p>
    <w:p>
      <w:r>
        <w:t>This playbook defines how Cohere supports multiple AI providers without changing Oracle behavior.</w:t>
      </w:r>
    </w:p>
    <w:p>
      <w:pPr>
        <w:pStyle w:val="Heading2"/>
      </w:pPr>
      <w:r>
        <w:t>Provider Neutrality</w:t>
      </w:r>
    </w:p>
    <w:p>
      <w:r>
        <w:t>Oracle behavior is invariant across models. Providers are interchangeable execution engines.</w:t>
      </w:r>
    </w:p>
    <w:p>
      <w:pPr>
        <w:pStyle w:val="Heading2"/>
      </w:pPr>
      <w:r>
        <w:t>Supported Providers</w:t>
      </w:r>
    </w:p>
    <w:p>
      <w:r>
        <w:t>- Gemini (default)</w:t>
        <w:br/>
        <w:t>- OpenAI</w:t>
        <w:br/>
        <w:t>- Anthropic</w:t>
      </w:r>
    </w:p>
    <w:p>
      <w:pPr>
        <w:pStyle w:val="Heading2"/>
      </w:pPr>
      <w:r>
        <w:t>Selection Levels</w:t>
      </w:r>
    </w:p>
    <w:p>
      <w:r>
        <w:t>- System default</w:t>
        <w:br/>
        <w:t>- Organization override</w:t>
        <w:br/>
        <w:t>- User preference (if enabled)</w:t>
      </w:r>
    </w:p>
    <w:p>
      <w:pPr>
        <w:pStyle w:val="Heading2"/>
      </w:pPr>
      <w:r>
        <w:t>Configuration Strategy</w:t>
      </w:r>
    </w:p>
    <w:p>
      <w:r>
        <w:t>All model selection occurs via configuration, never prompt logic. Prompts are provider-agnostic.</w:t>
      </w:r>
    </w:p>
    <w:p>
      <w:pPr>
        <w:pStyle w:val="Heading2"/>
      </w:pPr>
      <w:r>
        <w:t>Embedding Strategy</w:t>
      </w:r>
    </w:p>
    <w:p>
      <w:r>
        <w:t>Vector dimensions and model metadata are stored per embedding row. Multiple embedding models may coexist.</w:t>
      </w:r>
    </w:p>
    <w:p>
      <w:pPr>
        <w:pStyle w:val="Heading2"/>
      </w:pPr>
      <w:r>
        <w:t>Fallback Rules</w:t>
      </w:r>
    </w:p>
    <w:p>
      <w:r>
        <w:t>If a provider fails:</w:t>
        <w:br/>
        <w:t>- Retry once</w:t>
        <w:br/>
        <w:t>- Fail over to system default</w:t>
        <w:br/>
        <w:t>- Log provider + model version</w:t>
      </w:r>
    </w:p>
    <w:p>
      <w:pPr>
        <w:pStyle w:val="Heading2"/>
      </w:pPr>
      <w:r>
        <w:t>Guardrails</w:t>
      </w:r>
    </w:p>
    <w:p>
      <w:r>
        <w:t>Behavioral constraints apply regardless of provider. A model swap must never alter tone, scope, or authority.</w:t>
      </w:r>
    </w:p>
    <w:p>
      <w:pPr>
        <w:pStyle w:val="Heading2"/>
      </w:pPr>
      <w:r>
        <w:t>Testing Requirement</w:t>
      </w:r>
    </w:p>
    <w:p>
      <w:r>
        <w:t>Any provider swap requires regression validation against the Oracle Acceptance Checklist.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