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ProCohere – Public Schema Overview</w:t>
      </w:r>
    </w:p>
    <w:p>
      <w:r>
        <w:t>The public schema serves as the shared, cross-product foundation for all Prickly Cactus Software applications, including ProCohere. It contains organization, identity, licensing, and entitlement data that is intentionally kept separate from any single product schema.</w:t>
      </w:r>
    </w:p>
    <w:p>
      <w:pPr>
        <w:pStyle w:val="Heading2"/>
      </w:pPr>
      <w:r>
        <w:t>Purpose of the Public Schema</w:t>
      </w:r>
    </w:p>
    <w:p>
      <w:r>
        <w:t>The public schema is designed to:</w:t>
        <w:br/>
        <w:t>- Provide a single source of truth for organizations and users</w:t>
        <w:br/>
        <w:t>- Support multiple products under one account structure</w:t>
        <w:br/>
        <w:t>- Centralize licensing, seats, and entitlements</w:t>
        <w:br/>
        <w:t>- Remain product-agnostic and stable over time</w:t>
      </w:r>
    </w:p>
    <w:p>
      <w:pPr>
        <w:pStyle w:val="Heading2"/>
      </w:pPr>
      <w:r>
        <w:t>Design Principles</w:t>
      </w:r>
    </w:p>
    <w:p>
      <w:r>
        <w:t>- Shared across all products</w:t>
        <w:br/>
        <w:t>- Minimal business logic</w:t>
        <w:br/>
        <w:t>- Strong referential integrity</w:t>
        <w:br/>
        <w:t>- Rarely changed, highly stable</w:t>
        <w:br/>
        <w:t>- Acts as the trust boundary between auth and product schemas</w:t>
      </w:r>
    </w:p>
    <w:p>
      <w:pPr>
        <w:pStyle w:val="Heading2"/>
      </w:pPr>
      <w:r>
        <w:t>Core Tables</w:t>
      </w:r>
    </w:p>
    <w:p>
      <w:r>
        <w:rPr>
          <w:b/>
        </w:rPr>
        <w:t>organizations</w:t>
      </w:r>
      <w:r>
        <w:t xml:space="preserve"> – Represents a customer organization. Owns products, licenses, and product-specific schemas.</w:t>
      </w:r>
    </w:p>
    <w:p>
      <w:r>
        <w:rPr>
          <w:b/>
        </w:rPr>
        <w:t>users</w:t>
      </w:r>
      <w:r>
        <w:t xml:space="preserve"> – Application-level user profile linked to auth.users.</w:t>
      </w:r>
    </w:p>
    <w:p>
      <w:r>
        <w:rPr>
          <w:b/>
        </w:rPr>
        <w:t>products</w:t>
      </w:r>
      <w:r>
        <w:t xml:space="preserve"> – Catalog of products offered by Prickly Cactus Software.</w:t>
      </w:r>
    </w:p>
    <w:p>
      <w:r>
        <w:rPr>
          <w:b/>
        </w:rPr>
        <w:t>organization_products</w:t>
      </w:r>
      <w:r>
        <w:t xml:space="preserve"> – Links organizations to enabled products.</w:t>
      </w:r>
    </w:p>
    <w:p>
      <w:r>
        <w:rPr>
          <w:b/>
        </w:rPr>
        <w:t>organization_licenses</w:t>
      </w:r>
      <w:r>
        <w:t xml:space="preserve"> – Represents purchased licenses for a product.</w:t>
      </w:r>
    </w:p>
    <w:p>
      <w:r>
        <w:rPr>
          <w:b/>
        </w:rPr>
        <w:t>user_seats</w:t>
      </w:r>
      <w:r>
        <w:t xml:space="preserve"> – Allocates licensed seats to individual users.</w:t>
      </w:r>
    </w:p>
    <w:p>
      <w:pPr>
        <w:pStyle w:val="Heading2"/>
      </w:pPr>
      <w:r>
        <w:t>Relationship to Product Schemas</w:t>
      </w:r>
    </w:p>
    <w:p>
      <w:r>
        <w:t>Product schemas such as procohere reference the public schema for:</w:t>
        <w:br/>
        <w:t>- Organization identity</w:t>
        <w:br/>
        <w:t>- User identity</w:t>
        <w:br/>
        <w:t>- Licensing and seat validation</w:t>
        <w:br/>
        <w:br/>
        <w:t>Product schemas must never redefine these concepts locally.</w:t>
      </w:r>
    </w:p>
    <w:p>
      <w:pPr>
        <w:pStyle w:val="Heading2"/>
      </w:pPr>
      <w:r>
        <w:t>Security &amp; Access Model</w:t>
      </w:r>
    </w:p>
    <w:p>
      <w:r>
        <w:t>The public schema is protected by strict Row Level Security policies and is typically accessed via RPCs. Direct client access is limited and carefully controlled. Product schemas rely on the public schema but do not expose its internals to the client.</w:t>
      </w:r>
    </w:p>
    <w:p>
      <w:pPr>
        <w:pStyle w:val="Heading2"/>
      </w:pPr>
      <w:r>
        <w:t>Lifecycle &amp; Stability</w:t>
      </w:r>
    </w:p>
    <w:p>
      <w:r>
        <w:t>Tables in the public schema are created early and evolve slowly. Backward compatibility is prioritized to avoid cascading changes across product schemas.</w:t>
      </w:r>
    </w:p>
    <w:p>
      <w:pPr>
        <w:pStyle w:val="Heading2"/>
      </w:pPr>
      <w:r>
        <w:t>Future Expansion</w:t>
      </w:r>
    </w:p>
    <w:p>
      <w:r>
        <w:t>New shared concepts such as billing, subscriptions, or cross-product analytics should be added here. Product-specific behavior must remain within product schemas.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