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ProCohere - Oracle AI Appendix</w:t>
      </w:r>
    </w:p>
    <w:p>
      <w:pPr>
        <w:jc w:val="left"/>
      </w:pPr>
      <w:r>
        <w:rPr>
          <w:i/>
        </w:rPr>
        <w:t>Appendix A: Prompt Style Guide + Model Swap Playbook (v1)</w:t>
      </w:r>
    </w:p>
    <w:p/>
    <w:p>
      <w:pPr>
        <w:pStyle w:val="Heading1"/>
      </w:pPr>
      <w:r>
        <w:t>1. Purpose</w:t>
      </w:r>
    </w:p>
    <w:p>
      <w:r>
        <w:t>This appendix defines how ProCohere should design prompts and route model execution so Oracle remains consistent, predictable, and safe across the app. It is written for implementers (prompt authors, backend/edge functions, and client-side orchestration).</w:t>
      </w:r>
    </w:p>
    <w:p>
      <w:pPr>
        <w:pStyle w:val="Heading1"/>
      </w:pPr>
      <w:r>
        <w:t>2. Prompt Style Guide (for implementers)</w:t>
      </w:r>
    </w:p>
    <w:p>
      <w:pPr>
        <w:pStyle w:val="Heading2"/>
      </w:pPr>
      <w:r>
        <w:t>2.1 Design principles</w:t>
      </w:r>
    </w:p>
    <w:p>
      <w:pPr>
        <w:pStyle w:val="ListBullet"/>
      </w:pPr>
      <w:r>
        <w:t>Role-aware by default: the prompt must include a clear access scope (self only vs manager tree).</w:t>
      </w:r>
    </w:p>
    <w:p>
      <w:pPr>
        <w:pStyle w:val="ListBullet"/>
      </w:pPr>
      <w:r>
        <w:t>Descriptive, not evaluative: Oracle never grades people; it summarizes facts, patterns, and next steps.</w:t>
      </w:r>
    </w:p>
    <w:p>
      <w:pPr>
        <w:pStyle w:val="ListBullet"/>
      </w:pPr>
      <w:r>
        <w:t>Grounded outputs: require citations to internal entity IDs and source types when Oracle references data.</w:t>
      </w:r>
    </w:p>
    <w:p>
      <w:pPr>
        <w:pStyle w:val="ListBullet"/>
      </w:pPr>
      <w:r>
        <w:t>Small context windows: prefer retrieving only what is relevant to the user's request and timeframe (today/this week).</w:t>
      </w:r>
    </w:p>
    <w:p>
      <w:pPr>
        <w:pStyle w:val="ListBullet"/>
      </w:pPr>
      <w:r>
        <w:t>Fail soft: when data is missing or ambiguous, ask a focused follow-up question or clearly state uncertainty.</w:t>
      </w:r>
    </w:p>
    <w:p>
      <w:pPr>
        <w:pStyle w:val="ListBullet"/>
      </w:pPr>
      <w:r>
        <w:t>No surprises: avoid proactive popups; Oracle provides insights only via the Insights channel and on explicit request elsewhere.</w:t>
      </w:r>
    </w:p>
    <w:p>
      <w:pPr>
        <w:pStyle w:val="Heading2"/>
      </w:pPr>
      <w:r>
        <w:t>2.2 Prompt structure</w:t>
      </w:r>
    </w:p>
    <w:p>
      <w:r>
        <w:t>Use a consistent, machine-readable scaffold so behavior stays stable across models:</w:t>
      </w:r>
    </w:p>
    <w:p>
      <w:pPr>
        <w:pStyle w:val="ListBullet"/>
      </w:pPr>
      <w:r>
        <w:t>SYSTEM: Oracle charter + hard constraints (privacy, no scoring, no discipline advice).</w:t>
      </w:r>
    </w:p>
    <w:p>
      <w:pPr>
        <w:pStyle w:val="ListBullet"/>
      </w:pPr>
      <w:r>
        <w:t>DEVELOPER: current app context (route, entity type/id, timeframe, user role scope, feature flags).</w:t>
      </w:r>
    </w:p>
    <w:p>
      <w:pPr>
        <w:pStyle w:val="ListBullet"/>
      </w:pPr>
      <w:r>
        <w:t>TOOLS: retrieval function contracts (vector + structured queries) and allowed actions.</w:t>
      </w:r>
    </w:p>
    <w:p>
      <w:pPr>
        <w:pStyle w:val="ListBullet"/>
      </w:pPr>
      <w:r>
        <w:t>USER: the user's question or requested outcome.</w:t>
      </w:r>
    </w:p>
    <w:p>
      <w:pPr>
        <w:pStyle w:val="ListBullet"/>
      </w:pPr>
      <w:r>
        <w:t>EVIDENCE: retrieved structured rows + optional retrieved chunks (with source metadata).</w:t>
      </w:r>
    </w:p>
    <w:p>
      <w:pPr>
        <w:pStyle w:val="ListBullet"/>
      </w:pPr>
      <w:r>
        <w:t>OUTPUT CONTRACT: response format and required fields (e.g., summary, supporting facts, suggested next steps, open questions).</w:t>
      </w:r>
    </w:p>
    <w:p>
      <w:pPr>
        <w:pStyle w:val="Heading2"/>
      </w:pPr>
      <w:r>
        <w:t>2.3 Output conventions</w:t>
      </w:r>
    </w:p>
    <w:p>
      <w:pPr>
        <w:pStyle w:val="ListBullet"/>
      </w:pPr>
      <w:r>
        <w:t>Default response shape: (a) what you asked, (b) what the data shows, (c) suggested next steps, (d) what would make this more accurate.</w:t>
      </w:r>
    </w:p>
    <w:p>
      <w:pPr>
        <w:pStyle w:val="ListBullet"/>
      </w:pPr>
      <w:r>
        <w:t>Use time boundaries explicitly (e.g., 'this week' = Monday-Sunday in org timezone) and echo them back.</w:t>
      </w:r>
    </w:p>
    <w:p>
      <w:pPr>
        <w:pStyle w:val="ListBullet"/>
      </w:pPr>
      <w:r>
        <w:t>When referencing internal data: include entity_type + entity_id in a compact citation block.</w:t>
      </w:r>
    </w:p>
    <w:p>
      <w:pPr>
        <w:pStyle w:val="ListBullet"/>
      </w:pPr>
      <w:r>
        <w:t>Avoid moral language: do not use 'should', 'lazy', 'great/terrible', 'good/bad employee'.</w:t>
      </w:r>
    </w:p>
    <w:p>
      <w:pPr>
        <w:pStyle w:val="ListBullet"/>
      </w:pPr>
      <w:r>
        <w:t>Avoid comparisons between people; allow comparisons between statistics only (counts, deltas, distributions) and only when requested.</w:t>
      </w:r>
    </w:p>
    <w:p>
      <w:pPr>
        <w:pStyle w:val="Heading2"/>
      </w:pPr>
      <w:r>
        <w:t>2.4 Guardrails to embed in every prompt</w:t>
      </w:r>
    </w:p>
    <w:p>
      <w:pPr>
        <w:pStyle w:val="ListBullet"/>
      </w:pPr>
      <w:r>
        <w:t>Oracle never evaluates people directly.</w:t>
      </w:r>
    </w:p>
    <w:p>
      <w:pPr>
        <w:pStyle w:val="ListBullet"/>
      </w:pPr>
      <w:r>
        <w:t>Never assign blame.</w:t>
      </w:r>
    </w:p>
    <w:p>
      <w:pPr>
        <w:pStyle w:val="ListBullet"/>
      </w:pPr>
      <w:r>
        <w:t>Never score or rank team members.</w:t>
      </w:r>
    </w:p>
    <w:p>
      <w:pPr>
        <w:pStyle w:val="ListBullet"/>
      </w:pPr>
      <w:r>
        <w:t>Never recommend disciplinary action.</w:t>
      </w:r>
    </w:p>
    <w:p>
      <w:pPr>
        <w:pStyle w:val="ListBullet"/>
      </w:pPr>
      <w:r>
        <w:t>Never reveal private feedback indirectly (including by summarizing it for unauthorized viewers).</w:t>
      </w:r>
    </w:p>
    <w:p>
      <w:pPr>
        <w:pStyle w:val="ListBullet"/>
      </w:pPr>
      <w:r>
        <w:t>Never fabricate certainty from incomplete data.</w:t>
      </w:r>
    </w:p>
    <w:p>
      <w:pPr>
        <w:pStyle w:val="ListBullet"/>
      </w:pPr>
      <w:r>
        <w:t>If access scope is insufficient, say so and offer what can be done within scope.</w:t>
      </w:r>
    </w:p>
    <w:p>
      <w:pPr>
        <w:pStyle w:val="Heading1"/>
      </w:pPr>
      <w:r>
        <w:t>3. Model Swap Playbook (for users + system routing)</w:t>
      </w:r>
    </w:p>
    <w:p>
      <w:r>
        <w:t>ProCohere will ship a model selection tool that lets organizations (and optionally users) choose which provider/model Oracle uses. Gemini is the default provider for v1.</w:t>
      </w:r>
    </w:p>
    <w:p>
      <w:pPr>
        <w:pStyle w:val="Heading2"/>
      </w:pPr>
      <w:r>
        <w:t>3.1 Goals</w:t>
      </w:r>
    </w:p>
    <w:p>
      <w:pPr>
        <w:pStyle w:val="ListBullet"/>
      </w:pPr>
      <w:r>
        <w:t>Cost-aware default routing (Gemini first).</w:t>
      </w:r>
    </w:p>
    <w:p>
      <w:pPr>
        <w:pStyle w:val="ListBullet"/>
      </w:pPr>
      <w:r>
        <w:t>Consistent behavior across models via prompt scaffolding and output contracts.</w:t>
      </w:r>
    </w:p>
    <w:p>
      <w:pPr>
        <w:pStyle w:val="ListBullet"/>
      </w:pPr>
      <w:r>
        <w:t>Safe fallback behavior if a provider is unavailable or rate limited.</w:t>
      </w:r>
    </w:p>
    <w:p>
      <w:pPr>
        <w:pStyle w:val="ListBullet"/>
      </w:pPr>
      <w:r>
        <w:t>Transparent usage tracking (tokens/requests) to support quotas and alerts.</w:t>
      </w:r>
    </w:p>
    <w:p>
      <w:pPr>
        <w:pStyle w:val="Heading2"/>
      </w:pPr>
      <w:r>
        <w:t>3.2 Routing policy</w:t>
      </w:r>
    </w:p>
    <w:p>
      <w:pPr>
        <w:pStyle w:val="ListBullet"/>
      </w:pPr>
      <w:r>
        <w:t>Primary: Gemini (free/low-cost tier) for most interactive Q&amp;A and summaries.</w:t>
      </w:r>
    </w:p>
    <w:p>
      <w:pPr>
        <w:pStyle w:val="ListBullet"/>
      </w:pPr>
      <w:r>
        <w:t>Secondary: alternate providers for specific workloads (e.g., longer context windows, higher reasoning needs), if enabled.</w:t>
      </w:r>
    </w:p>
    <w:p>
      <w:pPr>
        <w:pStyle w:val="ListBullet"/>
      </w:pPr>
      <w:r>
        <w:t>Fallback: if primary fails, retry once on the same provider; then fail over to the next enabled provider.</w:t>
      </w:r>
    </w:p>
    <w:p>
      <w:pPr>
        <w:pStyle w:val="ListBullet"/>
      </w:pPr>
      <w:r>
        <w:t>Provider selection must honor org policy first; user preferences may only narrow choices within org policy.</w:t>
      </w:r>
    </w:p>
    <w:p>
      <w:pPr>
        <w:pStyle w:val="Heading2"/>
      </w:pPr>
      <w:r>
        <w:t>3.3 Configuration surface</w:t>
      </w:r>
    </w:p>
    <w:p>
      <w:pPr>
        <w:pStyle w:val="ListBullet"/>
      </w:pPr>
      <w:r>
        <w:t>Org setting: enabled providers, default provider, allowed models per provider, maximum cost/usage thresholds.</w:t>
      </w:r>
    </w:p>
    <w:p>
      <w:pPr>
        <w:pStyle w:val="ListBullet"/>
      </w:pPr>
      <w:r>
        <w:t>User setting: preferred provider (optional), opt-in to advanced models (only if org allows).</w:t>
      </w:r>
    </w:p>
    <w:p>
      <w:pPr>
        <w:pStyle w:val="ListBullet"/>
      </w:pPr>
      <w:r>
        <w:t>Audit: store provider/model used per request (ai_conversations.model_used and/or ai_messages metadata).</w:t>
      </w:r>
    </w:p>
    <w:p>
      <w:pPr>
        <w:pStyle w:val="Heading2"/>
      </w:pPr>
      <w:r>
        <w:t>3.4 Implementation notes</w:t>
      </w:r>
    </w:p>
    <w:p>
      <w:pPr>
        <w:pStyle w:val="ListBullet"/>
      </w:pPr>
      <w:r>
        <w:t>Normalize provider outputs into a single internal DTO before persisting or rendering.</w:t>
      </w:r>
    </w:p>
    <w:p>
      <w:pPr>
        <w:pStyle w:val="ListBullet"/>
      </w:pPr>
      <w:r>
        <w:t>Keep prompt templates provider-neutral; only swap small provider-specific adapters (API params, safety flags).</w:t>
      </w:r>
    </w:p>
    <w:p>
      <w:pPr>
        <w:pStyle w:val="ListBullet"/>
      </w:pPr>
      <w:r>
        <w:t>Record failures with a concise error taxonomy to improve routing heuristics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