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Execution Pipeline Specification (v1, Gemini‑First)</w:t>
      </w:r>
    </w:p>
    <w:p>
      <w:r>
        <w:t>This document defines the end‑to‑end execution pipeline for Oracle. It describes how a request moves from invocation through state assembly, retrieval, prompt construction, model execution, and response handling. The pipeline is designed to be deterministic, auditable, and model‑agnostic.</w:t>
      </w:r>
    </w:p>
    <w:p>
      <w:pPr>
        <w:pStyle w:val="Heading2"/>
      </w:pPr>
      <w:r>
        <w:t>Pipeline Overview</w:t>
      </w:r>
    </w:p>
    <w:p>
      <w:r>
        <w:t>Oracle execution follows a fixed sequence:</w:t>
        <w:br/>
        <w:t>1. Invocation</w:t>
        <w:br/>
        <w:t>2. Intent Classification</w:t>
        <w:br/>
        <w:t>3. State Pack Assembly</w:t>
        <w:br/>
        <w:t>4. Vector Retrieval (optional)</w:t>
        <w:br/>
        <w:t>5. Prompt Assembly</w:t>
        <w:br/>
        <w:t>6. Model Execution</w:t>
        <w:br/>
        <w:t>7. Response Validation</w:t>
        <w:br/>
        <w:t>8. Delivery or Insight Creation</w:t>
      </w:r>
    </w:p>
    <w:p>
      <w:pPr>
        <w:pStyle w:val="Heading2"/>
      </w:pPr>
      <w:r>
        <w:t>1. Invocation</w:t>
      </w:r>
    </w:p>
    <w:p>
      <w:r>
        <w:t>Oracle is invoked explicitly by user request or implicitly by a UI action that clearly indicates intent (e.g., 'generate agenda', 'summarize meeting'). No proactive execution occurs.</w:t>
      </w:r>
    </w:p>
    <w:p>
      <w:pPr>
        <w:pStyle w:val="Heading2"/>
      </w:pPr>
      <w:r>
        <w:t>2. Intent Classification</w:t>
      </w:r>
    </w:p>
    <w:p>
      <w:r>
        <w:t>User input is classified into an intent category. This classification determines allowable actions and data access. If intent cannot be confidently inferred, Oracle requests clarification.</w:t>
      </w:r>
    </w:p>
    <w:p>
      <w:pPr>
        <w:pStyle w:val="Heading2"/>
      </w:pPr>
      <w:r>
        <w:t>3. State Pack Assembly</w:t>
      </w:r>
    </w:p>
    <w:p>
      <w:r>
        <w:t>A transient State Pack is assembled containing only the signals required to fulfill the request. Scope is limited by role and time relevance.</w:t>
      </w:r>
    </w:p>
    <w:p>
      <w:r>
        <w:t>Typical State Pack contents:</w:t>
      </w:r>
    </w:p>
    <w:p>
      <w:r>
        <w:t>• User role and reporting scope</w:t>
      </w:r>
    </w:p>
    <w:p>
      <w:r>
        <w:t>• Relevant meetings, agenda items, tasks, goals, metrics</w:t>
      </w:r>
    </w:p>
    <w:p>
      <w:r>
        <w:t>• Active alerts and deadlines</w:t>
      </w:r>
    </w:p>
    <w:p>
      <w:pPr>
        <w:pStyle w:val="Heading2"/>
      </w:pPr>
      <w:r>
        <w:t>4. Vector Retrieval (Optional)</w:t>
      </w:r>
    </w:p>
    <w:p>
      <w:r>
        <w:t>If the request benefits from semantic recall, Oracle queries the vector_embeddings table using entity‑scoped filters. Only embeddings tied to permitted entities are eligible.</w:t>
      </w:r>
    </w:p>
    <w:p>
      <w:pPr>
        <w:pStyle w:val="Heading2"/>
      </w:pPr>
      <w:r>
        <w:t>5. Prompt Assembly</w:t>
      </w:r>
    </w:p>
    <w:p>
      <w:r>
        <w:t>Prompts are assembled from structured templates. The system prompt encodes guardrails, tone, and non‑goals. State Pack data is injected as structured context, never as narrative.</w:t>
      </w:r>
    </w:p>
    <w:p>
      <w:pPr>
        <w:pStyle w:val="Heading2"/>
      </w:pPr>
      <w:r>
        <w:t>6. Model Execution</w:t>
      </w:r>
    </w:p>
    <w:p>
      <w:r>
        <w:t>Gemini is the default execution model. The pipeline supports swapping models without changing upstream logic. Token usage and latency are recorded for monitoring.</w:t>
      </w:r>
    </w:p>
    <w:p>
      <w:pPr>
        <w:pStyle w:val="Heading2"/>
      </w:pPr>
      <w:r>
        <w:t>7. Response Validation</w:t>
      </w:r>
    </w:p>
    <w:p>
      <w:r>
        <w:t>Responses are validated before delivery. Checks include:</w:t>
        <w:br/>
        <w:t>- Policy violations</w:t>
        <w:br/>
        <w:t>- Over‑confidence or fabricated certainty</w:t>
        <w:br/>
        <w:t>- Comparative or evaluative language</w:t>
      </w:r>
    </w:p>
    <w:p>
      <w:pPr>
        <w:pStyle w:val="Heading2"/>
      </w:pPr>
      <w:r>
        <w:t>8. Delivery &amp; Insight Routing</w:t>
      </w:r>
    </w:p>
    <w:p>
      <w:r>
        <w:t>If the response is a direct answer, it is returned to the user. If it qualifies as an insight, it is persisted as ai_insights and surfaced according to timing rules (today / this week).</w:t>
      </w:r>
    </w:p>
    <w:p>
      <w:pPr>
        <w:pStyle w:val="Heading2"/>
      </w:pPr>
      <w:r>
        <w:t>Failure Handling</w:t>
      </w:r>
    </w:p>
    <w:p>
      <w:r>
        <w:t>If any pipeline stage fails, Oracle degrades gracefully. It acknowledges uncertainty and requests clarification rather than guessing.</w:t>
      </w:r>
    </w:p>
    <w:p>
      <w:r>
        <w:t>This pipeline ensures Oracle is predictable, safe, and extensible as additional models and capabilities are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