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Oracle – Invocation &amp; Intent Classification Specification (v1)</w:t>
      </w:r>
    </w:p>
    <w:p>
      <w:r>
        <w:t>This document defines how Oracle determines intent, scope, and allowable actions before generating any response. It establishes a policy-first, implicit invocation model that prevents intrusion, judgment, or overreach.</w:t>
      </w:r>
    </w:p>
    <w:p>
      <w:pPr>
        <w:pStyle w:val="Heading2"/>
      </w:pPr>
      <w:r>
        <w:t>Core Principles</w:t>
      </w:r>
    </w:p>
    <w:p>
      <w:r>
        <w:t>• Oracle never acts without inferred or explicit user intent.</w:t>
      </w:r>
    </w:p>
    <w:p>
      <w:r>
        <w:t>• Capability is always constrained by policy, not phrasing.</w:t>
      </w:r>
    </w:p>
    <w:p>
      <w:r>
        <w:t>• Refusals are calm, contextual, and non-defensive.</w:t>
      </w:r>
    </w:p>
    <w:p>
      <w:r>
        <w:t>• Intent detection is model-agnostic.</w:t>
      </w:r>
    </w:p>
    <w:p>
      <w:pPr>
        <w:pStyle w:val="Heading2"/>
      </w:pPr>
      <w:r>
        <w:t>Invocation Model</w:t>
      </w:r>
    </w:p>
    <w:p>
      <w:r>
        <w:t>Oracle is invoked implicitly through contextual UI actions or explicitly through direct user prompts. No proactive suggestions are generated without a user request.</w:t>
      </w:r>
    </w:p>
    <w:p>
      <w:pPr>
        <w:pStyle w:val="Heading2"/>
      </w:pPr>
      <w:r>
        <w:t>Intent Classification</w:t>
      </w:r>
    </w:p>
    <w:p>
      <w:r>
        <w:t>User input is classified into intent categories such as Informational, Reflective, Generative, Summarization, or Exploratory. Each category maps to allowed actions.</w:t>
      </w:r>
    </w:p>
    <w:p>
      <w:pPr>
        <w:pStyle w:val="Heading2"/>
      </w:pPr>
      <w:r>
        <w:t>Policy Gating</w:t>
      </w:r>
    </w:p>
    <w:p>
      <w:r>
        <w:t>After intent detection, Oracle applies role-based, data-sufficiency, and ethical constraints. If constraints fail, Oracle gently redirects or declines.</w:t>
      </w:r>
    </w:p>
    <w:p>
      <w:pPr>
        <w:pStyle w:val="Heading2"/>
      </w:pPr>
      <w:r>
        <w:t>Non-Goals</w:t>
      </w:r>
    </w:p>
    <w:p>
      <w:r>
        <w:t>• No unsolicited coaching</w:t>
      </w:r>
    </w:p>
    <w:p>
      <w:r>
        <w:t>• No performance judgment</w:t>
      </w:r>
    </w:p>
    <w:p>
      <w:r>
        <w:t>• No behavioral comparison</w:t>
      </w:r>
    </w:p>
    <w:p>
      <w:r>
        <w:t>This specification ensures Oracle remains supportive, contextual, and trustworthy.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