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Cohere Oracle – Model Swap Playbook (v1)</w:t>
      </w:r>
    </w:p>
    <w:p>
      <w:r>
        <w:t>This document defines how Pro Cohere supports multiple AI models within Oracle without changing user experience, guardrails, or system behavior. The goal is controlled flexibility: users may choose models, while Oracle remains predictable, safe, and cost-aware.</w:t>
      </w:r>
    </w:p>
    <w:p>
      <w:pPr>
        <w:pStyle w:val="Heading2"/>
      </w:pPr>
      <w:r>
        <w:t>Core Principles</w:t>
      </w:r>
    </w:p>
    <w:p>
      <w:r>
        <w:t>• Model choice never alters policy or tone</w:t>
      </w:r>
    </w:p>
    <w:p>
      <w:r>
        <w:t>• Guardrails are enforced before and after model execution</w:t>
      </w:r>
    </w:p>
    <w:p>
      <w:r>
        <w:t>• Users may select models, but defaults remain opinionated</w:t>
      </w:r>
    </w:p>
    <w:p>
      <w:r>
        <w:t>• Fallbacks are automatic and invisible</w:t>
      </w:r>
    </w:p>
    <w:p>
      <w:pPr>
        <w:pStyle w:val="Heading2"/>
      </w:pPr>
      <w:r>
        <w:t>Supported Models (v1)</w:t>
      </w:r>
    </w:p>
    <w:p>
      <w:r>
        <w:t>• Gemini (default, free tier)</w:t>
      </w:r>
    </w:p>
    <w:p>
      <w:r>
        <w:t>• OpenAI (optional)</w:t>
      </w:r>
    </w:p>
    <w:p>
      <w:r>
        <w:t>• Anthropic (optional)</w:t>
      </w:r>
    </w:p>
    <w:p>
      <w:r>
        <w:t>All models must support:</w:t>
        <w:br/>
        <w:t>- System prompts</w:t>
        <w:br/>
        <w:t>- Structured context injection</w:t>
        <w:br/>
        <w:t>- Deterministic temperature control</w:t>
        <w:br/>
        <w:t>- Token usage reporting</w:t>
      </w:r>
    </w:p>
    <w:p>
      <w:pPr>
        <w:pStyle w:val="Heading2"/>
      </w:pPr>
      <w:r>
        <w:t>Model Selection Strategy</w:t>
      </w:r>
    </w:p>
    <w:p>
      <w:r>
        <w:t>Model selection occurs at invocation time. The selected model is recorded on the ai_conversation record but does not affect downstream logic.</w:t>
      </w:r>
    </w:p>
    <w:p>
      <w:r>
        <w:t>Selection sources:</w:t>
      </w:r>
    </w:p>
    <w:p>
      <w:r>
        <w:t>• Organization default</w:t>
      </w:r>
    </w:p>
    <w:p>
      <w:r>
        <w:t>• User preference (if enabled)</w:t>
      </w:r>
    </w:p>
    <w:p>
      <w:r>
        <w:t>• Explicit per-session override</w:t>
      </w:r>
    </w:p>
    <w:p>
      <w:pPr>
        <w:pStyle w:val="Heading2"/>
      </w:pPr>
      <w:r>
        <w:t>Fallback Rules</w:t>
      </w:r>
    </w:p>
    <w:p>
      <w:r>
        <w:t>If a selected model fails due to timeout, quota, or error, Oracle automatically retries using the organization default model. The user is not interrupted.</w:t>
      </w:r>
    </w:p>
    <w:p>
      <w:pPr>
        <w:pStyle w:val="Heading2"/>
      </w:pPr>
      <w:r>
        <w:t>Cost Controls</w:t>
      </w:r>
    </w:p>
    <w:p>
      <w:r>
        <w:t>Token usage is tracked per model and per organization. Soft thresholds trigger warnings; hard limits disable non-default models.</w:t>
      </w:r>
    </w:p>
    <w:p>
      <w:pPr>
        <w:pStyle w:val="Heading2"/>
      </w:pPr>
      <w:r>
        <w:t>Behavioral Consistency</w:t>
      </w:r>
    </w:p>
    <w:p>
      <w:r>
        <w:t>All prompts share a common system instruction set. Model-specific tuning is limited to formatting differences only.</w:t>
      </w:r>
    </w:p>
    <w:p>
      <w:pPr>
        <w:pStyle w:val="Heading2"/>
      </w:pPr>
      <w:r>
        <w:t>What Model Choice Does NOT Change</w:t>
      </w:r>
    </w:p>
    <w:p>
      <w:r>
        <w:t>• Role scope</w:t>
      </w:r>
    </w:p>
    <w:p>
      <w:r>
        <w:t>• Data visibility</w:t>
      </w:r>
    </w:p>
    <w:p>
      <w:r>
        <w:t>• Insight rules</w:t>
      </w:r>
    </w:p>
    <w:p>
      <w:r>
        <w:t>• Feedback handling</w:t>
      </w:r>
    </w:p>
    <w:p>
      <w:r>
        <w:t>• Ethical constraints</w:t>
      </w:r>
    </w:p>
    <w:p>
      <w:pPr>
        <w:pStyle w:val="Heading2"/>
      </w:pPr>
      <w:r>
        <w:t>Future Expansion</w:t>
      </w:r>
    </w:p>
    <w:p>
      <w:r>
        <w:t>Additional models may be introduced by registering a new execution adapter. No schema or policy changes are required.</w:t>
      </w:r>
    </w:p>
    <w:p>
      <w:r>
        <w:t>This playbook ensures Oracle remains model-flexible without becoming model-dependent.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