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F5E6"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 Martel Steenblik </w:t>
      </w:r>
    </w:p>
    <w:p w14:paraId="6C00456E"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Professor Rabih Dimachki </w:t>
      </w:r>
    </w:p>
    <w:p w14:paraId="617474BC"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OSC 2030-002 </w:t>
      </w:r>
    </w:p>
    <w:p w14:paraId="4BAF402A"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29 July 2026 </w:t>
      </w:r>
    </w:p>
    <w:p w14:paraId="1D3D6C5E" w14:textId="13E25E2C" w:rsidR="00BA6745" w:rsidRPr="00AE797D" w:rsidRDefault="00BA6745"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sz w:val="22"/>
          <w:szCs w:val="22"/>
        </w:rPr>
        <w:t>Deloitte's Use of Business Statistics</w:t>
      </w:r>
    </w:p>
    <w:p w14:paraId="58731535"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INTRODUCTION </w:t>
      </w:r>
    </w:p>
    <w:p w14:paraId="4E0AAB17" w14:textId="61471B5D" w:rsidR="00066DF0" w:rsidRPr="00066DF0" w:rsidRDefault="00066DF0" w:rsidP="00066DF0">
      <w:pPr>
        <w:spacing w:before="120" w:after="120"/>
        <w:rPr>
          <w:rFonts w:ascii="Times New Roman" w:hAnsi="Times New Roman" w:cs="Times New Roman"/>
          <w:sz w:val="22"/>
          <w:szCs w:val="22"/>
        </w:rPr>
      </w:pPr>
      <w:r w:rsidRPr="00066DF0">
        <w:rPr>
          <w:rFonts w:ascii="Times New Roman" w:hAnsi="Times New Roman" w:cs="Times New Roman"/>
          <w:sz w:val="22"/>
          <w:szCs w:val="22"/>
        </w:rPr>
        <w:t>Deloitte provides</w:t>
      </w:r>
      <w:r w:rsidR="00702978">
        <w:rPr>
          <w:rFonts w:ascii="Times New Roman" w:hAnsi="Times New Roman" w:cs="Times New Roman"/>
          <w:sz w:val="22"/>
          <w:szCs w:val="22"/>
        </w:rPr>
        <w:t>;</w:t>
      </w:r>
      <w:r w:rsidRPr="00066DF0">
        <w:rPr>
          <w:rFonts w:ascii="Times New Roman" w:hAnsi="Times New Roman" w:cs="Times New Roman"/>
          <w:sz w:val="22"/>
          <w:szCs w:val="22"/>
        </w:rPr>
        <w:t xml:space="preserve"> audit, tax, consulting, advisory</w:t>
      </w:r>
      <w:r w:rsidR="00702978">
        <w:rPr>
          <w:rFonts w:ascii="Times New Roman" w:hAnsi="Times New Roman" w:cs="Times New Roman"/>
          <w:sz w:val="22"/>
          <w:szCs w:val="22"/>
        </w:rPr>
        <w:t>, and technology</w:t>
      </w:r>
      <w:r w:rsidRPr="00066DF0">
        <w:rPr>
          <w:rFonts w:ascii="Times New Roman" w:hAnsi="Times New Roman" w:cs="Times New Roman"/>
          <w:sz w:val="22"/>
          <w:szCs w:val="22"/>
        </w:rPr>
        <w:t xml:space="preserve"> services to major corporations</w:t>
      </w:r>
      <w:r w:rsidR="00702978">
        <w:rPr>
          <w:rFonts w:ascii="Times New Roman" w:hAnsi="Times New Roman" w:cs="Times New Roman"/>
          <w:sz w:val="22"/>
          <w:szCs w:val="22"/>
        </w:rPr>
        <w:t xml:space="preserve"> and firms</w:t>
      </w:r>
      <w:r w:rsidRPr="00066DF0">
        <w:rPr>
          <w:rFonts w:ascii="Times New Roman" w:hAnsi="Times New Roman" w:cs="Times New Roman"/>
          <w:sz w:val="22"/>
          <w:szCs w:val="22"/>
        </w:rPr>
        <w:t xml:space="preserve">. It takes its name from William Welch Deloitte, who opened the original firm in London (“Our Heritage”). In fiscal year 2025, Deloitte reported $70.5 billion in global revenue and had more than 470,000 employees worldwide (“Deloitte Reports FY2025 Revenue”). Because Deloitte provides audits to large </w:t>
      </w:r>
      <w:proofErr w:type="gramStart"/>
      <w:r w:rsidRPr="00066DF0">
        <w:rPr>
          <w:rFonts w:ascii="Times New Roman" w:hAnsi="Times New Roman" w:cs="Times New Roman"/>
          <w:sz w:val="22"/>
          <w:szCs w:val="22"/>
        </w:rPr>
        <w:t>firms</w:t>
      </w:r>
      <w:proofErr w:type="gramEnd"/>
      <w:r w:rsidRPr="00066DF0">
        <w:rPr>
          <w:rFonts w:ascii="Times New Roman" w:hAnsi="Times New Roman" w:cs="Times New Roman"/>
          <w:sz w:val="22"/>
          <w:szCs w:val="22"/>
        </w:rPr>
        <w:t xml:space="preserve"> statistics help turn raw data into useful descriptive evidence.</w:t>
      </w:r>
    </w:p>
    <w:p w14:paraId="1EE120C2" w14:textId="6713693B"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BUSINESS PROBLEMS </w:t>
      </w:r>
    </w:p>
    <w:p w14:paraId="0D771FF0" w14:textId="73B2F3C9"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Deloitte’s business problem is proving technology can create value. Many </w:t>
      </w:r>
      <w:r w:rsidR="00702978">
        <w:rPr>
          <w:rFonts w:ascii="Times New Roman" w:hAnsi="Times New Roman" w:cs="Times New Roman"/>
          <w:sz w:val="22"/>
          <w:szCs w:val="22"/>
        </w:rPr>
        <w:t>firms</w:t>
      </w:r>
      <w:r w:rsidRPr="00AE797D">
        <w:rPr>
          <w:rFonts w:ascii="Times New Roman" w:hAnsi="Times New Roman" w:cs="Times New Roman"/>
          <w:sz w:val="22"/>
          <w:szCs w:val="22"/>
        </w:rPr>
        <w:t xml:space="preserve"> are adopting AI because they expect higher efficiency. However, Deloitte’s GenAI survey found that 54% of </w:t>
      </w:r>
      <w:r w:rsidR="00702978">
        <w:rPr>
          <w:rFonts w:ascii="Times New Roman" w:hAnsi="Times New Roman" w:cs="Times New Roman"/>
          <w:sz w:val="22"/>
          <w:szCs w:val="22"/>
        </w:rPr>
        <w:t>firms</w:t>
      </w:r>
      <w:r w:rsidRPr="00AE797D">
        <w:rPr>
          <w:rFonts w:ascii="Times New Roman" w:hAnsi="Times New Roman" w:cs="Times New Roman"/>
          <w:sz w:val="22"/>
          <w:szCs w:val="22"/>
        </w:rPr>
        <w:t xml:space="preserve"> wanted efficiency and productivity improvements, but only 38% tracked employee productivity (“Despite Increased Investment”). This creates a problem because companies may be spending heavily on technology without collecting data to see if productivity is improving.</w:t>
      </w:r>
    </w:p>
    <w:p w14:paraId="41567D16" w14:textId="2E097B93" w:rsidR="00BA6745" w:rsidRPr="00AE797D" w:rsidRDefault="00BA6745"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drawing>
          <wp:inline distT="0" distB="0" distL="0" distR="0" wp14:anchorId="3CD6944A" wp14:editId="0F03A537">
            <wp:extent cx="2880129" cy="27768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i_experiments_deployed.png"/>
                    <pic:cNvPicPr/>
                  </pic:nvPicPr>
                  <pic:blipFill rotWithShape="1">
                    <a:blip r:embed="rId9"/>
                    <a:srcRect t="8476"/>
                    <a:stretch>
                      <a:fillRect/>
                    </a:stretch>
                  </pic:blipFill>
                  <pic:spPr bwMode="auto">
                    <a:xfrm>
                      <a:off x="0" y="0"/>
                      <a:ext cx="2880360" cy="2777077"/>
                    </a:xfrm>
                    <a:prstGeom prst="rect">
                      <a:avLst/>
                    </a:prstGeom>
                    <a:ln>
                      <a:noFill/>
                    </a:ln>
                    <a:extLst>
                      <a:ext uri="{53640926-AAD7-44D8-BBD7-CCE9431645EC}">
                        <a14:shadowObscured xmlns:a14="http://schemas.microsoft.com/office/drawing/2010/main"/>
                      </a:ext>
                    </a:extLst>
                  </pic:spPr>
                </pic:pic>
              </a:graphicData>
            </a:graphic>
          </wp:inline>
        </w:drawing>
      </w:r>
    </w:p>
    <w:p w14:paraId="042E4314" w14:textId="442969B0" w:rsidR="00BA6745" w:rsidRPr="00AE797D" w:rsidRDefault="00BA6745" w:rsidP="00066DF0">
      <w:pPr>
        <w:spacing w:before="120" w:after="120" w:line="240" w:lineRule="auto"/>
        <w:jc w:val="center"/>
        <w:rPr>
          <w:rFonts w:ascii="Times New Roman" w:hAnsi="Times New Roman" w:cs="Times New Roman"/>
          <w:sz w:val="18"/>
          <w:szCs w:val="18"/>
        </w:rPr>
      </w:pPr>
      <w:r w:rsidRPr="00AE797D">
        <w:rPr>
          <w:rFonts w:ascii="Times New Roman" w:hAnsi="Times New Roman" w:cs="Times New Roman"/>
          <w:i/>
          <w:iCs/>
          <w:sz w:val="18"/>
          <w:szCs w:val="18"/>
        </w:rPr>
        <w:t>Deloitte source chart showing the share of AI experiments moved into production. Source: Deloitte, State of AI in the Enterprise, p. 8.</w:t>
      </w:r>
    </w:p>
    <w:p w14:paraId="06D8839D" w14:textId="4F1BE0DA"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Another problem is workforce readiness. When companies adopt AI, employees need the skills to use it. Deloitte’s 2026 State of AI report shows that AI adoption changes workforce strategy in several ways, including hiring, and worker trust (“State of AI” 14). This creates a problem because a company may invest in new technology but fail to get full value from it if employees are not prepared to use it. The source chart below shows AI adoption changes. </w:t>
      </w:r>
    </w:p>
    <w:p w14:paraId="0E79A8C5" w14:textId="6C4C4682" w:rsidR="00BA6745" w:rsidRPr="00AE797D" w:rsidRDefault="00BA6745"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lastRenderedPageBreak/>
        <w:drawing>
          <wp:inline distT="0" distB="0" distL="0" distR="0" wp14:anchorId="4539EB3A" wp14:editId="5A01EF9A">
            <wp:extent cx="5926895" cy="1019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alent_strategy_adjustments.png"/>
                    <pic:cNvPicPr/>
                  </pic:nvPicPr>
                  <pic:blipFill rotWithShape="1">
                    <a:blip r:embed="rId10"/>
                    <a:srcRect t="17460"/>
                    <a:stretch>
                      <a:fillRect/>
                    </a:stretch>
                  </pic:blipFill>
                  <pic:spPr bwMode="auto">
                    <a:xfrm>
                      <a:off x="0" y="0"/>
                      <a:ext cx="5926895" cy="1019175"/>
                    </a:xfrm>
                    <a:prstGeom prst="rect">
                      <a:avLst/>
                    </a:prstGeom>
                    <a:ln>
                      <a:noFill/>
                    </a:ln>
                    <a:extLst>
                      <a:ext uri="{53640926-AAD7-44D8-BBD7-CCE9431645EC}">
                        <a14:shadowObscured xmlns:a14="http://schemas.microsoft.com/office/drawing/2010/main"/>
                      </a:ext>
                    </a:extLst>
                  </pic:spPr>
                </pic:pic>
              </a:graphicData>
            </a:graphic>
          </wp:inline>
        </w:drawing>
      </w:r>
    </w:p>
    <w:p w14:paraId="3B3DE3DE" w14:textId="5EFF59AD" w:rsidR="00BA6745" w:rsidRPr="00AE797D" w:rsidRDefault="00BA6745" w:rsidP="00066DF0">
      <w:pPr>
        <w:spacing w:before="120" w:after="120" w:line="240" w:lineRule="auto"/>
        <w:jc w:val="center"/>
        <w:rPr>
          <w:rFonts w:ascii="Times New Roman" w:hAnsi="Times New Roman" w:cs="Times New Roman"/>
          <w:sz w:val="18"/>
          <w:szCs w:val="18"/>
        </w:rPr>
      </w:pPr>
      <w:r w:rsidRPr="00AE797D">
        <w:rPr>
          <w:rFonts w:ascii="Times New Roman" w:hAnsi="Times New Roman" w:cs="Times New Roman"/>
          <w:i/>
          <w:iCs/>
          <w:sz w:val="18"/>
          <w:szCs w:val="18"/>
        </w:rPr>
        <w:t xml:space="preserve">Deloitte source chart showing talent strategy adjustments related to AI adoption. Source: Deloitte, State of AI in </w:t>
      </w:r>
      <w:proofErr w:type="gramStart"/>
      <w:r w:rsidRPr="00AE797D">
        <w:rPr>
          <w:rFonts w:ascii="Times New Roman" w:hAnsi="Times New Roman" w:cs="Times New Roman"/>
          <w:i/>
          <w:iCs/>
          <w:sz w:val="18"/>
          <w:szCs w:val="18"/>
        </w:rPr>
        <w:t>the Enterprise</w:t>
      </w:r>
      <w:proofErr w:type="gramEnd"/>
      <w:r w:rsidRPr="00AE797D">
        <w:rPr>
          <w:rFonts w:ascii="Times New Roman" w:hAnsi="Times New Roman" w:cs="Times New Roman"/>
          <w:i/>
          <w:iCs/>
          <w:sz w:val="18"/>
          <w:szCs w:val="18"/>
        </w:rPr>
        <w:t>, p. 14.</w:t>
      </w:r>
    </w:p>
    <w:p w14:paraId="505BA094" w14:textId="2005354A" w:rsidR="00BA6745" w:rsidRPr="00AE797D" w:rsidRDefault="00BA6745" w:rsidP="00066DF0">
      <w:pPr>
        <w:pStyle w:val="SectionHeading"/>
        <w:spacing w:before="120" w:after="120"/>
        <w:rPr>
          <w:rFonts w:eastAsia="Times New Roman" w:cs="Times New Roman"/>
        </w:rPr>
      </w:pPr>
      <w:r w:rsidRPr="00AE797D">
        <w:rPr>
          <w:rFonts w:cs="Times New Roman"/>
        </w:rPr>
        <w:t xml:space="preserve">The final problem is data credibility. </w:t>
      </w:r>
      <w:r w:rsidRPr="00AE797D">
        <w:rPr>
          <w:rFonts w:eastAsia="Times New Roman" w:cs="Times New Roman"/>
        </w:rPr>
        <w:t>As an accounting firm, Deloitte helps clients make large financial datasets. A company’s records may include unusual transactions, duplicate entries</w:t>
      </w:r>
      <w:r w:rsidR="00702978" w:rsidRPr="00AE797D">
        <w:rPr>
          <w:rFonts w:eastAsia="Times New Roman" w:cs="Times New Roman"/>
        </w:rPr>
        <w:t>, and incorrect</w:t>
      </w:r>
      <w:r w:rsidRPr="00AE797D">
        <w:rPr>
          <w:rFonts w:eastAsia="Times New Roman" w:cs="Times New Roman"/>
        </w:rPr>
        <w:t xml:space="preserve"> classifications. This creates a serious problem because audit depends on whether the data being tested is reliable enough to support conclusions. Statistical methods help Deloitte address this problem by highlighting records that deserve closer review. For example, Deloitte’s </w:t>
      </w:r>
      <w:proofErr w:type="spellStart"/>
      <w:r w:rsidRPr="00AE797D">
        <w:rPr>
          <w:rFonts w:eastAsia="Times New Roman" w:cs="Times New Roman"/>
          <w:i/>
          <w:iCs/>
        </w:rPr>
        <w:t>DataDoc</w:t>
      </w:r>
      <w:proofErr w:type="spellEnd"/>
      <w:r w:rsidRPr="00AE797D">
        <w:rPr>
          <w:rFonts w:eastAsia="Times New Roman" w:cs="Times New Roman"/>
        </w:rPr>
        <w:t xml:space="preserve"> identifies irregularities in large datasets (“Finding Irregularities”). However, </w:t>
      </w:r>
      <w:proofErr w:type="spellStart"/>
      <w:r w:rsidRPr="00AE797D">
        <w:rPr>
          <w:rFonts w:eastAsia="Times New Roman" w:cs="Times New Roman"/>
          <w:i/>
          <w:iCs/>
        </w:rPr>
        <w:t>DataDoc</w:t>
      </w:r>
      <w:proofErr w:type="spellEnd"/>
      <w:r w:rsidRPr="00AE797D">
        <w:rPr>
          <w:rFonts w:eastAsia="Times New Roman" w:cs="Times New Roman"/>
        </w:rPr>
        <w:t xml:space="preserve"> is not the solution itself</w:t>
      </w:r>
      <w:r w:rsidR="00C464EE" w:rsidRPr="00AE797D">
        <w:rPr>
          <w:rFonts w:eastAsia="Times New Roman" w:cs="Times New Roman"/>
        </w:rPr>
        <w:t xml:space="preserve"> and</w:t>
      </w:r>
      <w:r w:rsidRPr="00AE797D">
        <w:rPr>
          <w:rFonts w:eastAsia="Times New Roman" w:cs="Times New Roman"/>
        </w:rPr>
        <w:t xml:space="preserve"> may require </w:t>
      </w:r>
      <w:r w:rsidR="00702978">
        <w:rPr>
          <w:rFonts w:eastAsia="Times New Roman" w:cs="Times New Roman"/>
        </w:rPr>
        <w:t>human review</w:t>
      </w:r>
      <w:r w:rsidRPr="00AE797D">
        <w:rPr>
          <w:rFonts w:eastAsia="Times New Roman" w:cs="Times New Roman"/>
        </w:rPr>
        <w:t>.</w:t>
      </w:r>
    </w:p>
    <w:p w14:paraId="662C1AF1"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DATA COLLECTION METHODS </w:t>
      </w:r>
    </w:p>
    <w:p w14:paraId="376B11FB" w14:textId="662E9C80" w:rsidR="00C464EE" w:rsidRPr="00AE797D" w:rsidRDefault="00C464EE"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Deloitte uses quantitative and qualitative data. Quantitative data includes survey percentages, productivity measures, cost savings, employee counts, audit records, </w:t>
      </w:r>
      <w:r w:rsidR="00702978">
        <w:rPr>
          <w:rFonts w:ascii="Times New Roman" w:hAnsi="Times New Roman" w:cs="Times New Roman"/>
          <w:sz w:val="22"/>
          <w:szCs w:val="22"/>
        </w:rPr>
        <w:t xml:space="preserve">and </w:t>
      </w:r>
      <w:r w:rsidRPr="00AE797D">
        <w:rPr>
          <w:rFonts w:ascii="Times New Roman" w:hAnsi="Times New Roman" w:cs="Times New Roman"/>
          <w:sz w:val="22"/>
          <w:szCs w:val="22"/>
        </w:rPr>
        <w:t>transaction values. Qualitative data includes performance reviews, employee comments</w:t>
      </w:r>
      <w:r w:rsidR="00702978" w:rsidRPr="00AE797D">
        <w:rPr>
          <w:rFonts w:ascii="Times New Roman" w:hAnsi="Times New Roman" w:cs="Times New Roman"/>
          <w:sz w:val="22"/>
          <w:szCs w:val="22"/>
        </w:rPr>
        <w:t>, and meeting</w:t>
      </w:r>
      <w:r w:rsidRPr="00AE797D">
        <w:rPr>
          <w:rFonts w:ascii="Times New Roman" w:hAnsi="Times New Roman" w:cs="Times New Roman"/>
          <w:sz w:val="22"/>
          <w:szCs w:val="22"/>
        </w:rPr>
        <w:t xml:space="preserve"> notes. All cohorts using GenAI would be the population, while Deloitte’s 2,770 survey respondents would be the sample.</w:t>
      </w:r>
    </w:p>
    <w:p w14:paraId="4CAADAE4" w14:textId="405D8C02" w:rsidR="00C464EE" w:rsidRPr="00AE797D" w:rsidRDefault="00C464EE"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Deloitte also works with cross sectional and time series data. </w:t>
      </w:r>
      <w:proofErr w:type="gramStart"/>
      <w:r w:rsidRPr="00AE797D">
        <w:rPr>
          <w:rFonts w:ascii="Times New Roman" w:hAnsi="Times New Roman" w:cs="Times New Roman"/>
          <w:sz w:val="22"/>
          <w:szCs w:val="22"/>
        </w:rPr>
        <w:t>cross sectional</w:t>
      </w:r>
      <w:proofErr w:type="gramEnd"/>
      <w:r w:rsidRPr="00AE797D">
        <w:rPr>
          <w:rFonts w:ascii="Times New Roman" w:hAnsi="Times New Roman" w:cs="Times New Roman"/>
          <w:sz w:val="22"/>
          <w:szCs w:val="22"/>
        </w:rPr>
        <w:t xml:space="preserve"> example would be comparing companies at one point in time based on whether they track GenAI productivity. </w:t>
      </w:r>
      <w:proofErr w:type="gramStart"/>
      <w:r w:rsidRPr="00AE797D">
        <w:rPr>
          <w:rFonts w:ascii="Times New Roman" w:hAnsi="Times New Roman" w:cs="Times New Roman"/>
          <w:sz w:val="22"/>
          <w:szCs w:val="22"/>
        </w:rPr>
        <w:t>A time series example</w:t>
      </w:r>
      <w:proofErr w:type="gramEnd"/>
      <w:r w:rsidRPr="00AE797D">
        <w:rPr>
          <w:rFonts w:ascii="Times New Roman" w:hAnsi="Times New Roman" w:cs="Times New Roman"/>
          <w:sz w:val="22"/>
          <w:szCs w:val="22"/>
        </w:rPr>
        <w:t xml:space="preserve"> would be tracking productivity, cost savings, or audit exceptions before and after a technology investment.</w:t>
      </w:r>
    </w:p>
    <w:p w14:paraId="0F5B275D" w14:textId="3617DDF5"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CHARTS AND NUMERICAL MEASURES </w:t>
      </w:r>
    </w:p>
    <w:p w14:paraId="3701D3F5" w14:textId="1E4E47F4"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Deloitte’s statistical work also depends on charts, tables, and numerical measures. The source chart below compares benefits </w:t>
      </w:r>
      <w:r w:rsidR="00702978">
        <w:rPr>
          <w:rFonts w:ascii="Times New Roman" w:hAnsi="Times New Roman" w:cs="Times New Roman"/>
          <w:sz w:val="22"/>
          <w:szCs w:val="22"/>
        </w:rPr>
        <w:t>firms</w:t>
      </w:r>
      <w:r w:rsidRPr="00AE797D">
        <w:rPr>
          <w:rFonts w:ascii="Times New Roman" w:hAnsi="Times New Roman" w:cs="Times New Roman"/>
          <w:sz w:val="22"/>
          <w:szCs w:val="22"/>
        </w:rPr>
        <w:t xml:space="preserve"> already achieve with AI.</w:t>
      </w:r>
      <w:r w:rsidR="00C464EE" w:rsidRPr="00AE797D">
        <w:rPr>
          <w:rFonts w:ascii="Times New Roman" w:hAnsi="Times New Roman" w:cs="Times New Roman"/>
          <w:sz w:val="22"/>
          <w:szCs w:val="22"/>
        </w:rPr>
        <w:t xml:space="preserve"> In OSC</w:t>
      </w:r>
      <w:r w:rsidRPr="00AE797D">
        <w:rPr>
          <w:rFonts w:ascii="Times New Roman" w:hAnsi="Times New Roman" w:cs="Times New Roman"/>
          <w:sz w:val="22"/>
          <w:szCs w:val="22"/>
        </w:rPr>
        <w:t xml:space="preserve"> </w:t>
      </w:r>
      <w:r w:rsidR="00C464EE" w:rsidRPr="00AE797D">
        <w:rPr>
          <w:rFonts w:ascii="Times New Roman" w:hAnsi="Times New Roman" w:cs="Times New Roman"/>
          <w:sz w:val="22"/>
          <w:szCs w:val="22"/>
        </w:rPr>
        <w:t>c</w:t>
      </w:r>
      <w:r w:rsidRPr="00AE797D">
        <w:rPr>
          <w:rFonts w:ascii="Times New Roman" w:hAnsi="Times New Roman" w:cs="Times New Roman"/>
          <w:sz w:val="22"/>
          <w:szCs w:val="22"/>
        </w:rPr>
        <w:t>hapter 2</w:t>
      </w:r>
      <w:r w:rsidR="00C464EE" w:rsidRPr="00AE797D">
        <w:rPr>
          <w:rFonts w:ascii="Times New Roman" w:hAnsi="Times New Roman" w:cs="Times New Roman"/>
          <w:sz w:val="22"/>
          <w:szCs w:val="22"/>
        </w:rPr>
        <w:t xml:space="preserve"> we</w:t>
      </w:r>
      <w:r w:rsidRPr="00AE797D">
        <w:rPr>
          <w:rFonts w:ascii="Times New Roman" w:hAnsi="Times New Roman" w:cs="Times New Roman"/>
          <w:sz w:val="22"/>
          <w:szCs w:val="22"/>
        </w:rPr>
        <w:t xml:space="preserve"> </w:t>
      </w:r>
      <w:r w:rsidR="00D623F6" w:rsidRPr="00AE797D">
        <w:rPr>
          <w:rFonts w:ascii="Times New Roman" w:hAnsi="Times New Roman" w:cs="Times New Roman"/>
          <w:sz w:val="22"/>
          <w:szCs w:val="22"/>
        </w:rPr>
        <w:t>focus</w:t>
      </w:r>
      <w:r w:rsidRPr="00AE797D">
        <w:rPr>
          <w:rFonts w:ascii="Times New Roman" w:hAnsi="Times New Roman" w:cs="Times New Roman"/>
          <w:sz w:val="22"/>
          <w:szCs w:val="22"/>
        </w:rPr>
        <w:t xml:space="preserve"> on graphs and tables, which is important when Deloitte presents findings to clients. A bar chart </w:t>
      </w:r>
      <w:r w:rsidR="00C464EE" w:rsidRPr="00AE797D">
        <w:rPr>
          <w:rFonts w:ascii="Times New Roman" w:hAnsi="Times New Roman" w:cs="Times New Roman"/>
          <w:sz w:val="22"/>
          <w:szCs w:val="22"/>
        </w:rPr>
        <w:t xml:space="preserve">can </w:t>
      </w:r>
      <w:r w:rsidRPr="00AE797D">
        <w:rPr>
          <w:rFonts w:ascii="Times New Roman" w:hAnsi="Times New Roman" w:cs="Times New Roman"/>
          <w:sz w:val="22"/>
          <w:szCs w:val="22"/>
        </w:rPr>
        <w:t xml:space="preserve">compare companies increasing GenAI investment, and tracking productivity. A line chart could show productivity or audit exceptions over time. </w:t>
      </w:r>
    </w:p>
    <w:p w14:paraId="58ABDD27" w14:textId="544FFE74" w:rsidR="00C464EE" w:rsidRPr="00AE797D" w:rsidRDefault="00C464EE"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drawing>
          <wp:inline distT="0" distB="0" distL="0" distR="0" wp14:anchorId="1BE18774" wp14:editId="3616226A">
            <wp:extent cx="4933950" cy="161135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i_benefits_today_vs_hope.png"/>
                    <pic:cNvPicPr/>
                  </pic:nvPicPr>
                  <pic:blipFill rotWithShape="1">
                    <a:blip r:embed="rId11"/>
                    <a:srcRect t="17070"/>
                    <a:stretch>
                      <a:fillRect/>
                    </a:stretch>
                  </pic:blipFill>
                  <pic:spPr bwMode="auto">
                    <a:xfrm>
                      <a:off x="0" y="0"/>
                      <a:ext cx="4978114" cy="1625773"/>
                    </a:xfrm>
                    <a:prstGeom prst="rect">
                      <a:avLst/>
                    </a:prstGeom>
                    <a:ln>
                      <a:noFill/>
                    </a:ln>
                    <a:extLst>
                      <a:ext uri="{53640926-AAD7-44D8-BBD7-CCE9431645EC}">
                        <a14:shadowObscured xmlns:a14="http://schemas.microsoft.com/office/drawing/2010/main"/>
                      </a:ext>
                    </a:extLst>
                  </pic:spPr>
                </pic:pic>
              </a:graphicData>
            </a:graphic>
          </wp:inline>
        </w:drawing>
      </w:r>
    </w:p>
    <w:p w14:paraId="4B6B662B" w14:textId="093254ED" w:rsidR="00BA6745" w:rsidRPr="00AE797D" w:rsidRDefault="00BA6745" w:rsidP="00066DF0">
      <w:pPr>
        <w:spacing w:before="120" w:after="120" w:line="240" w:lineRule="auto"/>
        <w:jc w:val="center"/>
        <w:rPr>
          <w:rFonts w:ascii="Times New Roman" w:hAnsi="Times New Roman" w:cs="Times New Roman"/>
          <w:sz w:val="18"/>
          <w:szCs w:val="18"/>
        </w:rPr>
      </w:pPr>
      <w:r w:rsidRPr="00AE797D">
        <w:rPr>
          <w:rFonts w:ascii="Times New Roman" w:hAnsi="Times New Roman" w:cs="Times New Roman"/>
          <w:i/>
          <w:iCs/>
          <w:sz w:val="18"/>
          <w:szCs w:val="18"/>
        </w:rPr>
        <w:t xml:space="preserve">Deloitte source chart comparing AI benefits achieved today with benefits organizations still hope to achieve. Source: Deloitte, State of AI in </w:t>
      </w:r>
      <w:proofErr w:type="gramStart"/>
      <w:r w:rsidRPr="00AE797D">
        <w:rPr>
          <w:rFonts w:ascii="Times New Roman" w:hAnsi="Times New Roman" w:cs="Times New Roman"/>
          <w:i/>
          <w:iCs/>
          <w:sz w:val="18"/>
          <w:szCs w:val="18"/>
        </w:rPr>
        <w:t>the Enterprise</w:t>
      </w:r>
      <w:proofErr w:type="gramEnd"/>
      <w:r w:rsidRPr="00AE797D">
        <w:rPr>
          <w:rFonts w:ascii="Times New Roman" w:hAnsi="Times New Roman" w:cs="Times New Roman"/>
          <w:i/>
          <w:iCs/>
          <w:sz w:val="18"/>
          <w:szCs w:val="18"/>
        </w:rPr>
        <w:t xml:space="preserve">, p. 10. </w:t>
      </w:r>
      <w:r w:rsidRPr="00AE797D">
        <w:rPr>
          <w:rFonts w:ascii="Times New Roman" w:hAnsi="Times New Roman" w:cs="Times New Roman"/>
          <w:sz w:val="18"/>
          <w:szCs w:val="18"/>
        </w:rPr>
        <w:t>Steenblik 3</w:t>
      </w:r>
    </w:p>
    <w:p w14:paraId="723B6A51" w14:textId="502883BD" w:rsidR="00BA6745" w:rsidRPr="00AE797D" w:rsidRDefault="00C464EE"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OSC c</w:t>
      </w:r>
      <w:r w:rsidR="00BA6745" w:rsidRPr="00AE797D">
        <w:rPr>
          <w:rFonts w:ascii="Times New Roman" w:hAnsi="Times New Roman" w:cs="Times New Roman"/>
          <w:sz w:val="22"/>
          <w:szCs w:val="22"/>
        </w:rPr>
        <w:t xml:space="preserve">hapter 3 focuses on numerical measures such as proportions, means, and variation. In this project, the key numerical measure is a sample proportion. Deloitte reported that 38% of surveyed </w:t>
      </w:r>
      <w:r w:rsidR="00702978">
        <w:rPr>
          <w:rFonts w:ascii="Times New Roman" w:hAnsi="Times New Roman" w:cs="Times New Roman"/>
          <w:sz w:val="22"/>
          <w:szCs w:val="22"/>
        </w:rPr>
        <w:t>firms</w:t>
      </w:r>
      <w:r w:rsidR="00BA6745" w:rsidRPr="00AE797D">
        <w:rPr>
          <w:rFonts w:ascii="Times New Roman" w:hAnsi="Times New Roman" w:cs="Times New Roman"/>
          <w:sz w:val="22"/>
          <w:szCs w:val="22"/>
        </w:rPr>
        <w:t xml:space="preserve"> track employee productivity from GenAI (“Despite Increased Investment”). Deloitte </w:t>
      </w:r>
      <w:r w:rsidRPr="00AE797D">
        <w:rPr>
          <w:rFonts w:ascii="Times New Roman" w:hAnsi="Times New Roman" w:cs="Times New Roman"/>
          <w:sz w:val="22"/>
          <w:szCs w:val="22"/>
        </w:rPr>
        <w:t>can use the</w:t>
      </w:r>
      <w:r w:rsidR="00BA6745" w:rsidRPr="00AE797D">
        <w:rPr>
          <w:rFonts w:ascii="Times New Roman" w:hAnsi="Times New Roman" w:cs="Times New Roman"/>
          <w:sz w:val="22"/>
          <w:szCs w:val="22"/>
        </w:rPr>
        <w:t xml:space="preserve"> </w:t>
      </w:r>
      <w:proofErr w:type="gramStart"/>
      <w:r w:rsidR="00BA6745" w:rsidRPr="00AE797D">
        <w:rPr>
          <w:rFonts w:ascii="Times New Roman" w:hAnsi="Times New Roman" w:cs="Times New Roman"/>
          <w:sz w:val="22"/>
          <w:szCs w:val="22"/>
        </w:rPr>
        <w:t>mean</w:t>
      </w:r>
      <w:proofErr w:type="gramEnd"/>
      <w:r w:rsidR="00BA6745" w:rsidRPr="00AE797D">
        <w:rPr>
          <w:rFonts w:ascii="Times New Roman" w:hAnsi="Times New Roman" w:cs="Times New Roman"/>
          <w:sz w:val="22"/>
          <w:szCs w:val="22"/>
        </w:rPr>
        <w:t xml:space="preserve"> to </w:t>
      </w:r>
      <w:r w:rsidR="00BA6745" w:rsidRPr="00AE797D">
        <w:rPr>
          <w:rFonts w:ascii="Times New Roman" w:hAnsi="Times New Roman" w:cs="Times New Roman"/>
          <w:sz w:val="22"/>
          <w:szCs w:val="22"/>
        </w:rPr>
        <w:lastRenderedPageBreak/>
        <w:t xml:space="preserve">compare average productivity before and after a technology is introduced. </w:t>
      </w:r>
      <w:r w:rsidRPr="00AE797D">
        <w:rPr>
          <w:rFonts w:ascii="Times New Roman" w:hAnsi="Times New Roman" w:cs="Times New Roman"/>
          <w:sz w:val="22"/>
          <w:szCs w:val="22"/>
        </w:rPr>
        <w:t>And then compare</w:t>
      </w:r>
      <w:r w:rsidR="00D623F6">
        <w:rPr>
          <w:rFonts w:ascii="Times New Roman" w:hAnsi="Times New Roman" w:cs="Times New Roman"/>
          <w:sz w:val="22"/>
          <w:szCs w:val="22"/>
        </w:rPr>
        <w:t xml:space="preserve"> it</w:t>
      </w:r>
      <w:r w:rsidRPr="00AE797D">
        <w:rPr>
          <w:rFonts w:ascii="Times New Roman" w:hAnsi="Times New Roman" w:cs="Times New Roman"/>
          <w:sz w:val="22"/>
          <w:szCs w:val="22"/>
        </w:rPr>
        <w:t xml:space="preserve"> using s</w:t>
      </w:r>
      <w:r w:rsidR="00BA6745" w:rsidRPr="00AE797D">
        <w:rPr>
          <w:rFonts w:ascii="Times New Roman" w:hAnsi="Times New Roman" w:cs="Times New Roman"/>
          <w:sz w:val="22"/>
          <w:szCs w:val="22"/>
        </w:rPr>
        <w:t xml:space="preserve">tandard deviation </w:t>
      </w:r>
      <w:r w:rsidRPr="00AE797D">
        <w:rPr>
          <w:rFonts w:ascii="Times New Roman" w:hAnsi="Times New Roman" w:cs="Times New Roman"/>
          <w:sz w:val="22"/>
          <w:szCs w:val="22"/>
        </w:rPr>
        <w:t>to</w:t>
      </w:r>
      <w:r w:rsidR="00BA6745" w:rsidRPr="00AE797D">
        <w:rPr>
          <w:rFonts w:ascii="Times New Roman" w:hAnsi="Times New Roman" w:cs="Times New Roman"/>
          <w:sz w:val="22"/>
          <w:szCs w:val="22"/>
        </w:rPr>
        <w:t xml:space="preserve"> show whether results are consistent. </w:t>
      </w:r>
    </w:p>
    <w:p w14:paraId="6C6A9870"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ASSUMPTIONS AND LIMITATIONS </w:t>
      </w:r>
    </w:p>
    <w:p w14:paraId="4A256A99" w14:textId="088D6DDB" w:rsidR="00C464EE" w:rsidRPr="00AE797D" w:rsidRDefault="00C464EE"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For the confidence interval and hypothesis test, the sample </w:t>
      </w:r>
      <w:r w:rsidR="00066DF0">
        <w:rPr>
          <w:rFonts w:ascii="Times New Roman" w:hAnsi="Times New Roman" w:cs="Times New Roman"/>
          <w:sz w:val="22"/>
          <w:szCs w:val="22"/>
        </w:rPr>
        <w:t>should be</w:t>
      </w:r>
      <w:r w:rsidRPr="00AE797D">
        <w:rPr>
          <w:rFonts w:ascii="Times New Roman" w:hAnsi="Times New Roman" w:cs="Times New Roman"/>
          <w:sz w:val="22"/>
          <w:szCs w:val="22"/>
        </w:rPr>
        <w:t xml:space="preserve"> large enough, and the responses should not depend on each other. Deloitte’s GenAI survey had 2,770 respondents, which is large enough to use the population proportion formula. However, the results can still have sampling error because the survey is only a sample, not the entire population.</w:t>
      </w:r>
    </w:p>
    <w:p w14:paraId="18774E98" w14:textId="3B4EBFAD" w:rsidR="00C464EE" w:rsidRPr="00AE797D" w:rsidRDefault="00C464EE"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There are also other limits. The survey only included leaders who were already involved with GenAI, so it may not represent every company. The answers were also </w:t>
      </w:r>
      <w:proofErr w:type="spellStart"/>
      <w:proofErr w:type="gramStart"/>
      <w:r w:rsidRPr="00AE797D">
        <w:rPr>
          <w:rFonts w:ascii="Times New Roman" w:hAnsi="Times New Roman" w:cs="Times New Roman"/>
          <w:sz w:val="22"/>
          <w:szCs w:val="22"/>
        </w:rPr>
        <w:t>self reported</w:t>
      </w:r>
      <w:proofErr w:type="spellEnd"/>
      <w:proofErr w:type="gramEnd"/>
      <w:r w:rsidRPr="00AE797D">
        <w:rPr>
          <w:rFonts w:ascii="Times New Roman" w:hAnsi="Times New Roman" w:cs="Times New Roman"/>
          <w:sz w:val="22"/>
          <w:szCs w:val="22"/>
        </w:rPr>
        <w:t>, which means people may not always give perfect or complete information.</w:t>
      </w:r>
    </w:p>
    <w:p w14:paraId="7F2D65D1"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ESTIMATION </w:t>
      </w:r>
    </w:p>
    <w:p w14:paraId="51476D19" w14:textId="5F38DC22" w:rsidR="001236F4" w:rsidRPr="00AE797D" w:rsidRDefault="001236F4"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Estimation is used when a business wants to use sample data to understand a larger group. Deloitte’s survey included 2,770 leaders, but the goal is to understand similar </w:t>
      </w:r>
      <w:r w:rsidR="00702978">
        <w:rPr>
          <w:rFonts w:ascii="Times New Roman" w:hAnsi="Times New Roman" w:cs="Times New Roman"/>
          <w:sz w:val="22"/>
          <w:szCs w:val="22"/>
        </w:rPr>
        <w:t>firms</w:t>
      </w:r>
      <w:r w:rsidRPr="00AE797D">
        <w:rPr>
          <w:rFonts w:ascii="Times New Roman" w:hAnsi="Times New Roman" w:cs="Times New Roman"/>
          <w:sz w:val="22"/>
          <w:szCs w:val="22"/>
        </w:rPr>
        <w:t xml:space="preserve"> beyond just the people who answered the survey. Deloitte found that 38% of the sample tracked employee productivity when using GenAI. This means the sample proportion is 0.38. Using a 95% confidence level:</w:t>
      </w:r>
    </w:p>
    <w:p w14:paraId="018C4E99" w14:textId="0CF0222E" w:rsidR="00C464EE" w:rsidRPr="00AE797D" w:rsidRDefault="00C464EE"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drawing>
          <wp:inline distT="0" distB="0" distL="0" distR="0" wp14:anchorId="735C00A5" wp14:editId="2B91B427">
            <wp:extent cx="2616200" cy="365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formula.png"/>
                    <pic:cNvPicPr/>
                  </pic:nvPicPr>
                  <pic:blipFill>
                    <a:blip r:embed="rId12"/>
                    <a:stretch>
                      <a:fillRect/>
                    </a:stretch>
                  </pic:blipFill>
                  <pic:spPr>
                    <a:xfrm>
                      <a:off x="0" y="0"/>
                      <a:ext cx="2682227" cy="374467"/>
                    </a:xfrm>
                    <a:prstGeom prst="rect">
                      <a:avLst/>
                    </a:prstGeom>
                  </pic:spPr>
                </pic:pic>
              </a:graphicData>
            </a:graphic>
          </wp:inline>
        </w:drawing>
      </w:r>
    </w:p>
    <w:p w14:paraId="576F7C68" w14:textId="4248333D" w:rsidR="00C464EE" w:rsidRPr="00AE797D" w:rsidRDefault="00C464EE"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drawing>
          <wp:inline distT="0" distB="0" distL="0" distR="0" wp14:anchorId="66E26FF1" wp14:editId="17ED6704">
            <wp:extent cx="2444638" cy="330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sub.png"/>
                    <pic:cNvPicPr/>
                  </pic:nvPicPr>
                  <pic:blipFill>
                    <a:blip r:embed="rId13"/>
                    <a:stretch>
                      <a:fillRect/>
                    </a:stretch>
                  </pic:blipFill>
                  <pic:spPr>
                    <a:xfrm>
                      <a:off x="0" y="0"/>
                      <a:ext cx="2496692" cy="337604"/>
                    </a:xfrm>
                    <a:prstGeom prst="rect">
                      <a:avLst/>
                    </a:prstGeom>
                  </pic:spPr>
                </pic:pic>
              </a:graphicData>
            </a:graphic>
          </wp:inline>
        </w:drawing>
      </w:r>
    </w:p>
    <w:p w14:paraId="6B5DFC5F" w14:textId="0FA7C0C6" w:rsidR="00C464EE" w:rsidRPr="00AE797D" w:rsidRDefault="00C464EE"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drawing>
          <wp:inline distT="0" distB="0" distL="0" distR="0" wp14:anchorId="319B33F0" wp14:editId="2A244705">
            <wp:extent cx="1197785" cy="269123"/>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result.png"/>
                    <pic:cNvPicPr/>
                  </pic:nvPicPr>
                  <pic:blipFill>
                    <a:blip r:embed="rId14"/>
                    <a:stretch>
                      <a:fillRect/>
                    </a:stretch>
                  </pic:blipFill>
                  <pic:spPr>
                    <a:xfrm>
                      <a:off x="0" y="0"/>
                      <a:ext cx="1225856" cy="275430"/>
                    </a:xfrm>
                    <a:prstGeom prst="rect">
                      <a:avLst/>
                    </a:prstGeom>
                  </pic:spPr>
                </pic:pic>
              </a:graphicData>
            </a:graphic>
          </wp:inline>
        </w:drawing>
      </w:r>
    </w:p>
    <w:p w14:paraId="733D2558" w14:textId="772C157D" w:rsidR="001236F4" w:rsidRPr="00AE797D" w:rsidRDefault="001236F4"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The confidence interval is about 0.362 to 0.398, or 36.2% to 39.8%. This means Deloitte can be 95% confident that the true proportion of similar </w:t>
      </w:r>
      <w:r w:rsidR="00702978">
        <w:rPr>
          <w:rFonts w:ascii="Times New Roman" w:hAnsi="Times New Roman" w:cs="Times New Roman"/>
          <w:sz w:val="22"/>
          <w:szCs w:val="22"/>
        </w:rPr>
        <w:t>firms</w:t>
      </w:r>
      <w:r w:rsidRPr="00AE797D">
        <w:rPr>
          <w:rFonts w:ascii="Times New Roman" w:hAnsi="Times New Roman" w:cs="Times New Roman"/>
          <w:sz w:val="22"/>
          <w:szCs w:val="22"/>
        </w:rPr>
        <w:t xml:space="preserve"> tracking productivity is somewhere in that range.</w:t>
      </w:r>
    </w:p>
    <w:p w14:paraId="723AE3ED"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HYPOTHESIS TEST </w:t>
      </w:r>
    </w:p>
    <w:p w14:paraId="1761191F" w14:textId="544E50A1" w:rsidR="00000662" w:rsidRPr="00000662" w:rsidRDefault="00000662" w:rsidP="00066DF0">
      <w:pPr>
        <w:spacing w:before="120" w:after="120" w:line="240" w:lineRule="auto"/>
        <w:rPr>
          <w:rFonts w:ascii="Times New Roman" w:hAnsi="Times New Roman" w:cs="Times New Roman"/>
          <w:sz w:val="22"/>
          <w:szCs w:val="22"/>
        </w:rPr>
      </w:pPr>
      <w:r w:rsidRPr="00000662">
        <w:rPr>
          <w:rFonts w:ascii="Times New Roman" w:hAnsi="Times New Roman" w:cs="Times New Roman"/>
          <w:sz w:val="22"/>
          <w:szCs w:val="22"/>
        </w:rPr>
        <w:t>A hypothesis test can also be performed using Deloitte’s GenAI survey data. The business question is</w:t>
      </w:r>
      <w:r>
        <w:rPr>
          <w:rFonts w:ascii="Times New Roman" w:hAnsi="Times New Roman" w:cs="Times New Roman"/>
          <w:sz w:val="22"/>
          <w:szCs w:val="22"/>
        </w:rPr>
        <w:t>;</w:t>
      </w:r>
      <w:r w:rsidRPr="00000662">
        <w:rPr>
          <w:rFonts w:ascii="Times New Roman" w:hAnsi="Times New Roman" w:cs="Times New Roman"/>
          <w:sz w:val="22"/>
          <w:szCs w:val="22"/>
        </w:rPr>
        <w:t xml:space="preserve"> Are fewer than half of </w:t>
      </w:r>
      <w:r w:rsidR="00702978">
        <w:rPr>
          <w:rFonts w:ascii="Times New Roman" w:hAnsi="Times New Roman" w:cs="Times New Roman"/>
          <w:sz w:val="22"/>
          <w:szCs w:val="22"/>
        </w:rPr>
        <w:t>firms</w:t>
      </w:r>
      <w:r w:rsidRPr="00000662">
        <w:rPr>
          <w:rFonts w:ascii="Times New Roman" w:hAnsi="Times New Roman" w:cs="Times New Roman"/>
          <w:sz w:val="22"/>
          <w:szCs w:val="22"/>
        </w:rPr>
        <w:t xml:space="preserve"> tracking employee productivity when using GenAI? This tests whether </w:t>
      </w:r>
      <w:proofErr w:type="gramStart"/>
      <w:r w:rsidR="00702978">
        <w:rPr>
          <w:rFonts w:ascii="Times New Roman" w:hAnsi="Times New Roman" w:cs="Times New Roman"/>
          <w:sz w:val="22"/>
          <w:szCs w:val="22"/>
        </w:rPr>
        <w:t xml:space="preserve">firms </w:t>
      </w:r>
      <w:r w:rsidRPr="00000662">
        <w:rPr>
          <w:rFonts w:ascii="Times New Roman" w:hAnsi="Times New Roman" w:cs="Times New Roman"/>
          <w:sz w:val="22"/>
          <w:szCs w:val="22"/>
        </w:rPr>
        <w:t xml:space="preserve"> use</w:t>
      </w:r>
      <w:proofErr w:type="gramEnd"/>
      <w:r w:rsidRPr="00000662">
        <w:rPr>
          <w:rFonts w:ascii="Times New Roman" w:hAnsi="Times New Roman" w:cs="Times New Roman"/>
          <w:sz w:val="22"/>
          <w:szCs w:val="22"/>
        </w:rPr>
        <w:t xml:space="preserve"> measurable evidence to evaluate technology return on investment</w:t>
      </w:r>
    </w:p>
    <w:p w14:paraId="704DD9FC" w14:textId="33FC10F6" w:rsidR="001236F4" w:rsidRPr="00AE797D" w:rsidRDefault="001236F4"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The null hypothesis is H0: p = 0.50, meaning 50% of </w:t>
      </w:r>
      <w:r w:rsidR="00702978">
        <w:rPr>
          <w:rFonts w:ascii="Times New Roman" w:hAnsi="Times New Roman" w:cs="Times New Roman"/>
          <w:sz w:val="22"/>
          <w:szCs w:val="22"/>
        </w:rPr>
        <w:t>firms</w:t>
      </w:r>
      <w:r w:rsidRPr="00AE797D">
        <w:rPr>
          <w:rFonts w:ascii="Times New Roman" w:hAnsi="Times New Roman" w:cs="Times New Roman"/>
          <w:sz w:val="22"/>
          <w:szCs w:val="22"/>
        </w:rPr>
        <w:t xml:space="preserve"> track productivity. The alternative hypothesis is Ha: p &lt; 0.50, meaning fewer than 50% track productivity. Deloitte’s survey found that the sample proportion was 0.38, and the sample size was 2,770. Using the one-proportion z-test:</w:t>
      </w:r>
    </w:p>
    <w:p w14:paraId="2BEEC4A1" w14:textId="01FA0E43" w:rsidR="001236F4" w:rsidRPr="00AE797D" w:rsidRDefault="001236F4"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drawing>
          <wp:inline distT="0" distB="0" distL="0" distR="0" wp14:anchorId="7101D589" wp14:editId="6E69E79F">
            <wp:extent cx="3183196" cy="558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_formula.png"/>
                    <pic:cNvPicPr/>
                  </pic:nvPicPr>
                  <pic:blipFill>
                    <a:blip r:embed="rId15"/>
                    <a:stretch>
                      <a:fillRect/>
                    </a:stretch>
                  </pic:blipFill>
                  <pic:spPr>
                    <a:xfrm>
                      <a:off x="0" y="0"/>
                      <a:ext cx="3268915" cy="573196"/>
                    </a:xfrm>
                    <a:prstGeom prst="rect">
                      <a:avLst/>
                    </a:prstGeom>
                  </pic:spPr>
                </pic:pic>
              </a:graphicData>
            </a:graphic>
          </wp:inline>
        </w:drawing>
      </w:r>
    </w:p>
    <w:p w14:paraId="2BF1B960" w14:textId="4328841D" w:rsidR="001236F4" w:rsidRPr="00AE797D" w:rsidRDefault="001236F4"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drawing>
          <wp:inline distT="0" distB="0" distL="0" distR="0" wp14:anchorId="04611345" wp14:editId="1B2D0387">
            <wp:extent cx="1202135" cy="309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_result.png"/>
                    <pic:cNvPicPr/>
                  </pic:nvPicPr>
                  <pic:blipFill>
                    <a:blip r:embed="rId16"/>
                    <a:stretch>
                      <a:fillRect/>
                    </a:stretch>
                  </pic:blipFill>
                  <pic:spPr>
                    <a:xfrm>
                      <a:off x="0" y="0"/>
                      <a:ext cx="1258688" cy="323793"/>
                    </a:xfrm>
                    <a:prstGeom prst="rect">
                      <a:avLst/>
                    </a:prstGeom>
                  </pic:spPr>
                </pic:pic>
              </a:graphicData>
            </a:graphic>
          </wp:inline>
        </w:drawing>
      </w:r>
    </w:p>
    <w:p w14:paraId="134E0A96" w14:textId="1CA04D5D" w:rsidR="001236F4" w:rsidRPr="00AE797D" w:rsidRDefault="001236F4"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The z-score is -12.63. At the 0.05 significance level, the critical value is -1.645. Since -12.63 is less than -1.645, the null hypothesis is rejected. This means there is enough statistical evidence to say that fewer than half of similar </w:t>
      </w:r>
      <w:r w:rsidR="00702978">
        <w:rPr>
          <w:rFonts w:ascii="Times New Roman" w:hAnsi="Times New Roman" w:cs="Times New Roman"/>
          <w:sz w:val="22"/>
          <w:szCs w:val="22"/>
        </w:rPr>
        <w:t>firms</w:t>
      </w:r>
      <w:r w:rsidRPr="00AE797D">
        <w:rPr>
          <w:rFonts w:ascii="Times New Roman" w:hAnsi="Times New Roman" w:cs="Times New Roman"/>
          <w:sz w:val="22"/>
          <w:szCs w:val="22"/>
        </w:rPr>
        <w:t xml:space="preserve"> track employee productivity when using GenAI. For Deloitte, this shows a real measurement problem.</w:t>
      </w:r>
    </w:p>
    <w:p w14:paraId="2BE3F49F"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REGRESSION AND CORRELATION ANALYSIS </w:t>
      </w:r>
    </w:p>
    <w:p w14:paraId="5F0735A4" w14:textId="7FE1493F" w:rsidR="001236F4"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Regression and correlation analysis from </w:t>
      </w:r>
      <w:r w:rsidR="001236F4" w:rsidRPr="00AE797D">
        <w:rPr>
          <w:rFonts w:ascii="Times New Roman" w:hAnsi="Times New Roman" w:cs="Times New Roman"/>
          <w:sz w:val="22"/>
          <w:szCs w:val="22"/>
        </w:rPr>
        <w:t>OSC c</w:t>
      </w:r>
      <w:r w:rsidRPr="00AE797D">
        <w:rPr>
          <w:rFonts w:ascii="Times New Roman" w:hAnsi="Times New Roman" w:cs="Times New Roman"/>
          <w:sz w:val="22"/>
          <w:szCs w:val="22"/>
        </w:rPr>
        <w:t xml:space="preserve">hapter 14 would also be valuable. </w:t>
      </w:r>
      <w:r w:rsidR="001236F4" w:rsidRPr="00AE797D">
        <w:rPr>
          <w:rFonts w:ascii="Times New Roman" w:hAnsi="Times New Roman" w:cs="Times New Roman"/>
          <w:sz w:val="22"/>
          <w:szCs w:val="22"/>
        </w:rPr>
        <w:t xml:space="preserve">Correlation could show whether two things are related, such as whether more employee training is connected to higher </w:t>
      </w:r>
      <w:r w:rsidR="001236F4" w:rsidRPr="00AE797D">
        <w:rPr>
          <w:rFonts w:ascii="Times New Roman" w:hAnsi="Times New Roman" w:cs="Times New Roman"/>
          <w:sz w:val="22"/>
          <w:szCs w:val="22"/>
        </w:rPr>
        <w:lastRenderedPageBreak/>
        <w:t xml:space="preserve">productivity after a company starts using new technology. Regression goes a step further by estimating how </w:t>
      </w:r>
      <w:r w:rsidR="00D623F6" w:rsidRPr="00AE797D">
        <w:rPr>
          <w:rFonts w:ascii="Times New Roman" w:hAnsi="Times New Roman" w:cs="Times New Roman"/>
          <w:sz w:val="22"/>
          <w:szCs w:val="22"/>
        </w:rPr>
        <w:t>many</w:t>
      </w:r>
      <w:r w:rsidR="001236F4" w:rsidRPr="00AE797D">
        <w:rPr>
          <w:rFonts w:ascii="Times New Roman" w:hAnsi="Times New Roman" w:cs="Times New Roman"/>
          <w:sz w:val="22"/>
          <w:szCs w:val="22"/>
        </w:rPr>
        <w:t xml:space="preserve"> changes </w:t>
      </w:r>
      <w:r w:rsidR="00D623F6" w:rsidRPr="00AE797D">
        <w:rPr>
          <w:rFonts w:ascii="Times New Roman" w:hAnsi="Times New Roman" w:cs="Times New Roman"/>
          <w:sz w:val="22"/>
          <w:szCs w:val="22"/>
        </w:rPr>
        <w:t>are caused by</w:t>
      </w:r>
      <w:r w:rsidR="001236F4" w:rsidRPr="00AE797D">
        <w:rPr>
          <w:rFonts w:ascii="Times New Roman" w:hAnsi="Times New Roman" w:cs="Times New Roman"/>
          <w:sz w:val="22"/>
          <w:szCs w:val="22"/>
        </w:rPr>
        <w:t xml:space="preserve"> training hours, technology spending, workflow changes, and KPI tracking change. In this example, productivity improvement would be the dependent variable, while training hours, technology spending, and KPI tracking would be the independent variables.</w:t>
      </w:r>
    </w:p>
    <w:p w14:paraId="65A059B3" w14:textId="77777777" w:rsidR="001236F4" w:rsidRPr="00AE797D" w:rsidRDefault="001236F4"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This matters because Deloitte should not assume that spending more money on technology automatically improves performance. Some companies may only buy new tools without changing how employees work. Other companies may redesign their processes, train employees, and track results. The source chart below shows these different levels of business transformation. McKinsey also found that tracking clear KPIs for GenAI had one of the strongest connections to bottom-line impact (“State of AI”). Regression would not prove that one factor causes success by itself, but it could help Deloitte see which factors are most connected to better results.</w:t>
      </w:r>
    </w:p>
    <w:p w14:paraId="58B5A179" w14:textId="4B0079B2" w:rsidR="001236F4" w:rsidRPr="00AE797D" w:rsidRDefault="001236F4"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drawing>
          <wp:inline distT="0" distB="0" distL="0" distR="0" wp14:anchorId="6C497A3A" wp14:editId="59E2F7BB">
            <wp:extent cx="3742017" cy="2952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nsformation_approach.png"/>
                    <pic:cNvPicPr/>
                  </pic:nvPicPr>
                  <pic:blipFill rotWithShape="1">
                    <a:blip r:embed="rId17"/>
                    <a:srcRect t="9724"/>
                    <a:stretch>
                      <a:fillRect/>
                    </a:stretch>
                  </pic:blipFill>
                  <pic:spPr bwMode="auto">
                    <a:xfrm>
                      <a:off x="0" y="0"/>
                      <a:ext cx="3750733" cy="2959628"/>
                    </a:xfrm>
                    <a:prstGeom prst="rect">
                      <a:avLst/>
                    </a:prstGeom>
                    <a:ln>
                      <a:noFill/>
                    </a:ln>
                    <a:extLst>
                      <a:ext uri="{53640926-AAD7-44D8-BBD7-CCE9431645EC}">
                        <a14:shadowObscured xmlns:a14="http://schemas.microsoft.com/office/drawing/2010/main"/>
                      </a:ext>
                    </a:extLst>
                  </pic:spPr>
                </pic:pic>
              </a:graphicData>
            </a:graphic>
          </wp:inline>
        </w:drawing>
      </w:r>
    </w:p>
    <w:p w14:paraId="7F5C8407" w14:textId="5D583FCE" w:rsidR="00BA6745" w:rsidRPr="00AE797D" w:rsidRDefault="00BA6745" w:rsidP="00066DF0">
      <w:pPr>
        <w:spacing w:before="120" w:after="120" w:line="240" w:lineRule="auto"/>
        <w:jc w:val="center"/>
        <w:rPr>
          <w:rFonts w:ascii="Times New Roman" w:hAnsi="Times New Roman" w:cs="Times New Roman"/>
          <w:sz w:val="18"/>
          <w:szCs w:val="18"/>
        </w:rPr>
      </w:pPr>
      <w:r w:rsidRPr="00AE797D">
        <w:rPr>
          <w:rFonts w:ascii="Times New Roman" w:hAnsi="Times New Roman" w:cs="Times New Roman"/>
          <w:i/>
          <w:iCs/>
          <w:sz w:val="18"/>
          <w:szCs w:val="18"/>
        </w:rPr>
        <w:t xml:space="preserve">Deloitte source chart showing different levels of business transformation with AI. Source: Deloitte, State of AI in </w:t>
      </w:r>
      <w:proofErr w:type="gramStart"/>
      <w:r w:rsidRPr="00AE797D">
        <w:rPr>
          <w:rFonts w:ascii="Times New Roman" w:hAnsi="Times New Roman" w:cs="Times New Roman"/>
          <w:i/>
          <w:iCs/>
          <w:sz w:val="18"/>
          <w:szCs w:val="18"/>
        </w:rPr>
        <w:t>the Enterprise</w:t>
      </w:r>
      <w:proofErr w:type="gramEnd"/>
      <w:r w:rsidRPr="00AE797D">
        <w:rPr>
          <w:rFonts w:ascii="Times New Roman" w:hAnsi="Times New Roman" w:cs="Times New Roman"/>
          <w:i/>
          <w:iCs/>
          <w:sz w:val="18"/>
          <w:szCs w:val="18"/>
        </w:rPr>
        <w:t>, p. 11.</w:t>
      </w:r>
    </w:p>
    <w:p w14:paraId="1B41FFEC"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CHALLENGES </w:t>
      </w:r>
    </w:p>
    <w:p w14:paraId="1A3A4EC2" w14:textId="30FAFAA3" w:rsidR="001236F4" w:rsidRPr="00AE797D" w:rsidRDefault="001236F4"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One challenge Deloitte faces is that ROI is hard to measure. A company may use AI in many different parts of the business, so it can be difficult to tell exactly what caused the improvement. Deloitte explains that AI ROI can be hard to prove because some benefits are not easy to measure, and employees may not fully adopt the tools (“AI ROI”).</w:t>
      </w:r>
      <w:r w:rsidR="00D623F6">
        <w:rPr>
          <w:rFonts w:ascii="Times New Roman" w:hAnsi="Times New Roman" w:cs="Times New Roman"/>
          <w:sz w:val="22"/>
          <w:szCs w:val="22"/>
        </w:rPr>
        <w:t xml:space="preserve"> </w:t>
      </w:r>
      <w:r w:rsidRPr="00AE797D">
        <w:rPr>
          <w:rFonts w:ascii="Times New Roman" w:hAnsi="Times New Roman" w:cs="Times New Roman"/>
          <w:sz w:val="22"/>
          <w:szCs w:val="22"/>
        </w:rPr>
        <w:t xml:space="preserve">Data quality is another challenge. Deloitte’s State of AI report shows that </w:t>
      </w:r>
      <w:r w:rsidR="00702978">
        <w:rPr>
          <w:rFonts w:ascii="Times New Roman" w:hAnsi="Times New Roman" w:cs="Times New Roman"/>
          <w:sz w:val="22"/>
          <w:szCs w:val="22"/>
        </w:rPr>
        <w:t>firms</w:t>
      </w:r>
      <w:r w:rsidRPr="00AE797D">
        <w:rPr>
          <w:rFonts w:ascii="Times New Roman" w:hAnsi="Times New Roman" w:cs="Times New Roman"/>
          <w:sz w:val="22"/>
          <w:szCs w:val="22"/>
        </w:rPr>
        <w:t xml:space="preserve"> feel less prepared in areas like data management, risk, governance, and talent than they do in overall strategy (“State of AI” 28). </w:t>
      </w:r>
    </w:p>
    <w:p w14:paraId="7B05315F" w14:textId="28EBBDD1" w:rsidR="001236F4" w:rsidRPr="00AE797D" w:rsidRDefault="001236F4"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noProof/>
        </w:rPr>
        <w:lastRenderedPageBreak/>
        <w:drawing>
          <wp:inline distT="0" distB="0" distL="0" distR="0" wp14:anchorId="76DDB3A5" wp14:editId="3241AE0A">
            <wp:extent cx="4754739" cy="2924810"/>
            <wp:effectExtent l="0" t="0" r="825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i_preparedness.png"/>
                    <pic:cNvPicPr/>
                  </pic:nvPicPr>
                  <pic:blipFill rotWithShape="1">
                    <a:blip r:embed="rId18"/>
                    <a:srcRect t="7529"/>
                    <a:stretch>
                      <a:fillRect/>
                    </a:stretch>
                  </pic:blipFill>
                  <pic:spPr bwMode="auto">
                    <a:xfrm>
                      <a:off x="0" y="0"/>
                      <a:ext cx="4754880" cy="2924897"/>
                    </a:xfrm>
                    <a:prstGeom prst="rect">
                      <a:avLst/>
                    </a:prstGeom>
                    <a:ln>
                      <a:noFill/>
                    </a:ln>
                    <a:extLst>
                      <a:ext uri="{53640926-AAD7-44D8-BBD7-CCE9431645EC}">
                        <a14:shadowObscured xmlns:a14="http://schemas.microsoft.com/office/drawing/2010/main"/>
                      </a:ext>
                    </a:extLst>
                  </pic:spPr>
                </pic:pic>
              </a:graphicData>
            </a:graphic>
          </wp:inline>
        </w:drawing>
      </w:r>
    </w:p>
    <w:p w14:paraId="05FA8294" w14:textId="660676C6" w:rsidR="00BA6745" w:rsidRPr="00AE797D" w:rsidRDefault="00BA6745" w:rsidP="00066DF0">
      <w:pPr>
        <w:spacing w:before="120" w:after="120" w:line="240" w:lineRule="auto"/>
        <w:jc w:val="center"/>
        <w:rPr>
          <w:rFonts w:ascii="Times New Roman" w:hAnsi="Times New Roman" w:cs="Times New Roman"/>
          <w:sz w:val="18"/>
          <w:szCs w:val="18"/>
        </w:rPr>
      </w:pPr>
      <w:r w:rsidRPr="00AE797D">
        <w:rPr>
          <w:rFonts w:ascii="Times New Roman" w:hAnsi="Times New Roman" w:cs="Times New Roman"/>
          <w:i/>
          <w:iCs/>
          <w:sz w:val="18"/>
          <w:szCs w:val="18"/>
        </w:rPr>
        <w:t>Deloitte source chart showing organizational preparedness for AI adoption across infrastructure, strategy, data, risk, and talent. Source: Deloitte, State of AI in the Enterprise, p. 28.</w:t>
      </w:r>
    </w:p>
    <w:p w14:paraId="59022536" w14:textId="77777777" w:rsidR="001236F4"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IMPACT</w:t>
      </w:r>
    </w:p>
    <w:p w14:paraId="290B1FBA" w14:textId="75264CFB" w:rsidR="001236F4" w:rsidRPr="00AE797D" w:rsidRDefault="001236F4"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Statistics helps Deloitte make recommendations based on evidence. The confidence interval and hypothesis test show that the productivity measurement gap is real. If a client is spending a lot of money on AI but is not tracking productivity, Deloitte could recommend waiting before expanding. The client should first create KPI dashboards, measure productivity before the rollout, and collect data after the rollout</w:t>
      </w:r>
      <w:r w:rsidR="00AE797D" w:rsidRPr="00AE797D">
        <w:rPr>
          <w:rFonts w:ascii="Times New Roman" w:hAnsi="Times New Roman" w:cs="Times New Roman"/>
          <w:sz w:val="22"/>
          <w:szCs w:val="22"/>
        </w:rPr>
        <w:t>.</w:t>
      </w:r>
    </w:p>
    <w:p w14:paraId="1A9D4483" w14:textId="77777777" w:rsidR="00BA6745" w:rsidRPr="00AE797D" w:rsidRDefault="00BA6745" w:rsidP="00066DF0">
      <w:pPr>
        <w:spacing w:before="120" w:after="120" w:line="240" w:lineRule="auto"/>
        <w:rPr>
          <w:rFonts w:ascii="Times New Roman" w:hAnsi="Times New Roman" w:cs="Times New Roman"/>
          <w:sz w:val="22"/>
          <w:szCs w:val="22"/>
        </w:rPr>
      </w:pPr>
      <w:r w:rsidRPr="00AE797D">
        <w:rPr>
          <w:rFonts w:ascii="Times New Roman" w:hAnsi="Times New Roman" w:cs="Times New Roman"/>
          <w:sz w:val="22"/>
          <w:szCs w:val="22"/>
        </w:rPr>
        <w:t xml:space="preserve">CONCLUSION </w:t>
      </w:r>
    </w:p>
    <w:p w14:paraId="6AED660C" w14:textId="24EE3203" w:rsidR="00AE797D" w:rsidRPr="00AE797D" w:rsidRDefault="00AE797D" w:rsidP="00066DF0">
      <w:pPr>
        <w:spacing w:before="120" w:after="120"/>
        <w:rPr>
          <w:rFonts w:ascii="Times New Roman" w:hAnsi="Times New Roman" w:cs="Times New Roman"/>
          <w:sz w:val="22"/>
          <w:szCs w:val="22"/>
        </w:rPr>
      </w:pPr>
      <w:r w:rsidRPr="00AE797D">
        <w:rPr>
          <w:rFonts w:ascii="Times New Roman" w:hAnsi="Times New Roman" w:cs="Times New Roman"/>
          <w:sz w:val="22"/>
          <w:szCs w:val="22"/>
        </w:rPr>
        <w:t xml:space="preserve">This project showed me how statistics can be used to solve business problems connected to; technology, and data credibility. More importantly, </w:t>
      </w:r>
      <w:proofErr w:type="gramStart"/>
      <w:r w:rsidR="00D623F6">
        <w:rPr>
          <w:rFonts w:ascii="Times New Roman" w:hAnsi="Times New Roman" w:cs="Times New Roman"/>
          <w:sz w:val="22"/>
          <w:szCs w:val="22"/>
        </w:rPr>
        <w:t>overall</w:t>
      </w:r>
      <w:proofErr w:type="gramEnd"/>
      <w:r w:rsidR="00D623F6">
        <w:rPr>
          <w:rFonts w:ascii="Times New Roman" w:hAnsi="Times New Roman" w:cs="Times New Roman"/>
          <w:sz w:val="22"/>
          <w:szCs w:val="22"/>
        </w:rPr>
        <w:t xml:space="preserve"> </w:t>
      </w:r>
      <w:r w:rsidRPr="00AE797D">
        <w:rPr>
          <w:rFonts w:ascii="Times New Roman" w:hAnsi="Times New Roman" w:cs="Times New Roman"/>
          <w:sz w:val="22"/>
          <w:szCs w:val="22"/>
        </w:rPr>
        <w:t xml:space="preserve">this class has helped prepare me for future work in business related fields by showing me how data can support stronger decision making. Concepts such as data collection, charts, numerical measures, confidence intervals, hypothesis testing, and regression analysis are tools that can help business professionals provide statistical insight and make </w:t>
      </w:r>
      <w:proofErr w:type="gramStart"/>
      <w:r w:rsidRPr="00AE797D">
        <w:rPr>
          <w:rFonts w:ascii="Times New Roman" w:hAnsi="Times New Roman" w:cs="Times New Roman"/>
          <w:sz w:val="22"/>
          <w:szCs w:val="22"/>
        </w:rPr>
        <w:t>evidence based</w:t>
      </w:r>
      <w:proofErr w:type="gramEnd"/>
      <w:r w:rsidRPr="00AE797D">
        <w:rPr>
          <w:rFonts w:ascii="Times New Roman" w:hAnsi="Times New Roman" w:cs="Times New Roman"/>
          <w:sz w:val="22"/>
          <w:szCs w:val="22"/>
        </w:rPr>
        <w:t xml:space="preserve"> recommendations.</w:t>
      </w:r>
    </w:p>
    <w:p w14:paraId="41225B26" w14:textId="77777777" w:rsidR="00BA6745" w:rsidRPr="00AE797D" w:rsidRDefault="00BA6745" w:rsidP="00066DF0">
      <w:pPr>
        <w:spacing w:before="120" w:after="120" w:line="240" w:lineRule="auto"/>
        <w:rPr>
          <w:rFonts w:ascii="Times New Roman" w:hAnsi="Times New Roman" w:cs="Times New Roman"/>
          <w:sz w:val="22"/>
          <w:szCs w:val="22"/>
        </w:rPr>
      </w:pPr>
    </w:p>
    <w:p w14:paraId="55D687F6" w14:textId="77777777" w:rsidR="00BA6745" w:rsidRPr="00AE797D" w:rsidRDefault="00BA6745" w:rsidP="00066DF0">
      <w:pPr>
        <w:spacing w:before="120" w:after="120" w:line="240" w:lineRule="auto"/>
        <w:rPr>
          <w:rFonts w:ascii="Times New Roman" w:hAnsi="Times New Roman" w:cs="Times New Roman"/>
          <w:sz w:val="22"/>
          <w:szCs w:val="22"/>
        </w:rPr>
      </w:pPr>
    </w:p>
    <w:p w14:paraId="5CEDA27C" w14:textId="77777777" w:rsidR="00BA6745" w:rsidRPr="00AE797D" w:rsidRDefault="00BA6745" w:rsidP="00066DF0">
      <w:pPr>
        <w:spacing w:before="120" w:after="120" w:line="240" w:lineRule="auto"/>
        <w:rPr>
          <w:rFonts w:ascii="Times New Roman" w:hAnsi="Times New Roman" w:cs="Times New Roman"/>
          <w:sz w:val="22"/>
          <w:szCs w:val="22"/>
        </w:rPr>
      </w:pPr>
    </w:p>
    <w:p w14:paraId="6899F5EA" w14:textId="77777777" w:rsidR="00BA6745" w:rsidRPr="00AE797D" w:rsidRDefault="00BA6745" w:rsidP="00066DF0">
      <w:pPr>
        <w:spacing w:before="120" w:after="120" w:line="240" w:lineRule="auto"/>
        <w:rPr>
          <w:rFonts w:ascii="Times New Roman" w:hAnsi="Times New Roman" w:cs="Times New Roman"/>
          <w:sz w:val="22"/>
          <w:szCs w:val="22"/>
        </w:rPr>
      </w:pPr>
    </w:p>
    <w:p w14:paraId="31696F18" w14:textId="77777777" w:rsidR="00BA6745" w:rsidRPr="00AE797D" w:rsidRDefault="00BA6745" w:rsidP="00066DF0">
      <w:pPr>
        <w:spacing w:before="120" w:after="120" w:line="240" w:lineRule="auto"/>
        <w:rPr>
          <w:rFonts w:ascii="Times New Roman" w:hAnsi="Times New Roman" w:cs="Times New Roman"/>
          <w:sz w:val="22"/>
          <w:szCs w:val="22"/>
        </w:rPr>
      </w:pPr>
    </w:p>
    <w:p w14:paraId="17BB14A1" w14:textId="77777777" w:rsidR="00BA6745" w:rsidRDefault="00BA6745" w:rsidP="00066DF0">
      <w:pPr>
        <w:spacing w:before="120" w:after="120" w:line="240" w:lineRule="auto"/>
        <w:rPr>
          <w:rFonts w:ascii="Times New Roman" w:hAnsi="Times New Roman" w:cs="Times New Roman"/>
          <w:sz w:val="22"/>
          <w:szCs w:val="22"/>
        </w:rPr>
      </w:pPr>
    </w:p>
    <w:p w14:paraId="31F10D6C" w14:textId="77777777" w:rsidR="00AE797D" w:rsidRPr="00AE797D" w:rsidRDefault="00AE797D" w:rsidP="00066DF0">
      <w:pPr>
        <w:spacing w:before="120" w:after="120" w:line="240" w:lineRule="auto"/>
        <w:rPr>
          <w:rFonts w:ascii="Times New Roman" w:hAnsi="Times New Roman" w:cs="Times New Roman"/>
          <w:sz w:val="22"/>
          <w:szCs w:val="22"/>
        </w:rPr>
      </w:pPr>
    </w:p>
    <w:p w14:paraId="1EE39E5B" w14:textId="77777777" w:rsidR="00BA6745" w:rsidRDefault="00BA6745" w:rsidP="00066DF0">
      <w:pPr>
        <w:spacing w:before="120" w:after="120" w:line="240" w:lineRule="auto"/>
        <w:rPr>
          <w:rFonts w:ascii="Times New Roman" w:hAnsi="Times New Roman" w:cs="Times New Roman"/>
          <w:sz w:val="22"/>
          <w:szCs w:val="22"/>
        </w:rPr>
      </w:pPr>
    </w:p>
    <w:p w14:paraId="327C48FA" w14:textId="77777777" w:rsidR="00702978" w:rsidRDefault="00702978" w:rsidP="00066DF0">
      <w:pPr>
        <w:spacing w:before="120" w:after="120" w:line="240" w:lineRule="auto"/>
        <w:rPr>
          <w:rFonts w:ascii="Times New Roman" w:hAnsi="Times New Roman" w:cs="Times New Roman"/>
          <w:sz w:val="22"/>
          <w:szCs w:val="22"/>
        </w:rPr>
      </w:pPr>
    </w:p>
    <w:p w14:paraId="111DDC2A" w14:textId="77777777" w:rsidR="00702978" w:rsidRPr="00AE797D" w:rsidRDefault="00702978" w:rsidP="00066DF0">
      <w:pPr>
        <w:spacing w:before="120" w:after="120" w:line="240" w:lineRule="auto"/>
        <w:rPr>
          <w:rFonts w:ascii="Times New Roman" w:hAnsi="Times New Roman" w:cs="Times New Roman"/>
          <w:sz w:val="22"/>
          <w:szCs w:val="22"/>
        </w:rPr>
      </w:pPr>
    </w:p>
    <w:p w14:paraId="5E0F8CA1" w14:textId="1D3ECC92" w:rsidR="00BA6745" w:rsidRPr="00AE797D" w:rsidRDefault="00BA6745" w:rsidP="00066DF0">
      <w:pPr>
        <w:spacing w:before="120" w:after="120" w:line="240" w:lineRule="auto"/>
        <w:jc w:val="center"/>
        <w:rPr>
          <w:rFonts w:ascii="Times New Roman" w:hAnsi="Times New Roman" w:cs="Times New Roman"/>
          <w:sz w:val="22"/>
          <w:szCs w:val="22"/>
        </w:rPr>
      </w:pPr>
      <w:r w:rsidRPr="00AE797D">
        <w:rPr>
          <w:rFonts w:ascii="Times New Roman" w:hAnsi="Times New Roman" w:cs="Times New Roman"/>
          <w:sz w:val="22"/>
          <w:szCs w:val="22"/>
        </w:rPr>
        <w:lastRenderedPageBreak/>
        <w:t>Works Cited</w:t>
      </w:r>
    </w:p>
    <w:p w14:paraId="1592F5CD" w14:textId="4D834261" w:rsidR="00BA6745"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Deloitte. “AI ROI: The Paradox of Rising Investment and Elusive Returns.” Deloitte, 22 Oct. 2025, </w:t>
      </w:r>
      <w:hyperlink r:id="rId19" w:history="1">
        <w:r w:rsidRPr="00AE797D">
          <w:rPr>
            <w:rStyle w:val="Hyperlink"/>
            <w:rFonts w:ascii="Times New Roman" w:hAnsi="Times New Roman" w:cs="Times New Roman"/>
            <w:sz w:val="22"/>
            <w:szCs w:val="22"/>
          </w:rPr>
          <w:t>www.deloitte.com/ca/en/services/consulting/perspectives/ai-investment-where-the-real-roi-lies.html. Accessed 15 July 2026</w:t>
        </w:r>
      </w:hyperlink>
      <w:r w:rsidR="00AE797D">
        <w:rPr>
          <w:rFonts w:ascii="Times New Roman" w:hAnsi="Times New Roman" w:cs="Times New Roman"/>
          <w:sz w:val="22"/>
          <w:szCs w:val="22"/>
        </w:rPr>
        <w:t xml:space="preserve">. </w:t>
      </w:r>
    </w:p>
    <w:p w14:paraId="41EC6FDF" w14:textId="3F60688B" w:rsidR="00BA6745"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Deloitte. “Deloitte Reports FY2025 Revenue.” Deloitte, 30 Sept. 2025, </w:t>
      </w:r>
      <w:hyperlink r:id="rId20" w:history="1">
        <w:r w:rsidRPr="00AE797D">
          <w:rPr>
            <w:rStyle w:val="Hyperlink"/>
            <w:rFonts w:ascii="Times New Roman" w:hAnsi="Times New Roman" w:cs="Times New Roman"/>
            <w:sz w:val="22"/>
            <w:szCs w:val="22"/>
          </w:rPr>
          <w:t>www.deloitte.com/global/en/about/press-room/global-revenue-announcement.html. Accessed 15 July 2026.</w:t>
        </w:r>
      </w:hyperlink>
      <w:r w:rsidR="00AE797D">
        <w:rPr>
          <w:rFonts w:ascii="Times New Roman" w:hAnsi="Times New Roman" w:cs="Times New Roman"/>
          <w:sz w:val="22"/>
          <w:szCs w:val="22"/>
        </w:rPr>
        <w:t xml:space="preserve"> </w:t>
      </w:r>
    </w:p>
    <w:p w14:paraId="268C92E8" w14:textId="03B48BDC" w:rsidR="00BA6745"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Deloitte. “Despite Increased Investment and Early Enthusiasm, Data and Risk Remain Key Challenges to Scaling Generative AI, Reveals New Deloitte Survey.” Deloitte, 20 Aug. 2024, </w:t>
      </w:r>
      <w:hyperlink r:id="rId21" w:history="1">
        <w:r w:rsidRPr="00AE797D">
          <w:rPr>
            <w:rStyle w:val="Hyperlink"/>
            <w:rFonts w:ascii="Times New Roman" w:hAnsi="Times New Roman" w:cs="Times New Roman"/>
            <w:sz w:val="22"/>
            <w:szCs w:val="22"/>
          </w:rPr>
          <w:t>www.deloitte.com/us/en/about/press-room/state-of-generative-ai-Q3.html. Accessed 15 July 2026.</w:t>
        </w:r>
      </w:hyperlink>
      <w:r w:rsidRPr="00AE797D">
        <w:rPr>
          <w:rFonts w:ascii="Times New Roman" w:hAnsi="Times New Roman" w:cs="Times New Roman"/>
          <w:sz w:val="22"/>
          <w:szCs w:val="22"/>
        </w:rPr>
        <w:t xml:space="preserve"> </w:t>
      </w:r>
    </w:p>
    <w:p w14:paraId="79ECA066" w14:textId="0EC57B29" w:rsidR="00BA6745"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Deloitte. “Finding Irregularities Fast with the Anomaly Detector.” Deloitte, </w:t>
      </w:r>
      <w:hyperlink r:id="rId22" w:history="1">
        <w:r w:rsidRPr="00AE797D">
          <w:rPr>
            <w:rStyle w:val="Hyperlink"/>
            <w:rFonts w:ascii="Times New Roman" w:hAnsi="Times New Roman" w:cs="Times New Roman"/>
            <w:sz w:val="22"/>
            <w:szCs w:val="22"/>
          </w:rPr>
          <w:t>www.deloitte.com/de/de/products/aistudio/anomaly-detector-consistency.html. Accessed 15 July 2026.</w:t>
        </w:r>
      </w:hyperlink>
      <w:r w:rsidRPr="00AE797D">
        <w:rPr>
          <w:rFonts w:ascii="Times New Roman" w:hAnsi="Times New Roman" w:cs="Times New Roman"/>
          <w:sz w:val="22"/>
          <w:szCs w:val="22"/>
        </w:rPr>
        <w:t xml:space="preserve"> </w:t>
      </w:r>
    </w:p>
    <w:p w14:paraId="05D26C42" w14:textId="4B2EE9D2" w:rsidR="00BA6745"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Deloitte. “Our Heritage.” </w:t>
      </w:r>
      <w:hyperlink r:id="rId23" w:history="1">
        <w:r w:rsidRPr="00AE797D">
          <w:rPr>
            <w:rStyle w:val="Hyperlink"/>
            <w:rFonts w:ascii="Times New Roman" w:hAnsi="Times New Roman" w:cs="Times New Roman"/>
            <w:sz w:val="22"/>
            <w:szCs w:val="22"/>
          </w:rPr>
          <w:t>Deloitte, www.deloitte.com/global/en/about/story/purpose-values/our-history.html. Accessed 15 July 2026.</w:t>
        </w:r>
      </w:hyperlink>
      <w:r w:rsidRPr="00AE797D">
        <w:rPr>
          <w:rFonts w:ascii="Times New Roman" w:hAnsi="Times New Roman" w:cs="Times New Roman"/>
          <w:sz w:val="22"/>
          <w:szCs w:val="22"/>
        </w:rPr>
        <w:t xml:space="preserve"> </w:t>
      </w:r>
    </w:p>
    <w:p w14:paraId="748FD58C" w14:textId="70E9750E" w:rsidR="00BA6745"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Deloitte. “Problem Solving with Workforce Data.” Deloitte Insights, 9 Oct. 2023, </w:t>
      </w:r>
      <w:hyperlink r:id="rId24" w:history="1">
        <w:r w:rsidRPr="00AE797D">
          <w:rPr>
            <w:rStyle w:val="Hyperlink"/>
            <w:rFonts w:ascii="Times New Roman" w:hAnsi="Times New Roman" w:cs="Times New Roman"/>
            <w:sz w:val="22"/>
            <w:szCs w:val="22"/>
          </w:rPr>
          <w:t>www.deloitte.com/us/en/insights/topics/talent/using-workforce-data-for-organizational-problem-solving.html. Accessed 15 July 2026.</w:t>
        </w:r>
      </w:hyperlink>
      <w:r w:rsidRPr="00AE797D">
        <w:rPr>
          <w:rFonts w:ascii="Times New Roman" w:hAnsi="Times New Roman" w:cs="Times New Roman"/>
          <w:sz w:val="22"/>
          <w:szCs w:val="22"/>
        </w:rPr>
        <w:t xml:space="preserve"> </w:t>
      </w:r>
    </w:p>
    <w:p w14:paraId="4D005731" w14:textId="1139EE73" w:rsidR="00BA6745"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Deloitte. “State of AI in the Enterprise: The Untapped Edge.” Deloitte, Jan. 2026, </w:t>
      </w:r>
      <w:hyperlink r:id="rId25" w:history="1">
        <w:r w:rsidRPr="00AE797D">
          <w:rPr>
            <w:rStyle w:val="Hyperlink"/>
            <w:rFonts w:ascii="Times New Roman" w:hAnsi="Times New Roman" w:cs="Times New Roman"/>
            <w:sz w:val="22"/>
            <w:szCs w:val="22"/>
          </w:rPr>
          <w:t>www.deloitte.com/content/dam/assets-zone3/us/en/docs/services/consulting/2026/state-of-ai-2026.pdf. Accessed 15 July 2026.</w:t>
        </w:r>
      </w:hyperlink>
      <w:r w:rsidRPr="00AE797D">
        <w:rPr>
          <w:rFonts w:ascii="Times New Roman" w:hAnsi="Times New Roman" w:cs="Times New Roman"/>
          <w:sz w:val="22"/>
          <w:szCs w:val="22"/>
        </w:rPr>
        <w:t xml:space="preserve"> </w:t>
      </w:r>
    </w:p>
    <w:p w14:paraId="211DCC0B" w14:textId="5463277A" w:rsidR="00BA6745"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McKinsey &amp; Company. “The State of AI: </w:t>
      </w:r>
      <w:hyperlink r:id="rId26" w:history="1">
        <w:r w:rsidRPr="00AE797D">
          <w:rPr>
            <w:rStyle w:val="Hyperlink"/>
            <w:rFonts w:ascii="Times New Roman" w:hAnsi="Times New Roman" w:cs="Times New Roman"/>
            <w:sz w:val="22"/>
            <w:szCs w:val="22"/>
          </w:rPr>
          <w:t>How Organizations Are Rewiring to Capture Value.” McKinsey &amp; Company, 12 Mar. 2025, www.mckinsey.com/capabilities/quantumblack/our-insights/the-state-of-ai-how-organizations-are-rewiring-to-capture-value. Accessed 15 July 2026.</w:t>
        </w:r>
      </w:hyperlink>
      <w:r w:rsidRPr="00AE797D">
        <w:rPr>
          <w:rFonts w:ascii="Times New Roman" w:hAnsi="Times New Roman" w:cs="Times New Roman"/>
          <w:sz w:val="22"/>
          <w:szCs w:val="22"/>
        </w:rPr>
        <w:t xml:space="preserve"> </w:t>
      </w:r>
    </w:p>
    <w:p w14:paraId="122EB97F" w14:textId="3D1651F6" w:rsidR="00993541" w:rsidRPr="00AE797D" w:rsidRDefault="00BA6745" w:rsidP="00066DF0">
      <w:pPr>
        <w:spacing w:before="120" w:after="120" w:line="240" w:lineRule="auto"/>
        <w:ind w:left="720" w:hanging="720"/>
        <w:rPr>
          <w:rFonts w:ascii="Times New Roman" w:hAnsi="Times New Roman" w:cs="Times New Roman"/>
          <w:sz w:val="22"/>
          <w:szCs w:val="22"/>
        </w:rPr>
      </w:pPr>
      <w:r w:rsidRPr="00AE797D">
        <w:rPr>
          <w:rFonts w:ascii="Times New Roman" w:hAnsi="Times New Roman" w:cs="Times New Roman"/>
          <w:sz w:val="22"/>
          <w:szCs w:val="22"/>
        </w:rPr>
        <w:t xml:space="preserve">Stanford Institute for Human-Centered Artificial Intelligence. </w:t>
      </w:r>
      <w:hyperlink r:id="rId27" w:history="1">
        <w:r w:rsidRPr="00AE797D">
          <w:rPr>
            <w:rStyle w:val="Hyperlink"/>
            <w:rFonts w:ascii="Times New Roman" w:hAnsi="Times New Roman" w:cs="Times New Roman"/>
            <w:sz w:val="22"/>
            <w:szCs w:val="22"/>
          </w:rPr>
          <w:t>“The 2025 AI Index Report.” Stanford HAI, 2025, hai.stanford.edu/ai-index/2025-ai-index-report. Accessed 15 July 2026.</w:t>
        </w:r>
      </w:hyperlink>
    </w:p>
    <w:sectPr w:rsidR="00993541" w:rsidRPr="00AE797D">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AA43" w14:textId="77777777" w:rsidR="00917379" w:rsidRDefault="00917379" w:rsidP="001236F4">
      <w:pPr>
        <w:spacing w:after="0" w:line="240" w:lineRule="auto"/>
      </w:pPr>
      <w:r>
        <w:separator/>
      </w:r>
    </w:p>
  </w:endnote>
  <w:endnote w:type="continuationSeparator" w:id="0">
    <w:p w14:paraId="3371D901" w14:textId="77777777" w:rsidR="00917379" w:rsidRDefault="00917379" w:rsidP="00123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5F6AE" w14:textId="77777777" w:rsidR="00917379" w:rsidRDefault="00917379" w:rsidP="001236F4">
      <w:pPr>
        <w:spacing w:after="0" w:line="240" w:lineRule="auto"/>
      </w:pPr>
      <w:r>
        <w:separator/>
      </w:r>
    </w:p>
  </w:footnote>
  <w:footnote w:type="continuationSeparator" w:id="0">
    <w:p w14:paraId="60D77990" w14:textId="77777777" w:rsidR="00917379" w:rsidRDefault="00917379" w:rsidP="00123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ABE2" w14:textId="001F15B0" w:rsidR="001236F4" w:rsidRPr="001236F4" w:rsidRDefault="001236F4">
    <w:pPr>
      <w:pStyle w:val="Header"/>
      <w:jc w:val="right"/>
      <w:rPr>
        <w:rFonts w:ascii="Times New Roman" w:hAnsi="Times New Roman" w:cs="Times New Roman"/>
        <w:sz w:val="22"/>
        <w:szCs w:val="22"/>
      </w:rPr>
    </w:pPr>
    <w:r>
      <w:rPr>
        <w:rFonts w:ascii="Times New Roman" w:hAnsi="Times New Roman" w:cs="Times New Roman"/>
        <w:sz w:val="22"/>
        <w:szCs w:val="22"/>
      </w:rPr>
      <w:t xml:space="preserve">Steenblik </w:t>
    </w:r>
    <w:sdt>
      <w:sdtPr>
        <w:rPr>
          <w:rFonts w:ascii="Times New Roman" w:hAnsi="Times New Roman" w:cs="Times New Roman"/>
          <w:sz w:val="22"/>
          <w:szCs w:val="22"/>
        </w:rPr>
        <w:id w:val="514733444"/>
        <w:docPartObj>
          <w:docPartGallery w:val="Page Numbers (Top of Page)"/>
          <w:docPartUnique/>
        </w:docPartObj>
      </w:sdtPr>
      <w:sdtEndPr>
        <w:rPr>
          <w:noProof/>
        </w:rPr>
      </w:sdtEndPr>
      <w:sdtContent>
        <w:r w:rsidRPr="001236F4">
          <w:rPr>
            <w:rFonts w:ascii="Times New Roman" w:hAnsi="Times New Roman" w:cs="Times New Roman"/>
            <w:sz w:val="22"/>
            <w:szCs w:val="22"/>
          </w:rPr>
          <w:fldChar w:fldCharType="begin"/>
        </w:r>
        <w:r w:rsidRPr="001236F4">
          <w:rPr>
            <w:rFonts w:ascii="Times New Roman" w:hAnsi="Times New Roman" w:cs="Times New Roman"/>
            <w:sz w:val="22"/>
            <w:szCs w:val="22"/>
          </w:rPr>
          <w:instrText xml:space="preserve"> PAGE   \* MERGEFORMAT </w:instrText>
        </w:r>
        <w:r w:rsidRPr="001236F4">
          <w:rPr>
            <w:rFonts w:ascii="Times New Roman" w:hAnsi="Times New Roman" w:cs="Times New Roman"/>
            <w:sz w:val="22"/>
            <w:szCs w:val="22"/>
          </w:rPr>
          <w:fldChar w:fldCharType="separate"/>
        </w:r>
        <w:r w:rsidRPr="001236F4">
          <w:rPr>
            <w:rFonts w:ascii="Times New Roman" w:hAnsi="Times New Roman" w:cs="Times New Roman"/>
            <w:noProof/>
            <w:sz w:val="22"/>
            <w:szCs w:val="22"/>
          </w:rPr>
          <w:t>2</w:t>
        </w:r>
        <w:r w:rsidRPr="001236F4">
          <w:rPr>
            <w:rFonts w:ascii="Times New Roman" w:hAnsi="Times New Roman" w:cs="Times New Roman"/>
            <w:noProof/>
            <w:sz w:val="22"/>
            <w:szCs w:val="22"/>
          </w:rPr>
          <w:fldChar w:fldCharType="end"/>
        </w:r>
      </w:sdtContent>
    </w:sdt>
  </w:p>
  <w:p w14:paraId="200F2E81" w14:textId="77777777" w:rsidR="001236F4" w:rsidRDefault="001236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45"/>
    <w:rsid w:val="00000662"/>
    <w:rsid w:val="00066DF0"/>
    <w:rsid w:val="001236F4"/>
    <w:rsid w:val="003C2FC8"/>
    <w:rsid w:val="00702978"/>
    <w:rsid w:val="00917379"/>
    <w:rsid w:val="00993541"/>
    <w:rsid w:val="00AE797D"/>
    <w:rsid w:val="00BA6745"/>
    <w:rsid w:val="00BB6DE9"/>
    <w:rsid w:val="00C464EE"/>
    <w:rsid w:val="00CC2C1D"/>
    <w:rsid w:val="00D623F6"/>
    <w:rsid w:val="00E5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52B0"/>
  <w15:chartTrackingRefBased/>
  <w15:docId w15:val="{3882BF82-92BF-4580-8408-0D4569A43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745"/>
    <w:rPr>
      <w:rFonts w:eastAsiaTheme="majorEastAsia" w:cstheme="majorBidi"/>
      <w:color w:val="272727" w:themeColor="text1" w:themeTint="D8"/>
    </w:rPr>
  </w:style>
  <w:style w:type="paragraph" w:styleId="Title">
    <w:name w:val="Title"/>
    <w:basedOn w:val="Normal"/>
    <w:next w:val="Normal"/>
    <w:link w:val="TitleChar"/>
    <w:uiPriority w:val="10"/>
    <w:qFormat/>
    <w:rsid w:val="00BA6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745"/>
    <w:pPr>
      <w:spacing w:before="160"/>
      <w:jc w:val="center"/>
    </w:pPr>
    <w:rPr>
      <w:i/>
      <w:iCs/>
      <w:color w:val="404040" w:themeColor="text1" w:themeTint="BF"/>
    </w:rPr>
  </w:style>
  <w:style w:type="character" w:customStyle="1" w:styleId="QuoteChar">
    <w:name w:val="Quote Char"/>
    <w:basedOn w:val="DefaultParagraphFont"/>
    <w:link w:val="Quote"/>
    <w:uiPriority w:val="29"/>
    <w:rsid w:val="00BA6745"/>
    <w:rPr>
      <w:i/>
      <w:iCs/>
      <w:color w:val="404040" w:themeColor="text1" w:themeTint="BF"/>
    </w:rPr>
  </w:style>
  <w:style w:type="paragraph" w:styleId="ListParagraph">
    <w:name w:val="List Paragraph"/>
    <w:basedOn w:val="Normal"/>
    <w:uiPriority w:val="34"/>
    <w:qFormat/>
    <w:rsid w:val="00BA6745"/>
    <w:pPr>
      <w:ind w:left="720"/>
      <w:contextualSpacing/>
    </w:pPr>
  </w:style>
  <w:style w:type="character" w:styleId="IntenseEmphasis">
    <w:name w:val="Intense Emphasis"/>
    <w:basedOn w:val="DefaultParagraphFont"/>
    <w:uiPriority w:val="21"/>
    <w:qFormat/>
    <w:rsid w:val="00BA6745"/>
    <w:rPr>
      <w:i/>
      <w:iCs/>
      <w:color w:val="0F4761" w:themeColor="accent1" w:themeShade="BF"/>
    </w:rPr>
  </w:style>
  <w:style w:type="paragraph" w:styleId="IntenseQuote">
    <w:name w:val="Intense Quote"/>
    <w:basedOn w:val="Normal"/>
    <w:next w:val="Normal"/>
    <w:link w:val="IntenseQuoteChar"/>
    <w:uiPriority w:val="30"/>
    <w:qFormat/>
    <w:rsid w:val="00BA6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745"/>
    <w:rPr>
      <w:i/>
      <w:iCs/>
      <w:color w:val="0F4761" w:themeColor="accent1" w:themeShade="BF"/>
    </w:rPr>
  </w:style>
  <w:style w:type="character" w:styleId="IntenseReference">
    <w:name w:val="Intense Reference"/>
    <w:basedOn w:val="DefaultParagraphFont"/>
    <w:uiPriority w:val="32"/>
    <w:qFormat/>
    <w:rsid w:val="00BA6745"/>
    <w:rPr>
      <w:b/>
      <w:bCs/>
      <w:smallCaps/>
      <w:color w:val="0F4761" w:themeColor="accent1" w:themeShade="BF"/>
      <w:spacing w:val="5"/>
    </w:rPr>
  </w:style>
  <w:style w:type="paragraph" w:customStyle="1" w:styleId="SectionHeading">
    <w:name w:val="Section Heading"/>
    <w:rsid w:val="00BA6745"/>
    <w:pPr>
      <w:spacing w:before="200" w:line="276" w:lineRule="auto"/>
    </w:pPr>
    <w:rPr>
      <w:rFonts w:ascii="Times New Roman" w:eastAsiaTheme="minorEastAsia" w:hAnsi="Times New Roman"/>
      <w:kern w:val="0"/>
      <w:sz w:val="22"/>
      <w:szCs w:val="22"/>
      <w14:ligatures w14:val="none"/>
    </w:rPr>
  </w:style>
  <w:style w:type="paragraph" w:styleId="Header">
    <w:name w:val="header"/>
    <w:basedOn w:val="Normal"/>
    <w:link w:val="HeaderChar"/>
    <w:uiPriority w:val="99"/>
    <w:unhideWhenUsed/>
    <w:rsid w:val="001236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6F4"/>
  </w:style>
  <w:style w:type="paragraph" w:styleId="Footer">
    <w:name w:val="footer"/>
    <w:basedOn w:val="Normal"/>
    <w:link w:val="FooterChar"/>
    <w:uiPriority w:val="99"/>
    <w:unhideWhenUsed/>
    <w:rsid w:val="001236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6F4"/>
  </w:style>
  <w:style w:type="character" w:styleId="Hyperlink">
    <w:name w:val="Hyperlink"/>
    <w:basedOn w:val="DefaultParagraphFont"/>
    <w:uiPriority w:val="99"/>
    <w:unhideWhenUsed/>
    <w:rsid w:val="00AE797D"/>
    <w:rPr>
      <w:color w:val="467886" w:themeColor="hyperlink"/>
      <w:u w:val="single"/>
    </w:rPr>
  </w:style>
  <w:style w:type="character" w:styleId="UnresolvedMention">
    <w:name w:val="Unresolved Mention"/>
    <w:basedOn w:val="DefaultParagraphFont"/>
    <w:uiPriority w:val="99"/>
    <w:semiHidden/>
    <w:unhideWhenUsed/>
    <w:rsid w:val="00AE79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mckinsey.com/capabilities/quantumblack/our-insights/the-state-of-ai-how-organizations-are-rewiring-to-capture-value" TargetMode="External"/><Relationship Id="rId3" Type="http://schemas.openxmlformats.org/officeDocument/2006/relationships/customXml" Target="../customXml/item3.xml"/><Relationship Id="rId21" Type="http://schemas.openxmlformats.org/officeDocument/2006/relationships/hyperlink" Target="https://www.deloitte.com/us/en/about/press-room/state-of-generative-ai-Q3.htm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deloitte.com/content/dam/assets-zone3/us/en/docs/services/consulting/2026/state-of-ai-2026.pdf.%20Accessed%2015%20July%202026..html"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deloitte.com/global/en/about/press-room/global-revenue-announcement.html.%20Accessed%2015%20July%202026..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deloitte.com/us/en/insights/topics/talent/using-workforce-data-for-organizational-problem-solving.html.%20Accessed%2015%20July%202026..htm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deloitte.com/global/en/about/story/purpose-values/our-history.html"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www.deloitte.com/ca/en/services/consulting/perspectives/ai-investment-where-the-real-roi-lies.html.%20Accessed%2015%20July%202026"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deloitte.com/de/de/products/aistudio/anomaly-detector-consistency.html.%20Accessed%2015%20July%202026..html" TargetMode="External"/><Relationship Id="rId27" Type="http://schemas.openxmlformats.org/officeDocument/2006/relationships/hyperlink" Target="https://hai.stanford.edu/ai-index/2025-ai-index-repor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A2B7D14F807140BFABF72CC043D4C5" ma:contentTypeVersion="13" ma:contentTypeDescription="Create a new document." ma:contentTypeScope="" ma:versionID="9975932dd56e535d32f588af8f7a5e36">
  <xsd:schema xmlns:xsd="http://www.w3.org/2001/XMLSchema" xmlns:xs="http://www.w3.org/2001/XMLSchema" xmlns:p="http://schemas.microsoft.com/office/2006/metadata/properties" xmlns:ns1="http://schemas.microsoft.com/sharepoint/v3" xmlns:ns3="ecb3a868-730e-4283-a4ce-ff382abfc166" targetNamespace="http://schemas.microsoft.com/office/2006/metadata/properties" ma:root="true" ma:fieldsID="4e7733e9421841dfb2a4979321e95aa6" ns1:_="" ns3:_="">
    <xsd:import namespace="http://schemas.microsoft.com/sharepoint/v3"/>
    <xsd:import namespace="ecb3a868-730e-4283-a4ce-ff382abfc16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3a868-730e-4283-a4ce-ff382abfc16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ecb3a868-730e-4283-a4ce-ff382abfc166"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9AD9165-CDC0-4612-9BC2-9CEC591F6927}">
  <ds:schemaRefs>
    <ds:schemaRef ds:uri="http://schemas.microsoft.com/sharepoint/v3/contenttype/forms"/>
  </ds:schemaRefs>
</ds:datastoreItem>
</file>

<file path=customXml/itemProps2.xml><?xml version="1.0" encoding="utf-8"?>
<ds:datastoreItem xmlns:ds="http://schemas.openxmlformats.org/officeDocument/2006/customXml" ds:itemID="{A2DAB197-B7EF-4AFB-A975-117530738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b3a868-730e-4283-a4ce-ff382abfc1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A8A59E-6366-4D17-8C2A-5142689A5535}">
  <ds:schemaRefs>
    <ds:schemaRef ds:uri="http://schemas.microsoft.com/office/2006/metadata/properties"/>
    <ds:schemaRef ds:uri="http://schemas.microsoft.com/office/infopath/2007/PartnerControls"/>
    <ds:schemaRef ds:uri="http://schemas.microsoft.com/sharepoint/v3"/>
    <ds:schemaRef ds:uri="ecb3a868-730e-4283-a4ce-ff382abfc166"/>
  </ds:schemaRefs>
</ds:datastoreItem>
</file>

<file path=docMetadata/LabelInfo.xml><?xml version="1.0" encoding="utf-8"?>
<clbl:labelList xmlns:clbl="http://schemas.microsoft.com/office/2020/mipLabelMetadata">
  <clbl:label id="{170051ed-867f-4092-a6af-8a42e27b7e09}" enabled="1" method="Standard" siteId="{5217e0e7-539d-4563-b1bf-7c6dcf074f91}" removed="0"/>
</clbl:labelList>
</file>

<file path=docProps/app.xml><?xml version="1.0" encoding="utf-8"?>
<Properties xmlns="http://schemas.openxmlformats.org/officeDocument/2006/extended-properties" xmlns:vt="http://schemas.openxmlformats.org/officeDocument/2006/docPropsVTypes">
  <Template>Normal</Template>
  <TotalTime>20</TotalTime>
  <Pages>1</Pages>
  <Words>1879</Words>
  <Characters>10713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Martel Steenblik</dc:creator>
  <cp:keywords/>
  <dc:description/>
  <cp:lastModifiedBy>Martel Steenblik</cp:lastModifiedBy>
  <cp:revision>5</cp:revision>
  <cp:lastPrinted>2026-07-28T03:17:00Z</cp:lastPrinted>
  <dcterms:created xsi:type="dcterms:W3CDTF">2026-07-28T02:45:00Z</dcterms:created>
  <dcterms:modified xsi:type="dcterms:W3CDTF">2026-07-28T03:17:00Z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0x0101006FA2B7D14F807140BFABF72CC043D4C5</vt:lpwstr>
  </property>
</Properties>
</file>