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table</w:t>
      </w:r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494C0DEC" w:rsidR="000313F4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FONTS :</w:t>
      </w:r>
    </w:p>
    <w:p w14:paraId="05BEF7C5" w14:textId="353DD584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Libertine : principal</w:t>
      </w:r>
    </w:p>
    <w:p w14:paraId="2034F622" w14:textId="1BEE9ECE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Courier : typewriter 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3EBBBE5B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000000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5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1EA676FD" w14:textId="30326AE1" w:rsidR="00ED7A03" w:rsidRPr="00B22B9F" w:rsidRDefault="00ED7A03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Old :</w:t>
      </w:r>
      <w:r w:rsidR="008A6DBA" w:rsidRPr="00B22B9F">
        <w:rPr>
          <w:sz w:val="24"/>
          <w:szCs w:val="24"/>
          <w:lang w:val="en-GB"/>
        </w:rPr>
        <w:t xml:space="preserve"> amsmath </w:t>
      </w:r>
    </w:p>
    <w:p w14:paraId="193B0D96" w14:textId="367C1DC3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\eq{} : align</w:t>
      </w:r>
    </w:p>
    <w:p w14:paraId="02CD70C5" w14:textId="255C8854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lang w:val="en-GB"/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New / rien :</w:t>
      </w:r>
      <w:r w:rsidRPr="00B22B9F">
        <w:rPr>
          <w:sz w:val="24"/>
          <w:szCs w:val="24"/>
          <w:lang w:val="en-GB"/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7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782F3EB8" w14:textId="77777777" w:rsidR="00BB6361" w:rsidRPr="00B22B9F" w:rsidRDefault="00BB6361" w:rsidP="00B22B9F">
      <w:pPr>
        <w:pStyle w:val="Paragraphedeliste"/>
        <w:ind w:left="1002" w:hanging="294"/>
        <w:rPr>
          <w:sz w:val="24"/>
          <w:szCs w:val="24"/>
          <w:lang w:val="en-GB"/>
        </w:rPr>
      </w:pPr>
    </w:p>
    <w:p w14:paraId="7AF5AD95" w14:textId="3902CECF" w:rsidR="00ED7A03" w:rsidRPr="00B22B9F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50C11595" w14:textId="486016E4" w:rsidR="00B22B9F" w:rsidRPr="00EA42FD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77777777" w:rsidR="00BB6361" w:rsidRPr="0057584F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57584F">
        <w:rPr>
          <w:sz w:val="24"/>
          <w:szCs w:val="24"/>
          <w:lang w:val="fr-FR"/>
        </w:rPr>
        <w:t xml:space="preserve">hyperref : pdftex : </w:t>
      </w:r>
    </w:p>
    <w:p w14:paraId="4CD72C1A" w14:textId="7F24F1CD" w:rsidR="00B22B9F" w:rsidRDefault="00BB6361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-&gt;ref a du texte fonctionne par paire : </w:t>
      </w:r>
      <w:r w:rsidR="00B22B9F"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\refA{label du link}{contenu clickable}</w:t>
      </w:r>
      <w:r w:rsidR="00C279CE">
        <w:rPr>
          <w:sz w:val="24"/>
          <w:szCs w:val="24"/>
          <w:lang w:val="fr-FR"/>
        </w:rPr>
        <w:t xml:space="preserve"> B-&gt;A</w:t>
      </w:r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8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9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\hline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7"/>
  </w:num>
  <w:num w:numId="2" w16cid:durableId="779106079">
    <w:abstractNumId w:val="6"/>
  </w:num>
  <w:num w:numId="3" w16cid:durableId="1311014332">
    <w:abstractNumId w:val="1"/>
  </w:num>
  <w:num w:numId="4" w16cid:durableId="239143935">
    <w:abstractNumId w:val="4"/>
  </w:num>
  <w:num w:numId="5" w16cid:durableId="742945199">
    <w:abstractNumId w:val="3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205CE7"/>
    <w:rsid w:val="002171D8"/>
    <w:rsid w:val="00295EC8"/>
    <w:rsid w:val="003C1AA3"/>
    <w:rsid w:val="003C7749"/>
    <w:rsid w:val="00414F85"/>
    <w:rsid w:val="00444C2A"/>
    <w:rsid w:val="004D6DB8"/>
    <w:rsid w:val="004E460E"/>
    <w:rsid w:val="0057584F"/>
    <w:rsid w:val="0083330A"/>
    <w:rsid w:val="00882DB1"/>
    <w:rsid w:val="008A6DBA"/>
    <w:rsid w:val="009322B5"/>
    <w:rsid w:val="009352EE"/>
    <w:rsid w:val="009977ED"/>
    <w:rsid w:val="009E0AC9"/>
    <w:rsid w:val="00B22B9F"/>
    <w:rsid w:val="00B56DEB"/>
    <w:rsid w:val="00B729AD"/>
    <w:rsid w:val="00B917A1"/>
    <w:rsid w:val="00BB6361"/>
    <w:rsid w:val="00C10DF5"/>
    <w:rsid w:val="00C279CE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ibcp.fr/pub/CTAN/macros/latex/contrib/csquotes/csquot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tan.crest.fr/tex-archive/macros/latex/contrib/mathtools/mathtool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tan.tetaneutral.net/macros/latex/contrib/enumitem/enumitem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rors.chevalier.io/CTAN/macros/latex/contrib/epigraph/epigraph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3454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23</cp:revision>
  <dcterms:created xsi:type="dcterms:W3CDTF">2021-03-04T17:41:00Z</dcterms:created>
  <dcterms:modified xsi:type="dcterms:W3CDTF">2022-11-30T08:42:00Z</dcterms:modified>
</cp:coreProperties>
</file>