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Operasyonel Kesinti Senaryosu: Şarj Altyapısının Hizmet Dışı Bırakılması (Dağıtık DoS Yaklaşımı)</w:t>
      </w:r>
    </w:p>
    <w:p/>
    <w:p>
      <w:r>
        <w:t>Bu doküman, Anormal Protokol Davranışları çerçevesinde tanımlanan ilkelerden (özellikle Bölüm 2.1) yararlanılarak, elektrikli araç şarj altyapılarına yönelik Hizmet Engelleme (Denial of Service – DoS) temelli bir saldırı senaryosunu açıklamak amacıyla hazırlanmıştır.</w:t>
      </w:r>
    </w:p>
    <w:p/>
    <w:p>
      <w:r>
        <w:t>1. Senaryonun Genel Tanımı</w:t>
      </w:r>
    </w:p>
    <w:p/>
    <w:p>
      <w:r>
        <w:t>“Operasyonel Kesinti” senaryosu, saldırganın bir Şarj Noktası Operatörü’ne (CPO) bağlı sınırlı sayıdaki şarj istasyonunu (EVSE) doğrudan hedef alarak, sistem genelinde hizmet sürekliliğini bozmayı amaçladığı bir DoS saldırısını ifade eder.</w:t>
      </w:r>
    </w:p>
    <w:p/>
    <w:p>
      <w:r>
        <w:t>Bu saldırı türünde, OCPP protokolü üzerinden iletilen meşru komutlar (örneğin RemoteStopTransaction) kötüye kullanılır ya da CMS/CSMS gibi davranan sahte bileşenler aracılığıyla ağ trafiği manipüle edilir. Sonuç olarak aktif şarj işlemleri kesintiye uğrar, operasyonel süreçlerde kaos oluşur ve hem finansal hem de kurumsal itibar açısından ciddi zararlar ortaya çıkar.</w:t>
      </w:r>
    </w:p>
    <w:p/>
    <w:p>
      <w:r>
        <w:t>2. Senaryonun Amaçları</w:t>
      </w:r>
    </w:p>
    <w:p/>
    <w:p>
      <w:r>
        <w:t>Birincil Amaç:</w:t>
      </w:r>
    </w:p>
    <w:p>
      <w:r>
        <w:t>CPO’ya ait tüm şarj ağının veya belirli bir bölgedeki istasyonların devre dışı bırakılması; bu sayede meşru kullanıcıların hizmete erişiminin engellenmesi ve operasyonel aksaklık yaratılması.</w:t>
      </w:r>
    </w:p>
    <w:p/>
    <w:p>
      <w:r>
        <w:t>İkincil Amaç:</w:t>
      </w:r>
    </w:p>
    <w:p>
      <w:r>
        <w:t>Şarj süreçlerini aniden durdurarak kullanıcı deneyimini olumsuz etkilemek, CPO’nun gelir kaybına uğramasına neden olmak ve marka güvenilirliğini zedelemek.</w:t>
      </w:r>
    </w:p>
    <w:p/>
    <w:p>
      <w:r>
        <w:t>3. Hedeflenen Varlıklar ve Kritik Zayıflıklar</w:t>
      </w:r>
    </w:p>
    <w:p/>
    <w:p>
      <w:r>
        <w:t>Hedef Varlıklar:</w:t>
      </w:r>
    </w:p>
    <w:p>
      <w:r>
        <w:t>- EVSE altyapısı</w:t>
      </w:r>
    </w:p>
    <w:p>
      <w:r>
        <w:t>- Merkezi Yönetim Sistemi (CSMS/CMS)</w:t>
      </w:r>
    </w:p>
    <w:p>
      <w:r>
        <w:t>- OCPP iletişim kanalları</w:t>
      </w:r>
    </w:p>
    <w:p/>
    <w:p>
      <w:r>
        <w:t>Zafiyet 1 – Ağ Katmanı:</w:t>
      </w:r>
    </w:p>
    <w:p>
      <w:r>
        <w:t>OCPP Güvenlik Profili 1 veya 2’nin kullanılması, zayıf kimlik doğrulama mekanizmaları ya da karşılıklı TLS (mTLS) uygulanmaması.</w:t>
      </w:r>
    </w:p>
    <w:p/>
    <w:p>
      <w:r>
        <w:t>Zafiyet 2 – İletişim Katmanı:</w:t>
      </w:r>
    </w:p>
    <w:p>
      <w:r>
        <w:t>Güvensiz veya şifrelenmemiş iletişim hatları üzerinden Ortadaki Adam (MitM) saldırılarının mümkün olması.</w:t>
      </w:r>
    </w:p>
    <w:p/>
    <w:p>
      <w:r>
        <w:t>Zafiyet 3 – Uygulama Katmanı:</w:t>
      </w:r>
    </w:p>
    <w:p>
      <w:r>
        <w:t>CSMS tarafında hız sınırlaması (rate limiting) veya anomali tespit mekanizmalarının bulunmaması.</w:t>
      </w:r>
    </w:p>
    <w:p/>
    <w:p>
      <w:r>
        <w:t>4. Saldırı Yöntemleri ve Uygulama Süreci</w:t>
      </w:r>
    </w:p>
    <w:p/>
    <w:p>
      <w:r>
        <w:t>Vektör A: Aktif Kullanıcılara Yönelik Toplu Oturum Sonlandırma</w:t>
      </w:r>
    </w:p>
    <w:p/>
    <w:p>
      <w:r>
        <w:t>Saldırgan, hedef şarj istasyonlarının ağ trafiğini izleyebileceği bir konuma gelerek veya sahte bir CSMS gibi davranarak sistem üzerinde yetkisiz komutlar gönderebilir.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