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EE1A" w14:textId="77777777" w:rsidR="00DD2C6C" w:rsidRPr="00DD2C6C" w:rsidRDefault="00DD2C6C" w:rsidP="00DD2C6C">
      <w:pPr>
        <w:rPr>
          <w:b/>
          <w:bCs/>
        </w:rPr>
      </w:pPr>
      <w:r w:rsidRPr="00DD2C6C">
        <w:rPr>
          <w:b/>
          <w:bCs/>
        </w:rPr>
        <w:t>Podsumowanie</w:t>
      </w:r>
    </w:p>
    <w:p w14:paraId="1C4F2A1F" w14:textId="77777777" w:rsidR="00DD2C6C" w:rsidRPr="00DD2C6C" w:rsidRDefault="00DD2C6C" w:rsidP="00DD2C6C">
      <w:r w:rsidRPr="00DD2C6C">
        <w:t xml:space="preserve">Analiza niezależnych składowych (ICA) profilu ekspresji genów ujawnia, że poszczególne komponenty (IC0–IC59) odpowiadają rozmaitym procesom biologicznym. Na podstawie wag genów w każdym komponencie można zidentyfikować dominujące szlaki (np. sygnalizację TGF-β/BMP, FGF, </w:t>
      </w:r>
      <w:proofErr w:type="spellStart"/>
      <w:r w:rsidRPr="00DD2C6C">
        <w:t>Notch</w:t>
      </w:r>
      <w:proofErr w:type="spellEnd"/>
      <w:r w:rsidRPr="00DD2C6C">
        <w:t xml:space="preserve"> czy metabolizm hormonów sterydowych). Tabela poniżej zestawia przykładowe komponenty z głównymi genami i motywami. Na podstawie cytatów z literatury wykazano związki genów z tymi motywami oraz biologiczne znaczenie wysokich i niskich wartości składowej.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135"/>
        <w:gridCol w:w="2469"/>
        <w:gridCol w:w="2123"/>
      </w:tblGrid>
      <w:tr w:rsidR="00DD2C6C" w:rsidRPr="00DD2C6C" w14:paraId="5AEAF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FB677" w14:textId="77777777" w:rsidR="00DD2C6C" w:rsidRPr="00DD2C6C" w:rsidRDefault="00DD2C6C" w:rsidP="00DD2C6C">
            <w:pPr>
              <w:rPr>
                <w:b/>
                <w:bCs/>
              </w:rPr>
            </w:pPr>
            <w:r w:rsidRPr="00DD2C6C">
              <w:rPr>
                <w:b/>
                <w:bCs/>
              </w:rPr>
              <w:t>Komponent</w:t>
            </w:r>
          </w:p>
        </w:tc>
        <w:tc>
          <w:tcPr>
            <w:tcW w:w="0" w:type="auto"/>
            <w:vAlign w:val="center"/>
            <w:hideMark/>
          </w:tcPr>
          <w:p w14:paraId="09D7A67C" w14:textId="77777777" w:rsidR="00DD2C6C" w:rsidRPr="00DD2C6C" w:rsidRDefault="00DD2C6C" w:rsidP="00DD2C6C">
            <w:pPr>
              <w:rPr>
                <w:b/>
                <w:bCs/>
              </w:rPr>
            </w:pPr>
            <w:r w:rsidRPr="00DD2C6C">
              <w:rPr>
                <w:b/>
                <w:bCs/>
              </w:rPr>
              <w:t>Najważniejsze geny (wysokie/niska waga)</w:t>
            </w:r>
          </w:p>
        </w:tc>
        <w:tc>
          <w:tcPr>
            <w:tcW w:w="0" w:type="auto"/>
            <w:vAlign w:val="center"/>
            <w:hideMark/>
          </w:tcPr>
          <w:p w14:paraId="311A9FD1" w14:textId="77777777" w:rsidR="00DD2C6C" w:rsidRPr="00DD2C6C" w:rsidRDefault="00DD2C6C" w:rsidP="00DD2C6C">
            <w:pPr>
              <w:rPr>
                <w:b/>
                <w:bCs/>
              </w:rPr>
            </w:pPr>
            <w:r w:rsidRPr="00DD2C6C">
              <w:rPr>
                <w:b/>
                <w:bCs/>
              </w:rPr>
              <w:t>Motyw/Szlak</w:t>
            </w:r>
          </w:p>
        </w:tc>
        <w:tc>
          <w:tcPr>
            <w:tcW w:w="0" w:type="auto"/>
            <w:vAlign w:val="center"/>
            <w:hideMark/>
          </w:tcPr>
          <w:p w14:paraId="6571D450" w14:textId="77777777" w:rsidR="00DD2C6C" w:rsidRPr="00DD2C6C" w:rsidRDefault="00DD2C6C" w:rsidP="00DD2C6C">
            <w:pPr>
              <w:rPr>
                <w:b/>
                <w:bCs/>
              </w:rPr>
            </w:pPr>
            <w:r w:rsidRPr="00DD2C6C">
              <w:rPr>
                <w:b/>
                <w:bCs/>
              </w:rPr>
              <w:t>Przykładowe źródła</w:t>
            </w:r>
          </w:p>
        </w:tc>
      </w:tr>
      <w:tr w:rsidR="00DD2C6C" w:rsidRPr="00DD2C6C" w14:paraId="2D9C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B55D" w14:textId="77777777" w:rsidR="00DD2C6C" w:rsidRPr="00DD2C6C" w:rsidRDefault="00DD2C6C" w:rsidP="00DD2C6C">
            <w:r w:rsidRPr="00DD2C6C">
              <w:rPr>
                <w:b/>
                <w:bCs/>
              </w:rPr>
              <w:t>IC1</w:t>
            </w:r>
          </w:p>
        </w:tc>
        <w:tc>
          <w:tcPr>
            <w:tcW w:w="0" w:type="auto"/>
            <w:vAlign w:val="center"/>
            <w:hideMark/>
          </w:tcPr>
          <w:p w14:paraId="43416DDA" w14:textId="77777777" w:rsidR="00DD2C6C" w:rsidRPr="00DD2C6C" w:rsidRDefault="00DD2C6C" w:rsidP="00DD2C6C">
            <w:r w:rsidRPr="00DD2C6C">
              <w:t>SMAD6, BMP2, BMP15, SMAD11 (dodatnie); GDF2, MTAP, BBC3 (ujemne)</w:t>
            </w:r>
          </w:p>
        </w:tc>
        <w:tc>
          <w:tcPr>
            <w:tcW w:w="0" w:type="auto"/>
            <w:vAlign w:val="center"/>
            <w:hideMark/>
          </w:tcPr>
          <w:p w14:paraId="40201F76" w14:textId="77777777" w:rsidR="00DD2C6C" w:rsidRPr="00DD2C6C" w:rsidRDefault="00DD2C6C" w:rsidP="00DD2C6C">
            <w:r w:rsidRPr="00DD2C6C">
              <w:t>Szlak TGF-β/BMP i EMT</w:t>
            </w:r>
          </w:p>
        </w:tc>
        <w:tc>
          <w:tcPr>
            <w:tcW w:w="0" w:type="auto"/>
            <w:vAlign w:val="center"/>
            <w:hideMark/>
          </w:tcPr>
          <w:p w14:paraId="2B63C57D" w14:textId="77777777" w:rsidR="00DD2C6C" w:rsidRPr="00DD2C6C" w:rsidRDefault="00DD2C6C" w:rsidP="00DD2C6C">
            <w:pPr>
              <w:rPr>
                <w:lang w:val="en-US"/>
              </w:rPr>
            </w:pPr>
            <w:r w:rsidRPr="00DD2C6C">
              <w:rPr>
                <w:lang w:val="en-US"/>
              </w:rPr>
              <w:t xml:space="preserve">Liu et al. 2026; </w:t>
            </w:r>
            <w:proofErr w:type="spellStart"/>
            <w:r w:rsidRPr="00DD2C6C">
              <w:rPr>
                <w:lang w:val="en-US"/>
              </w:rPr>
              <w:t>Jinnin</w:t>
            </w:r>
            <w:proofErr w:type="spellEnd"/>
            <w:r w:rsidRPr="00DD2C6C">
              <w:rPr>
                <w:lang w:val="en-US"/>
              </w:rPr>
              <w:t xml:space="preserve"> et al. 2006</w:t>
            </w:r>
          </w:p>
        </w:tc>
      </w:tr>
      <w:tr w:rsidR="00DD2C6C" w:rsidRPr="00DD2C6C" w14:paraId="2763B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CA10" w14:textId="77777777" w:rsidR="00DD2C6C" w:rsidRPr="00DD2C6C" w:rsidRDefault="00DD2C6C" w:rsidP="00DD2C6C">
            <w:r w:rsidRPr="00DD2C6C">
              <w:rPr>
                <w:b/>
                <w:bCs/>
              </w:rPr>
              <w:t>IC2</w:t>
            </w:r>
          </w:p>
        </w:tc>
        <w:tc>
          <w:tcPr>
            <w:tcW w:w="0" w:type="auto"/>
            <w:vAlign w:val="center"/>
            <w:hideMark/>
          </w:tcPr>
          <w:p w14:paraId="76B69D4D" w14:textId="77777777" w:rsidR="00DD2C6C" w:rsidRPr="00DD2C6C" w:rsidRDefault="00DD2C6C" w:rsidP="00DD2C6C">
            <w:r w:rsidRPr="00DD2C6C">
              <w:t>FGF2, ITGB3, SERPINI1, BMP4 (dodatnie); RAF1, CDK8 (ujemne)</w:t>
            </w:r>
          </w:p>
        </w:tc>
        <w:tc>
          <w:tcPr>
            <w:tcW w:w="0" w:type="auto"/>
            <w:vAlign w:val="center"/>
            <w:hideMark/>
          </w:tcPr>
          <w:p w14:paraId="56BD9CD7" w14:textId="77777777" w:rsidR="00DD2C6C" w:rsidRPr="00DD2C6C" w:rsidRDefault="00DD2C6C" w:rsidP="00DD2C6C">
            <w:r w:rsidRPr="00DD2C6C">
              <w:t xml:space="preserve">Czynniki wzrostu (FGF2) i </w:t>
            </w:r>
            <w:proofErr w:type="spellStart"/>
            <w:r w:rsidRPr="00DD2C6C">
              <w:t>angiogeneza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C656" w14:textId="77777777" w:rsidR="00DD2C6C" w:rsidRPr="00DD2C6C" w:rsidRDefault="00DD2C6C" w:rsidP="00DD2C6C">
            <w:proofErr w:type="spellStart"/>
            <w:r w:rsidRPr="00DD2C6C">
              <w:t>Santolla</w:t>
            </w:r>
            <w:proofErr w:type="spellEnd"/>
            <w:r w:rsidRPr="00DD2C6C">
              <w:t xml:space="preserve"> &amp; </w:t>
            </w:r>
            <w:proofErr w:type="spellStart"/>
            <w:r w:rsidRPr="00DD2C6C">
              <w:t>Maggiolini</w:t>
            </w:r>
            <w:proofErr w:type="spellEnd"/>
            <w:r w:rsidRPr="00DD2C6C">
              <w:t xml:space="preserve"> 2020</w:t>
            </w:r>
          </w:p>
        </w:tc>
      </w:tr>
      <w:tr w:rsidR="00DD2C6C" w:rsidRPr="00DD2C6C" w14:paraId="164E4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ADA3" w14:textId="77777777" w:rsidR="00DD2C6C" w:rsidRPr="00DD2C6C" w:rsidRDefault="00DD2C6C" w:rsidP="00DD2C6C">
            <w:r w:rsidRPr="00DD2C6C">
              <w:rPr>
                <w:b/>
                <w:bCs/>
              </w:rPr>
              <w:t>IC3</w:t>
            </w:r>
          </w:p>
        </w:tc>
        <w:tc>
          <w:tcPr>
            <w:tcW w:w="0" w:type="auto"/>
            <w:vAlign w:val="center"/>
            <w:hideMark/>
          </w:tcPr>
          <w:p w14:paraId="427D1809" w14:textId="77777777" w:rsidR="00DD2C6C" w:rsidRPr="00DD2C6C" w:rsidRDefault="00DD2C6C" w:rsidP="00DD2C6C">
            <w:r w:rsidRPr="00DD2C6C">
              <w:t>ARID1A, PBRM1, KDM6A, SMARCB1 (dodatnie); E2F1, MAML3 (ujemne)</w:t>
            </w:r>
          </w:p>
        </w:tc>
        <w:tc>
          <w:tcPr>
            <w:tcW w:w="0" w:type="auto"/>
            <w:vAlign w:val="center"/>
            <w:hideMark/>
          </w:tcPr>
          <w:p w14:paraId="540FF898" w14:textId="77777777" w:rsidR="00DD2C6C" w:rsidRPr="00DD2C6C" w:rsidRDefault="00DD2C6C" w:rsidP="00DD2C6C">
            <w:proofErr w:type="spellStart"/>
            <w:r w:rsidRPr="00DD2C6C">
              <w:t>Remodeller</w:t>
            </w:r>
            <w:proofErr w:type="spellEnd"/>
            <w:r w:rsidRPr="00DD2C6C">
              <w:t xml:space="preserve"> SWI/SNF, supresja nowotworowa</w:t>
            </w:r>
          </w:p>
        </w:tc>
        <w:tc>
          <w:tcPr>
            <w:tcW w:w="0" w:type="auto"/>
            <w:vAlign w:val="center"/>
            <w:hideMark/>
          </w:tcPr>
          <w:p w14:paraId="03C0CB92" w14:textId="77777777" w:rsidR="00DD2C6C" w:rsidRPr="00DD2C6C" w:rsidRDefault="00DD2C6C" w:rsidP="00DD2C6C">
            <w:proofErr w:type="spellStart"/>
            <w:r w:rsidRPr="00DD2C6C">
              <w:t>Gopalakrishnan</w:t>
            </w:r>
            <w:proofErr w:type="spellEnd"/>
            <w:r w:rsidRPr="00DD2C6C">
              <w:t xml:space="preserve"> et al. 2026</w:t>
            </w:r>
          </w:p>
        </w:tc>
      </w:tr>
      <w:tr w:rsidR="00DD2C6C" w:rsidRPr="00DD2C6C" w14:paraId="79D1B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17A5" w14:textId="77777777" w:rsidR="00DD2C6C" w:rsidRPr="00DD2C6C" w:rsidRDefault="00DD2C6C" w:rsidP="00DD2C6C">
            <w:r w:rsidRPr="00DD2C6C">
              <w:rPr>
                <w:b/>
                <w:bCs/>
              </w:rPr>
              <w:t>IC4</w:t>
            </w:r>
          </w:p>
        </w:tc>
        <w:tc>
          <w:tcPr>
            <w:tcW w:w="0" w:type="auto"/>
            <w:vAlign w:val="center"/>
            <w:hideMark/>
          </w:tcPr>
          <w:p w14:paraId="6382F2F9" w14:textId="77777777" w:rsidR="00DD2C6C" w:rsidRPr="00DD2C6C" w:rsidRDefault="00DD2C6C" w:rsidP="00DD2C6C">
            <w:r w:rsidRPr="00DD2C6C">
              <w:t>RBPJ, MAML1, ADAM10, HES5 (dodatnie); NOX4, MAML2 (ujemne)</w:t>
            </w:r>
          </w:p>
        </w:tc>
        <w:tc>
          <w:tcPr>
            <w:tcW w:w="0" w:type="auto"/>
            <w:vAlign w:val="center"/>
            <w:hideMark/>
          </w:tcPr>
          <w:p w14:paraId="31B03916" w14:textId="77777777" w:rsidR="00DD2C6C" w:rsidRPr="00DD2C6C" w:rsidRDefault="00DD2C6C" w:rsidP="00DD2C6C">
            <w:r w:rsidRPr="00DD2C6C">
              <w:t xml:space="preserve">Szlak </w:t>
            </w:r>
            <w:proofErr w:type="spellStart"/>
            <w:r w:rsidRPr="00DD2C6C">
              <w:t>Notch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AD9C8" w14:textId="77777777" w:rsidR="00DD2C6C" w:rsidRPr="00DD2C6C" w:rsidRDefault="00DD2C6C" w:rsidP="00DD2C6C">
            <w:r w:rsidRPr="00DD2C6C">
              <w:t>Huang et al. 2016</w:t>
            </w:r>
          </w:p>
        </w:tc>
      </w:tr>
      <w:tr w:rsidR="00DD2C6C" w:rsidRPr="00DD2C6C" w14:paraId="7E48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D4A4" w14:textId="77777777" w:rsidR="00DD2C6C" w:rsidRPr="00DD2C6C" w:rsidRDefault="00DD2C6C" w:rsidP="00DD2C6C">
            <w:r w:rsidRPr="00DD2C6C">
              <w:rPr>
                <w:b/>
                <w:bCs/>
              </w:rPr>
              <w:t>IC5</w:t>
            </w:r>
          </w:p>
        </w:tc>
        <w:tc>
          <w:tcPr>
            <w:tcW w:w="0" w:type="auto"/>
            <w:vAlign w:val="center"/>
            <w:hideMark/>
          </w:tcPr>
          <w:p w14:paraId="0F3C8700" w14:textId="77777777" w:rsidR="00DD2C6C" w:rsidRPr="00DD2C6C" w:rsidRDefault="00DD2C6C" w:rsidP="00DD2C6C">
            <w:r w:rsidRPr="00DD2C6C">
              <w:t>UGT2B15, UGT2B17, UGT2B7 (ujemne)</w:t>
            </w:r>
          </w:p>
        </w:tc>
        <w:tc>
          <w:tcPr>
            <w:tcW w:w="0" w:type="auto"/>
            <w:vAlign w:val="center"/>
            <w:hideMark/>
          </w:tcPr>
          <w:p w14:paraId="2013C260" w14:textId="77777777" w:rsidR="00DD2C6C" w:rsidRPr="00DD2C6C" w:rsidRDefault="00DD2C6C" w:rsidP="00DD2C6C">
            <w:r w:rsidRPr="00DD2C6C">
              <w:t>Metabolizm steroidów (</w:t>
            </w:r>
            <w:proofErr w:type="spellStart"/>
            <w:r w:rsidRPr="00DD2C6C">
              <w:t>glukuronidacja</w:t>
            </w:r>
            <w:proofErr w:type="spellEnd"/>
            <w:r w:rsidRPr="00DD2C6C">
              <w:t>)</w:t>
            </w:r>
          </w:p>
        </w:tc>
        <w:tc>
          <w:tcPr>
            <w:tcW w:w="0" w:type="auto"/>
            <w:vAlign w:val="center"/>
            <w:hideMark/>
          </w:tcPr>
          <w:p w14:paraId="31149945" w14:textId="77777777" w:rsidR="00DD2C6C" w:rsidRPr="00DD2C6C" w:rsidRDefault="00DD2C6C" w:rsidP="00DD2C6C">
            <w:proofErr w:type="spellStart"/>
            <w:r w:rsidRPr="00DD2C6C">
              <w:t>Harrington</w:t>
            </w:r>
            <w:proofErr w:type="spellEnd"/>
            <w:r w:rsidRPr="00DD2C6C">
              <w:t xml:space="preserve"> et al. 2006</w:t>
            </w:r>
          </w:p>
        </w:tc>
      </w:tr>
    </w:tbl>
    <w:p w14:paraId="0E3E4EF9" w14:textId="77777777" w:rsidR="00DD2C6C" w:rsidRPr="00DD2C6C" w:rsidRDefault="00DD2C6C" w:rsidP="00DD2C6C">
      <w:pPr>
        <w:rPr>
          <w:b/>
          <w:bCs/>
        </w:rPr>
      </w:pPr>
      <w:r w:rsidRPr="00DD2C6C">
        <w:rPr>
          <w:b/>
          <w:bCs/>
        </w:rPr>
        <w:t>Kluczowe motywy i cytaty</w:t>
      </w:r>
    </w:p>
    <w:p w14:paraId="07684D33" w14:textId="77777777" w:rsidR="00DD2C6C" w:rsidRPr="00DD2C6C" w:rsidRDefault="00DD2C6C" w:rsidP="00DD2C6C">
      <w:r w:rsidRPr="00DD2C6C">
        <w:rPr>
          <w:b/>
          <w:bCs/>
        </w:rPr>
        <w:t>Sygnalizacja TGF-β/BMP (IC1, IC12):</w:t>
      </w:r>
      <w:r w:rsidRPr="00DD2C6C">
        <w:t xml:space="preserve"> Geny typu </w:t>
      </w:r>
      <w:r w:rsidRPr="00DD2C6C">
        <w:rPr>
          <w:i/>
          <w:iCs/>
        </w:rPr>
        <w:t>SMAD6</w:t>
      </w:r>
      <w:r w:rsidRPr="00DD2C6C">
        <w:t xml:space="preserve">, </w:t>
      </w:r>
      <w:r w:rsidRPr="00DD2C6C">
        <w:rPr>
          <w:i/>
          <w:iCs/>
        </w:rPr>
        <w:t>BMP2/4/10/15</w:t>
      </w:r>
      <w:r w:rsidRPr="00DD2C6C">
        <w:t xml:space="preserve"> oraz inne (</w:t>
      </w:r>
      <w:r w:rsidRPr="00DD2C6C">
        <w:rPr>
          <w:i/>
          <w:iCs/>
        </w:rPr>
        <w:t>SMAD7</w:t>
      </w:r>
      <w:r w:rsidRPr="00DD2C6C">
        <w:t xml:space="preserve">, </w:t>
      </w:r>
      <w:r w:rsidRPr="00DD2C6C">
        <w:rPr>
          <w:i/>
          <w:iCs/>
        </w:rPr>
        <w:t>GDF2/11</w:t>
      </w:r>
      <w:r w:rsidRPr="00DD2C6C">
        <w:t>) sugerują zaangażowanie TGF-β/BMP. Białka SMAD mediują sygnał z receptorów TGF-β do jądra komórkowego, regulując apoptozę, proliferację i przejście nabłonkowo-</w:t>
      </w:r>
      <w:proofErr w:type="spellStart"/>
      <w:r w:rsidRPr="00DD2C6C">
        <w:t>mezenchymalne</w:t>
      </w:r>
      <w:proofErr w:type="spellEnd"/>
      <w:r w:rsidRPr="00DD2C6C">
        <w:t xml:space="preserve"> (EMT). TGF-β pełni </w:t>
      </w:r>
      <w:r w:rsidRPr="00DD2C6C">
        <w:rPr>
          <w:b/>
          <w:bCs/>
        </w:rPr>
        <w:t>podwójną rolę</w:t>
      </w:r>
      <w:r w:rsidRPr="00DD2C6C">
        <w:t>: we wczesnych etapach działa jako inhibitor wzrostu (indukuje cykl zatrzymania/apoptozę), zaś w zaawansowanym stadium wspomaga progresję i przerzuty nowotworu. Wysoki wynik IC1 odpowiadałby wzmocnieniu sygnalizacji TGF-β/BMP i przyśpieszonemu EMT/inwazji, podczas gdy niski oznaczał dominację stłumienia proliferacji i mechanizmów naprawy DNA.</w:t>
      </w:r>
    </w:p>
    <w:p w14:paraId="47664D7B" w14:textId="77777777" w:rsidR="00DD2C6C" w:rsidRPr="00DD2C6C" w:rsidRDefault="00DD2C6C" w:rsidP="00DD2C6C">
      <w:r w:rsidRPr="00DD2C6C">
        <w:rPr>
          <w:i/>
          <w:iCs/>
        </w:rPr>
        <w:lastRenderedPageBreak/>
        <w:t>„Sygnalizacja TGF-β pełni podwójną rolę w rozwoju nowotworów:</w:t>
      </w:r>
      <w:r w:rsidRPr="00DD2C6C">
        <w:rPr>
          <w:rFonts w:ascii="Arial" w:hAnsi="Arial" w:cs="Arial"/>
          <w:i/>
          <w:iCs/>
        </w:rPr>
        <w:t> </w:t>
      </w:r>
      <w:r w:rsidRPr="00DD2C6C">
        <w:rPr>
          <w:rFonts w:ascii="Aptos" w:hAnsi="Aptos" w:cs="Aptos"/>
          <w:i/>
          <w:iCs/>
        </w:rPr>
        <w:t>„</w:t>
      </w:r>
      <w:r w:rsidRPr="00DD2C6C">
        <w:rPr>
          <w:i/>
          <w:iCs/>
        </w:rPr>
        <w:t>aktywny szlak TGF-</w:t>
      </w:r>
      <w:r w:rsidRPr="00DD2C6C">
        <w:rPr>
          <w:rFonts w:ascii="Aptos" w:hAnsi="Aptos" w:cs="Aptos"/>
          <w:i/>
          <w:iCs/>
        </w:rPr>
        <w:t>β</w:t>
      </w:r>
      <w:r w:rsidRPr="00DD2C6C">
        <w:rPr>
          <w:i/>
          <w:iCs/>
        </w:rPr>
        <w:t xml:space="preserve"> dzia</w:t>
      </w:r>
      <w:r w:rsidRPr="00DD2C6C">
        <w:rPr>
          <w:rFonts w:ascii="Aptos" w:hAnsi="Aptos" w:cs="Aptos"/>
          <w:i/>
          <w:iCs/>
        </w:rPr>
        <w:t>ł</w:t>
      </w:r>
      <w:r w:rsidRPr="00DD2C6C">
        <w:rPr>
          <w:i/>
          <w:iCs/>
        </w:rPr>
        <w:t xml:space="preserve">a jako silny </w:t>
      </w:r>
      <w:proofErr w:type="spellStart"/>
      <w:r w:rsidRPr="00DD2C6C">
        <w:rPr>
          <w:i/>
          <w:iCs/>
        </w:rPr>
        <w:t>supresor</w:t>
      </w:r>
      <w:proofErr w:type="spellEnd"/>
      <w:r w:rsidRPr="00DD2C6C">
        <w:rPr>
          <w:i/>
          <w:iCs/>
        </w:rPr>
        <w:t xml:space="preserve"> </w:t>
      </w:r>
      <w:proofErr w:type="spellStart"/>
      <w:r w:rsidRPr="00DD2C6C">
        <w:rPr>
          <w:i/>
          <w:iCs/>
        </w:rPr>
        <w:t>nowotworzenia</w:t>
      </w:r>
      <w:proofErr w:type="spellEnd"/>
      <w:r w:rsidRPr="00DD2C6C">
        <w:rPr>
          <w:i/>
          <w:iCs/>
        </w:rPr>
        <w:t xml:space="preserve"> we wczesnym stadium, indukuj</w:t>
      </w:r>
      <w:r w:rsidRPr="00DD2C6C">
        <w:rPr>
          <w:rFonts w:ascii="Aptos" w:hAnsi="Aptos" w:cs="Aptos"/>
          <w:i/>
          <w:iCs/>
        </w:rPr>
        <w:t>ą</w:t>
      </w:r>
      <w:r w:rsidRPr="00DD2C6C">
        <w:rPr>
          <w:i/>
          <w:iCs/>
        </w:rPr>
        <w:t>c apoptoz</w:t>
      </w:r>
      <w:r w:rsidRPr="00DD2C6C">
        <w:rPr>
          <w:rFonts w:ascii="Aptos" w:hAnsi="Aptos" w:cs="Aptos"/>
          <w:i/>
          <w:iCs/>
        </w:rPr>
        <w:t>ę</w:t>
      </w:r>
      <w:r w:rsidRPr="00DD2C6C">
        <w:rPr>
          <w:i/>
          <w:iCs/>
        </w:rPr>
        <w:t xml:space="preserve"> lub zatrzymanie cyklu kom</w:t>
      </w:r>
      <w:r w:rsidRPr="00DD2C6C">
        <w:rPr>
          <w:rFonts w:ascii="Aptos" w:hAnsi="Aptos" w:cs="Aptos"/>
          <w:i/>
          <w:iCs/>
        </w:rPr>
        <w:t>ó</w:t>
      </w:r>
      <w:r w:rsidRPr="00DD2C6C">
        <w:rPr>
          <w:i/>
          <w:iCs/>
        </w:rPr>
        <w:t>rkowego, natomiast w p</w:t>
      </w:r>
      <w:r w:rsidRPr="00DD2C6C">
        <w:rPr>
          <w:rFonts w:ascii="Aptos" w:hAnsi="Aptos" w:cs="Aptos"/>
          <w:i/>
          <w:iCs/>
        </w:rPr>
        <w:t>óź</w:t>
      </w:r>
      <w:r w:rsidRPr="00DD2C6C">
        <w:rPr>
          <w:i/>
          <w:iCs/>
        </w:rPr>
        <w:t>niejszych etapach promuje transformacj</w:t>
      </w:r>
      <w:r w:rsidRPr="00DD2C6C">
        <w:rPr>
          <w:rFonts w:ascii="Aptos" w:hAnsi="Aptos" w:cs="Aptos"/>
          <w:i/>
          <w:iCs/>
        </w:rPr>
        <w:t>ę</w:t>
      </w:r>
      <w:r w:rsidRPr="00DD2C6C">
        <w:rPr>
          <w:i/>
          <w:iCs/>
        </w:rPr>
        <w:t>, progresj</w:t>
      </w:r>
      <w:r w:rsidRPr="00DD2C6C">
        <w:rPr>
          <w:rFonts w:ascii="Aptos" w:hAnsi="Aptos" w:cs="Aptos"/>
          <w:i/>
          <w:iCs/>
        </w:rPr>
        <w:t>ę</w:t>
      </w:r>
      <w:r w:rsidRPr="00DD2C6C">
        <w:rPr>
          <w:i/>
          <w:iCs/>
        </w:rPr>
        <w:t xml:space="preserve"> i </w:t>
      </w:r>
      <w:proofErr w:type="spellStart"/>
      <w:r w:rsidRPr="00DD2C6C">
        <w:rPr>
          <w:i/>
          <w:iCs/>
        </w:rPr>
        <w:t>metastatyzacj</w:t>
      </w:r>
      <w:r w:rsidRPr="00DD2C6C">
        <w:rPr>
          <w:rFonts w:ascii="Aptos" w:hAnsi="Aptos" w:cs="Aptos"/>
          <w:i/>
          <w:iCs/>
        </w:rPr>
        <w:t>ę</w:t>
      </w:r>
      <w:proofErr w:type="spellEnd"/>
      <w:r w:rsidRPr="00DD2C6C">
        <w:rPr>
          <w:rFonts w:ascii="Aptos" w:hAnsi="Aptos" w:cs="Aptos"/>
          <w:i/>
          <w:iCs/>
        </w:rPr>
        <w:t>”</w:t>
      </w:r>
      <w:r w:rsidRPr="00DD2C6C">
        <w:t>.</w:t>
      </w:r>
    </w:p>
    <w:p w14:paraId="3AB74B1D" w14:textId="77777777" w:rsidR="00DD2C6C" w:rsidRPr="00DD2C6C" w:rsidRDefault="00DD2C6C" w:rsidP="00DD2C6C">
      <w:r w:rsidRPr="00DD2C6C">
        <w:t xml:space="preserve">Dodatkowo, </w:t>
      </w:r>
      <w:r w:rsidRPr="00DD2C6C">
        <w:rPr>
          <w:i/>
          <w:iCs/>
        </w:rPr>
        <w:t>FBXW7</w:t>
      </w:r>
      <w:r w:rsidRPr="00DD2C6C">
        <w:t xml:space="preserve"> (IC3) to E3-ubikwitynowa ligaza kierująca na </w:t>
      </w:r>
      <w:proofErr w:type="spellStart"/>
      <w:r w:rsidRPr="00DD2C6C">
        <w:t>proteasom</w:t>
      </w:r>
      <w:proofErr w:type="spellEnd"/>
      <w:r w:rsidRPr="00DD2C6C">
        <w:t xml:space="preserve"> wiele </w:t>
      </w:r>
      <w:proofErr w:type="spellStart"/>
      <w:r w:rsidRPr="00DD2C6C">
        <w:t>onkoprotein</w:t>
      </w:r>
      <w:proofErr w:type="spellEnd"/>
      <w:r w:rsidRPr="00DD2C6C">
        <w:t xml:space="preserve"> (m.in. </w:t>
      </w:r>
      <w:r w:rsidRPr="00DD2C6C">
        <w:rPr>
          <w:i/>
          <w:iCs/>
        </w:rPr>
        <w:t>c-Myc</w:t>
      </w:r>
      <w:r w:rsidRPr="00DD2C6C">
        <w:t xml:space="preserve">, </w:t>
      </w:r>
      <w:proofErr w:type="spellStart"/>
      <w:r w:rsidRPr="00DD2C6C">
        <w:rPr>
          <w:i/>
          <w:iCs/>
        </w:rPr>
        <w:t>Notch</w:t>
      </w:r>
      <w:proofErr w:type="spellEnd"/>
      <w:r w:rsidRPr="00DD2C6C">
        <w:t xml:space="preserve">, </w:t>
      </w:r>
      <w:proofErr w:type="spellStart"/>
      <w:r w:rsidRPr="00DD2C6C">
        <w:rPr>
          <w:i/>
          <w:iCs/>
        </w:rPr>
        <w:t>Cyclin</w:t>
      </w:r>
      <w:proofErr w:type="spellEnd"/>
      <w:r w:rsidRPr="00DD2C6C">
        <w:rPr>
          <w:i/>
          <w:iCs/>
        </w:rPr>
        <w:t xml:space="preserve"> E</w:t>
      </w:r>
      <w:r w:rsidRPr="00DD2C6C">
        <w:t xml:space="preserve">). Jego wysoka waga wskazuje na aktywność sprzężenia negatywnego wobec </w:t>
      </w:r>
      <w:proofErr w:type="spellStart"/>
      <w:r w:rsidRPr="00DD2C6C">
        <w:t>onkoprotein</w:t>
      </w:r>
      <w:proofErr w:type="spellEnd"/>
      <w:r w:rsidRPr="00DD2C6C">
        <w:t>, natomiast spadek FBXW7 uwalnia sygnały proliferacji.</w:t>
      </w:r>
    </w:p>
    <w:p w14:paraId="24C972CD" w14:textId="77777777" w:rsidR="00DD2C6C" w:rsidRPr="00DD2C6C" w:rsidRDefault="00DD2C6C" w:rsidP="00DD2C6C">
      <w:r w:rsidRPr="00DD2C6C">
        <w:rPr>
          <w:i/>
          <w:iCs/>
        </w:rPr>
        <w:t xml:space="preserve">„FBXW7 jest dobrze znanym genem </w:t>
      </w:r>
      <w:proofErr w:type="spellStart"/>
      <w:r w:rsidRPr="00DD2C6C">
        <w:rPr>
          <w:i/>
          <w:iCs/>
        </w:rPr>
        <w:t>supresorowym</w:t>
      </w:r>
      <w:proofErr w:type="spellEnd"/>
      <w:r w:rsidRPr="00DD2C6C">
        <w:rPr>
          <w:i/>
          <w:iCs/>
        </w:rPr>
        <w:t xml:space="preserve"> – wywiera funkcję hamowania nowotworu,</w:t>
      </w:r>
      <w:r w:rsidRPr="00DD2C6C">
        <w:rPr>
          <w:rFonts w:ascii="Arial" w:hAnsi="Arial" w:cs="Arial"/>
          <w:i/>
          <w:iCs/>
        </w:rPr>
        <w:t> </w:t>
      </w:r>
      <w:r w:rsidRPr="00DD2C6C">
        <w:rPr>
          <w:i/>
          <w:iCs/>
        </w:rPr>
        <w:t>celuj</w:t>
      </w:r>
      <w:r w:rsidRPr="00DD2C6C">
        <w:rPr>
          <w:rFonts w:ascii="Aptos" w:hAnsi="Aptos" w:cs="Aptos"/>
          <w:i/>
          <w:iCs/>
        </w:rPr>
        <w:t>ą</w:t>
      </w:r>
      <w:r w:rsidRPr="00DD2C6C">
        <w:rPr>
          <w:i/>
          <w:iCs/>
        </w:rPr>
        <w:t xml:space="preserve">c wiele </w:t>
      </w:r>
      <w:proofErr w:type="spellStart"/>
      <w:r w:rsidRPr="00DD2C6C">
        <w:rPr>
          <w:i/>
          <w:iCs/>
        </w:rPr>
        <w:t>onkoprotein</w:t>
      </w:r>
      <w:proofErr w:type="spellEnd"/>
      <w:r w:rsidRPr="00DD2C6C">
        <w:rPr>
          <w:i/>
          <w:iCs/>
        </w:rPr>
        <w:t xml:space="preserve"> do degradacji </w:t>
      </w:r>
      <w:proofErr w:type="spellStart"/>
      <w:r w:rsidRPr="00DD2C6C">
        <w:rPr>
          <w:i/>
          <w:iCs/>
        </w:rPr>
        <w:t>proteasomowej</w:t>
      </w:r>
      <w:proofErr w:type="spellEnd"/>
      <w:r w:rsidRPr="00DD2C6C">
        <w:rPr>
          <w:rFonts w:ascii="Aptos" w:hAnsi="Aptos" w:cs="Aptos"/>
          <w:i/>
          <w:iCs/>
        </w:rPr>
        <w:t>”</w:t>
      </w:r>
      <w:r w:rsidRPr="00DD2C6C">
        <w:t>.</w:t>
      </w:r>
    </w:p>
    <w:p w14:paraId="5F45DF17" w14:textId="77777777" w:rsidR="00DD2C6C" w:rsidRPr="00DD2C6C" w:rsidRDefault="00DD2C6C" w:rsidP="00DD2C6C">
      <w:r w:rsidRPr="00DD2C6C">
        <w:rPr>
          <w:b/>
          <w:bCs/>
        </w:rPr>
        <w:t>Ścieżka FGF/</w:t>
      </w:r>
      <w:proofErr w:type="spellStart"/>
      <w:r w:rsidRPr="00DD2C6C">
        <w:rPr>
          <w:b/>
          <w:bCs/>
        </w:rPr>
        <w:t>Angiogeneza</w:t>
      </w:r>
      <w:proofErr w:type="spellEnd"/>
      <w:r w:rsidRPr="00DD2C6C">
        <w:rPr>
          <w:b/>
          <w:bCs/>
        </w:rPr>
        <w:t xml:space="preserve"> (IC2):</w:t>
      </w:r>
      <w:r w:rsidRPr="00DD2C6C">
        <w:t xml:space="preserve"> </w:t>
      </w:r>
      <w:r w:rsidRPr="00DD2C6C">
        <w:rPr>
          <w:i/>
          <w:iCs/>
        </w:rPr>
        <w:t>FGF2</w:t>
      </w:r>
      <w:r w:rsidRPr="00DD2C6C">
        <w:t xml:space="preserve"> i </w:t>
      </w:r>
      <w:r w:rsidRPr="00DD2C6C">
        <w:rPr>
          <w:i/>
          <w:iCs/>
        </w:rPr>
        <w:t>FGFR1</w:t>
      </w:r>
      <w:r w:rsidRPr="00DD2C6C">
        <w:t xml:space="preserve"> wyraźnie wyróżniają się wysoką wagą w IC2, co wskazuje na szlak wzrostu i </w:t>
      </w:r>
      <w:proofErr w:type="spellStart"/>
      <w:r w:rsidRPr="00DD2C6C">
        <w:t>angiogenezy</w:t>
      </w:r>
      <w:proofErr w:type="spellEnd"/>
      <w:r w:rsidRPr="00DD2C6C">
        <w:t xml:space="preserve">. Układ FGF/FGFR jest uznawany za </w:t>
      </w:r>
      <w:r w:rsidRPr="00DD2C6C">
        <w:rPr>
          <w:i/>
          <w:iCs/>
        </w:rPr>
        <w:t>progresyjny w nowotworze piersi</w:t>
      </w:r>
      <w:r w:rsidRPr="00DD2C6C">
        <w:t xml:space="preserve">, wspierając proliferację i </w:t>
      </w:r>
      <w:proofErr w:type="spellStart"/>
      <w:r w:rsidRPr="00DD2C6C">
        <w:t>angiogenezę</w:t>
      </w:r>
      <w:proofErr w:type="spellEnd"/>
      <w:r w:rsidRPr="00DD2C6C">
        <w:t xml:space="preserve">. FGF2 wpływa też na </w:t>
      </w:r>
      <w:proofErr w:type="spellStart"/>
      <w:r w:rsidRPr="00DD2C6C">
        <w:t>mikrośrodowisko</w:t>
      </w:r>
      <w:proofErr w:type="spellEnd"/>
      <w:r w:rsidRPr="00DD2C6C">
        <w:t xml:space="preserve"> guza i oporność na terapię endokrynologiczną. Wysoki </w:t>
      </w:r>
      <w:proofErr w:type="spellStart"/>
      <w:r w:rsidRPr="00DD2C6C">
        <w:t>skor</w:t>
      </w:r>
      <w:proofErr w:type="spellEnd"/>
      <w:r w:rsidRPr="00DD2C6C">
        <w:t xml:space="preserve"> IC2 może oznaczać stymulację unaczynienia i wzrostu guza, niski natomiast przewagę mechanizmów hamujących proliferację.</w:t>
      </w:r>
    </w:p>
    <w:p w14:paraId="168C4D2D" w14:textId="77777777" w:rsidR="00DD2C6C" w:rsidRPr="00DD2C6C" w:rsidRDefault="00DD2C6C" w:rsidP="00DD2C6C">
      <w:r w:rsidRPr="00DD2C6C">
        <w:rPr>
          <w:i/>
          <w:iCs/>
        </w:rPr>
        <w:t>„System FGF/FGFR w raku piersi stanowi nowy ważny szlak onkogenny i cel terapeutyczny – wiele badań potwierdza, że nadmierna sygnalizacja FGF sprzyja progresji nowotworu”</w:t>
      </w:r>
      <w:r w:rsidRPr="00DD2C6C">
        <w:t>.</w:t>
      </w:r>
    </w:p>
    <w:p w14:paraId="1F796654" w14:textId="77777777" w:rsidR="00DD2C6C" w:rsidRPr="00DD2C6C" w:rsidRDefault="00DD2C6C" w:rsidP="00DD2C6C">
      <w:r w:rsidRPr="00DD2C6C">
        <w:rPr>
          <w:b/>
          <w:bCs/>
        </w:rPr>
        <w:t>Chromatyna i epigenetyka (IC3):</w:t>
      </w:r>
      <w:r w:rsidRPr="00DD2C6C">
        <w:t xml:space="preserve"> Geny </w:t>
      </w:r>
      <w:r w:rsidRPr="00DD2C6C">
        <w:rPr>
          <w:i/>
          <w:iCs/>
        </w:rPr>
        <w:t>ARID1A</w:t>
      </w:r>
      <w:r w:rsidRPr="00DD2C6C">
        <w:t xml:space="preserve">, </w:t>
      </w:r>
      <w:r w:rsidRPr="00DD2C6C">
        <w:rPr>
          <w:i/>
          <w:iCs/>
        </w:rPr>
        <w:t>PBRM1</w:t>
      </w:r>
      <w:r w:rsidRPr="00DD2C6C">
        <w:t xml:space="preserve">, </w:t>
      </w:r>
      <w:r w:rsidRPr="00DD2C6C">
        <w:rPr>
          <w:i/>
          <w:iCs/>
        </w:rPr>
        <w:t>SMARCC2</w:t>
      </w:r>
      <w:r w:rsidRPr="00DD2C6C">
        <w:t xml:space="preserve"> i inne podjednostki kompleksu SWI/SNF dominują w IC3. Kompleks SWI/SNF (zawierający ARID1A) reguluje dostępność chromatyny, naprawę DNA i różnicowanie komórek. </w:t>
      </w:r>
      <w:r w:rsidRPr="00DD2C6C">
        <w:rPr>
          <w:i/>
          <w:iCs/>
        </w:rPr>
        <w:t>ARID1A</w:t>
      </w:r>
      <w:r w:rsidRPr="00DD2C6C">
        <w:t xml:space="preserve"> pełni rolę </w:t>
      </w:r>
      <w:proofErr w:type="spellStart"/>
      <w:r w:rsidRPr="00DD2C6C">
        <w:t>supresora</w:t>
      </w:r>
      <w:proofErr w:type="spellEnd"/>
      <w:r w:rsidRPr="00DD2C6C">
        <w:t xml:space="preserve"> nowotworu – jego utrata powoduje niestabilność genomu i przyspiesza EMT oraz proliferację. Wysoki wynik IC3 oznacza aktywny SWI/SNF, stabilność genomu i hamowanie złośliwości; niski – utratę tej kontroli, co sprzyja agresji guza.</w:t>
      </w:r>
    </w:p>
    <w:p w14:paraId="0F577A16" w14:textId="77777777" w:rsidR="00DD2C6C" w:rsidRPr="00DD2C6C" w:rsidRDefault="00DD2C6C" w:rsidP="00DD2C6C">
      <w:r w:rsidRPr="00DD2C6C">
        <w:rPr>
          <w:i/>
          <w:iCs/>
        </w:rPr>
        <w:t xml:space="preserve">„ARID1A, kluczowa podjednostka kompleksu SWI/SNF, działa jako gen </w:t>
      </w:r>
      <w:proofErr w:type="spellStart"/>
      <w:r w:rsidRPr="00DD2C6C">
        <w:rPr>
          <w:i/>
          <w:iCs/>
        </w:rPr>
        <w:t>supresorowy</w:t>
      </w:r>
      <w:proofErr w:type="spellEnd"/>
      <w:r w:rsidRPr="00DD2C6C">
        <w:rPr>
          <w:i/>
          <w:iCs/>
        </w:rPr>
        <w:t xml:space="preserve"> nowotworów, utrzymując prawidłową regulację transkrypcji, stabilność genomu i różnicowanie komórkowe”</w:t>
      </w:r>
      <w:r w:rsidRPr="00DD2C6C">
        <w:t>.</w:t>
      </w:r>
    </w:p>
    <w:p w14:paraId="29F3621B" w14:textId="77777777" w:rsidR="00DD2C6C" w:rsidRPr="00DD2C6C" w:rsidRDefault="00DD2C6C" w:rsidP="00DD2C6C">
      <w:r w:rsidRPr="00DD2C6C">
        <w:rPr>
          <w:b/>
          <w:bCs/>
        </w:rPr>
        <w:t xml:space="preserve">Sygnał </w:t>
      </w:r>
      <w:proofErr w:type="spellStart"/>
      <w:r w:rsidRPr="00DD2C6C">
        <w:rPr>
          <w:b/>
          <w:bCs/>
        </w:rPr>
        <w:t>Notch</w:t>
      </w:r>
      <w:proofErr w:type="spellEnd"/>
      <w:r w:rsidRPr="00DD2C6C">
        <w:rPr>
          <w:b/>
          <w:bCs/>
        </w:rPr>
        <w:t xml:space="preserve"> (IC4, IC14):</w:t>
      </w:r>
      <w:r w:rsidRPr="00DD2C6C">
        <w:t xml:space="preserve"> </w:t>
      </w:r>
      <w:r w:rsidRPr="00DD2C6C">
        <w:rPr>
          <w:i/>
          <w:iCs/>
        </w:rPr>
        <w:t>RBPJ</w:t>
      </w:r>
      <w:r w:rsidRPr="00DD2C6C">
        <w:t xml:space="preserve">, </w:t>
      </w:r>
      <w:r w:rsidRPr="00DD2C6C">
        <w:rPr>
          <w:i/>
          <w:iCs/>
        </w:rPr>
        <w:t>MAML1/2</w:t>
      </w:r>
      <w:r w:rsidRPr="00DD2C6C">
        <w:t xml:space="preserve">, </w:t>
      </w:r>
      <w:r w:rsidRPr="00DD2C6C">
        <w:rPr>
          <w:i/>
          <w:iCs/>
        </w:rPr>
        <w:t>ADAM10</w:t>
      </w:r>
      <w:r w:rsidRPr="00DD2C6C">
        <w:t xml:space="preserve"> i czynniki HES/HEY o dodatnich wagach wskazują na aktywację szlaku </w:t>
      </w:r>
      <w:proofErr w:type="spellStart"/>
      <w:r w:rsidRPr="00DD2C6C">
        <w:t>Notch</w:t>
      </w:r>
      <w:proofErr w:type="spellEnd"/>
      <w:r w:rsidRPr="00DD2C6C">
        <w:t xml:space="preserve">. Białko RBPJ jest rdzeniem kompleksu </w:t>
      </w:r>
      <w:proofErr w:type="spellStart"/>
      <w:r w:rsidRPr="00DD2C6C">
        <w:t>Notch</w:t>
      </w:r>
      <w:proofErr w:type="spellEnd"/>
      <w:r w:rsidRPr="00DD2C6C">
        <w:t xml:space="preserve"> – tłumaczy sygnał z receptora </w:t>
      </w:r>
      <w:proofErr w:type="spellStart"/>
      <w:r w:rsidRPr="00DD2C6C">
        <w:t>Notch</w:t>
      </w:r>
      <w:proofErr w:type="spellEnd"/>
      <w:r w:rsidRPr="00DD2C6C">
        <w:t xml:space="preserve"> do ekspresji genów docelowych. Podwyższony wynik w tych komponentach wiązałby się z intensywną sygnalizacją </w:t>
      </w:r>
      <w:proofErr w:type="spellStart"/>
      <w:r w:rsidRPr="00DD2C6C">
        <w:t>Notch</w:t>
      </w:r>
      <w:proofErr w:type="spellEnd"/>
      <w:r w:rsidRPr="00DD2C6C">
        <w:t xml:space="preserve"> i np. utrzymaniem fenotypu macierzystego czy zahamowaniem różnicowania, zaś niski – z osłabieniem tego szlaku i potencjalnym wzrostem proliferacji niezależnej od </w:t>
      </w:r>
      <w:proofErr w:type="spellStart"/>
      <w:r w:rsidRPr="00DD2C6C">
        <w:t>Notch</w:t>
      </w:r>
      <w:proofErr w:type="spellEnd"/>
      <w:r w:rsidRPr="00DD2C6C">
        <w:t>.</w:t>
      </w:r>
    </w:p>
    <w:p w14:paraId="79075D8D" w14:textId="77777777" w:rsidR="00DD2C6C" w:rsidRPr="00DD2C6C" w:rsidRDefault="00DD2C6C" w:rsidP="00DD2C6C">
      <w:r w:rsidRPr="00DD2C6C">
        <w:rPr>
          <w:i/>
          <w:iCs/>
        </w:rPr>
        <w:t>„RBPJ (in. CBF1) uważany jest za centralny mediator sygnału NOTCH”</w:t>
      </w:r>
      <w:r w:rsidRPr="00DD2C6C">
        <w:t xml:space="preserve">. Geny </w:t>
      </w:r>
      <w:r w:rsidRPr="00DD2C6C">
        <w:rPr>
          <w:i/>
          <w:iCs/>
        </w:rPr>
        <w:t>MAML</w:t>
      </w:r>
      <w:r w:rsidRPr="00DD2C6C">
        <w:t xml:space="preserve"> pełnią rolę </w:t>
      </w:r>
      <w:proofErr w:type="spellStart"/>
      <w:r w:rsidRPr="00DD2C6C">
        <w:t>koaktywatorów</w:t>
      </w:r>
      <w:proofErr w:type="spellEnd"/>
      <w:r w:rsidRPr="00DD2C6C">
        <w:t xml:space="preserve"> transkrypcyjnych </w:t>
      </w:r>
      <w:proofErr w:type="spellStart"/>
      <w:r w:rsidRPr="00DD2C6C">
        <w:t>Notch</w:t>
      </w:r>
      <w:proofErr w:type="spellEnd"/>
      <w:r w:rsidRPr="00DD2C6C">
        <w:t>, stabilizując kompleks NICD–RBPJ [Wu et al., 2000; cyt. w Huang et al.].</w:t>
      </w:r>
    </w:p>
    <w:p w14:paraId="2A9CEFD2" w14:textId="77777777" w:rsidR="00DD2C6C" w:rsidRPr="00DD2C6C" w:rsidRDefault="00DD2C6C" w:rsidP="00DD2C6C">
      <w:r w:rsidRPr="00DD2C6C">
        <w:rPr>
          <w:b/>
          <w:bCs/>
        </w:rPr>
        <w:lastRenderedPageBreak/>
        <w:t>Metabolizm hormonów sterydowych (IC5):</w:t>
      </w:r>
      <w:r w:rsidRPr="00DD2C6C">
        <w:t xml:space="preserve"> Negatywne wagi enzymów </w:t>
      </w:r>
      <w:r w:rsidRPr="00DD2C6C">
        <w:rPr>
          <w:i/>
          <w:iCs/>
        </w:rPr>
        <w:t>UGT2B7</w:t>
      </w:r>
      <w:r w:rsidRPr="00DD2C6C">
        <w:t xml:space="preserve">, </w:t>
      </w:r>
      <w:r w:rsidRPr="00DD2C6C">
        <w:rPr>
          <w:i/>
          <w:iCs/>
        </w:rPr>
        <w:t>UGT2B15</w:t>
      </w:r>
      <w:r w:rsidRPr="00DD2C6C">
        <w:t xml:space="preserve">, </w:t>
      </w:r>
      <w:r w:rsidRPr="00DD2C6C">
        <w:rPr>
          <w:i/>
          <w:iCs/>
        </w:rPr>
        <w:t>UGT2B17</w:t>
      </w:r>
      <w:r w:rsidRPr="00DD2C6C">
        <w:t xml:space="preserve"> sugerują udział metabolizmu steroidów. UGT-y </w:t>
      </w:r>
      <w:proofErr w:type="spellStart"/>
      <w:r w:rsidRPr="00DD2C6C">
        <w:t>glukuronidują</w:t>
      </w:r>
      <w:proofErr w:type="spellEnd"/>
      <w:r w:rsidRPr="00DD2C6C">
        <w:t xml:space="preserve"> hormony płciowe, ułatwiając ich inaktywację i usunięcie. Przykładowo, </w:t>
      </w:r>
      <w:r w:rsidRPr="00DD2C6C">
        <w:rPr>
          <w:i/>
          <w:iCs/>
        </w:rPr>
        <w:t>UGT2B15</w:t>
      </w:r>
      <w:r w:rsidRPr="00DD2C6C">
        <w:t xml:space="preserve"> jest indukowana przez estrogen i </w:t>
      </w:r>
      <w:proofErr w:type="spellStart"/>
      <w:r w:rsidRPr="00DD2C6C">
        <w:t>dihydrotestosteron</w:t>
      </w:r>
      <w:proofErr w:type="spellEnd"/>
      <w:r w:rsidRPr="00DD2C6C">
        <w:t>, co zmniejsza stężenia wolnych hormonów w komórkach raka piersi. Wysoki wynik IC5 oznaczałby wzmożone sprzęganie hormonów (niższe sygnały steroidów), a niski – potencjalnie gromadzenie aktywnych hormonów i silniejszy wzrost napędzany przez receptory steroidowe.</w:t>
      </w:r>
    </w:p>
    <w:p w14:paraId="61A92008" w14:textId="77777777" w:rsidR="00DD2C6C" w:rsidRPr="00DD2C6C" w:rsidRDefault="00DD2C6C" w:rsidP="00DD2C6C">
      <w:r w:rsidRPr="00DD2C6C">
        <w:rPr>
          <w:i/>
          <w:iCs/>
        </w:rPr>
        <w:t xml:space="preserve">„UGT2B15 jest nowo zidentyfikowanym genem regulowanym przez estrogen w komórkach ER+ raka piersi… Jego indukcja przez estrogen powoduje znaczny wzrost aktywności enzymu i </w:t>
      </w:r>
      <w:proofErr w:type="spellStart"/>
      <w:r w:rsidRPr="00DD2C6C">
        <w:rPr>
          <w:i/>
          <w:iCs/>
        </w:rPr>
        <w:t>glukuronidację</w:t>
      </w:r>
      <w:proofErr w:type="spellEnd"/>
      <w:r w:rsidRPr="00DD2C6C">
        <w:rPr>
          <w:i/>
          <w:iCs/>
        </w:rPr>
        <w:t xml:space="preserve"> estrogenów i androgenów, co obniża ich stężenia w komórkach i osłabia sygnalizację steroidową”</w:t>
      </w:r>
      <w:r w:rsidRPr="00DD2C6C">
        <w:t>.</w:t>
      </w:r>
    </w:p>
    <w:p w14:paraId="303EBD75" w14:textId="77777777" w:rsidR="00DD2C6C" w:rsidRPr="00DD2C6C" w:rsidRDefault="00DD2C6C" w:rsidP="00DD2C6C">
      <w:r w:rsidRPr="00DD2C6C">
        <w:rPr>
          <w:b/>
          <w:bCs/>
        </w:rPr>
        <w:t>Inne komponenty:</w:t>
      </w:r>
      <w:r w:rsidRPr="00DD2C6C">
        <w:t xml:space="preserve"> Pozostałe IC (np. IC6–IC59) przedstawiają kombinacje genów sugerujące rozmaite szlaki (np. migrację komórek, sygnalizację cytokin, naprawę DNA). Pełna interpretacja każdego z nich wymaga dalszych badań. W tabeli powyżej i powyższych akapitach pokazano kluczowe przykłady motywów.</w:t>
      </w:r>
    </w:p>
    <w:p w14:paraId="71F6F037" w14:textId="77777777" w:rsidR="00DD2C6C" w:rsidRPr="00DD2C6C" w:rsidRDefault="00DD2C6C" w:rsidP="00DD2C6C">
      <w:pPr>
        <w:rPr>
          <w:b/>
          <w:bCs/>
        </w:rPr>
      </w:pPr>
      <w:r w:rsidRPr="00DD2C6C">
        <w:rPr>
          <w:b/>
          <w:bCs/>
        </w:rPr>
        <w:t>Wnioski</w:t>
      </w:r>
    </w:p>
    <w:p w14:paraId="296A6F75" w14:textId="77777777" w:rsidR="00DD2C6C" w:rsidRPr="00DD2C6C" w:rsidRDefault="00DD2C6C" w:rsidP="00DD2C6C">
      <w:r w:rsidRPr="00DD2C6C">
        <w:t xml:space="preserve">Dla każdego badanej składowej ICA wysokie wartości oznaczają aktywację związanych z nią procesów (np. proliferacji, EMT czy metabolizmu steroidów), a niskie – ich osłabienie lub przewagę przeciwnych mechanizmów (np. hamowanie cyklu komórkowego, wzmożoną naprawę DNA czy retencję hormonów). Zrozumienie biologicznych motywów komponentów ICA umożliwia powiązanie wyników analizy z fizjologicznie istotnymi szlakami. Przykładowo, IC1 z dominującymi genami TGF-β/BMP wskazuje na gradient </w:t>
      </w:r>
      <w:proofErr w:type="spellStart"/>
      <w:r w:rsidRPr="00DD2C6C">
        <w:t>supresor-progresor</w:t>
      </w:r>
      <w:proofErr w:type="spellEnd"/>
      <w:r w:rsidRPr="00DD2C6C">
        <w:t xml:space="preserve"> nowotworowy; IC4 z RBPJ/MAML/</w:t>
      </w:r>
      <w:proofErr w:type="spellStart"/>
      <w:r w:rsidRPr="00DD2C6C">
        <w:t>Notch</w:t>
      </w:r>
      <w:proofErr w:type="spellEnd"/>
      <w:r w:rsidRPr="00DD2C6C">
        <w:t xml:space="preserve"> odnosi się do regulacji różnicowania; IC5 z UGT – do lokalnej homeostazy hormonalnej. Takie mapowanie genów do motywów daje wgląd w mechanizmy molekularne odpowiadające za zmienność sygnalizacji w badanym fenotypie.</w:t>
      </w:r>
    </w:p>
    <w:p w14:paraId="7342B08B" w14:textId="77777777" w:rsidR="00DD2C6C" w:rsidRPr="00DD2C6C" w:rsidRDefault="00DD2C6C" w:rsidP="00DD2C6C">
      <w:pPr>
        <w:rPr>
          <w:b/>
          <w:bCs/>
        </w:rPr>
      </w:pPr>
      <w:r w:rsidRPr="00DD2C6C">
        <w:rPr>
          <w:b/>
          <w:bCs/>
        </w:rPr>
        <w:t>Bibliografia</w:t>
      </w:r>
    </w:p>
    <w:p w14:paraId="607BCAEA" w14:textId="77777777" w:rsidR="00DD2C6C" w:rsidRPr="00DD2C6C" w:rsidRDefault="00DD2C6C" w:rsidP="00DD2C6C">
      <w:pPr>
        <w:numPr>
          <w:ilvl w:val="0"/>
          <w:numId w:val="1"/>
        </w:numPr>
      </w:pPr>
      <w:r w:rsidRPr="00DD2C6C">
        <w:t xml:space="preserve">Huang Z, </w:t>
      </w:r>
      <w:proofErr w:type="spellStart"/>
      <w:r w:rsidRPr="00DD2C6C">
        <w:t>Zhou</w:t>
      </w:r>
      <w:proofErr w:type="spellEnd"/>
      <w:r w:rsidRPr="00DD2C6C">
        <w:t xml:space="preserve"> J, et al. </w:t>
      </w:r>
      <w:r w:rsidRPr="00DD2C6C">
        <w:rPr>
          <w:i/>
          <w:iCs/>
          <w:lang w:val="en-US"/>
        </w:rPr>
        <w:t>RBPJ maintains brain tumor–initiating cells through CDK9-mediated transcriptional elongation</w:t>
      </w:r>
      <w:r w:rsidRPr="00DD2C6C">
        <w:rPr>
          <w:lang w:val="en-US"/>
        </w:rPr>
        <w:t xml:space="preserve">. </w:t>
      </w:r>
      <w:r w:rsidRPr="00DD2C6C">
        <w:rPr>
          <w:b/>
          <w:bCs/>
        </w:rPr>
        <w:t xml:space="preserve">J </w:t>
      </w:r>
      <w:proofErr w:type="spellStart"/>
      <w:r w:rsidRPr="00DD2C6C">
        <w:rPr>
          <w:b/>
          <w:bCs/>
        </w:rPr>
        <w:t>Clin</w:t>
      </w:r>
      <w:proofErr w:type="spellEnd"/>
      <w:r w:rsidRPr="00DD2C6C">
        <w:rPr>
          <w:b/>
          <w:bCs/>
        </w:rPr>
        <w:t xml:space="preserve"> Invest.</w:t>
      </w:r>
      <w:r w:rsidRPr="00DD2C6C">
        <w:t xml:space="preserve"> 126(6):2572–2586 (2016). DOI:10.1172/JCI86114.</w:t>
      </w:r>
    </w:p>
    <w:p w14:paraId="08246E1E" w14:textId="77777777" w:rsidR="00DD2C6C" w:rsidRPr="00DD2C6C" w:rsidRDefault="00DD2C6C" w:rsidP="00DD2C6C">
      <w:pPr>
        <w:numPr>
          <w:ilvl w:val="0"/>
          <w:numId w:val="1"/>
        </w:numPr>
      </w:pPr>
      <w:r w:rsidRPr="00DD2C6C">
        <w:rPr>
          <w:lang w:val="en-US"/>
        </w:rPr>
        <w:t xml:space="preserve">Liu J, Wang C, et al. </w:t>
      </w:r>
      <w:r w:rsidRPr="00DD2C6C">
        <w:rPr>
          <w:i/>
          <w:iCs/>
          <w:lang w:val="en-US"/>
        </w:rPr>
        <w:t>TGF-</w:t>
      </w:r>
      <w:r w:rsidRPr="00DD2C6C">
        <w:rPr>
          <w:i/>
          <w:iCs/>
        </w:rPr>
        <w:t>β</w:t>
      </w:r>
      <w:r w:rsidRPr="00DD2C6C">
        <w:rPr>
          <w:i/>
          <w:iCs/>
          <w:lang w:val="en-US"/>
        </w:rPr>
        <w:t xml:space="preserve"> in tumor development and progression: mechanisms and therapeutics</w:t>
      </w:r>
      <w:r w:rsidRPr="00DD2C6C">
        <w:rPr>
          <w:lang w:val="en-US"/>
        </w:rPr>
        <w:t xml:space="preserve">. </w:t>
      </w:r>
      <w:proofErr w:type="spellStart"/>
      <w:r w:rsidRPr="00DD2C6C">
        <w:rPr>
          <w:b/>
          <w:bCs/>
        </w:rPr>
        <w:t>Molecular</w:t>
      </w:r>
      <w:proofErr w:type="spellEnd"/>
      <w:r w:rsidRPr="00DD2C6C">
        <w:rPr>
          <w:b/>
          <w:bCs/>
        </w:rPr>
        <w:t xml:space="preserve"> </w:t>
      </w:r>
      <w:proofErr w:type="spellStart"/>
      <w:r w:rsidRPr="00DD2C6C">
        <w:rPr>
          <w:b/>
          <w:bCs/>
        </w:rPr>
        <w:t>Biomedicine</w:t>
      </w:r>
      <w:proofErr w:type="spellEnd"/>
      <w:r w:rsidRPr="00DD2C6C">
        <w:t xml:space="preserve"> 7:9 (2026). DOI:10.1186/s43556-026-00403-w.</w:t>
      </w:r>
    </w:p>
    <w:p w14:paraId="78A13914" w14:textId="77777777" w:rsidR="00DD2C6C" w:rsidRPr="00DD2C6C" w:rsidRDefault="00DD2C6C" w:rsidP="00DD2C6C">
      <w:pPr>
        <w:numPr>
          <w:ilvl w:val="0"/>
          <w:numId w:val="1"/>
        </w:numPr>
      </w:pPr>
      <w:r w:rsidRPr="00DD2C6C">
        <w:rPr>
          <w:lang w:val="en-US"/>
        </w:rPr>
        <w:t xml:space="preserve">Santolla MF, </w:t>
      </w:r>
      <w:proofErr w:type="spellStart"/>
      <w:r w:rsidRPr="00DD2C6C">
        <w:rPr>
          <w:lang w:val="en-US"/>
        </w:rPr>
        <w:t>Maggiolini</w:t>
      </w:r>
      <w:proofErr w:type="spellEnd"/>
      <w:r w:rsidRPr="00DD2C6C">
        <w:rPr>
          <w:lang w:val="en-US"/>
        </w:rPr>
        <w:t xml:space="preserve"> M. </w:t>
      </w:r>
      <w:r w:rsidRPr="00DD2C6C">
        <w:rPr>
          <w:i/>
          <w:iCs/>
          <w:lang w:val="en-US"/>
        </w:rPr>
        <w:t>The FGF/FGFR System in Breast Cancer: Oncogenic Features and Therapeutic Perspectives</w:t>
      </w:r>
      <w:r w:rsidRPr="00DD2C6C">
        <w:rPr>
          <w:lang w:val="en-US"/>
        </w:rPr>
        <w:t xml:space="preserve">. </w:t>
      </w:r>
      <w:proofErr w:type="spellStart"/>
      <w:r w:rsidRPr="00DD2C6C">
        <w:rPr>
          <w:b/>
          <w:bCs/>
        </w:rPr>
        <w:t>Cancers</w:t>
      </w:r>
      <w:proofErr w:type="spellEnd"/>
      <w:r w:rsidRPr="00DD2C6C">
        <w:rPr>
          <w:b/>
          <w:bCs/>
        </w:rPr>
        <w:t xml:space="preserve"> (</w:t>
      </w:r>
      <w:proofErr w:type="spellStart"/>
      <w:r w:rsidRPr="00DD2C6C">
        <w:rPr>
          <w:b/>
          <w:bCs/>
        </w:rPr>
        <w:t>Basel</w:t>
      </w:r>
      <w:proofErr w:type="spellEnd"/>
      <w:r w:rsidRPr="00DD2C6C">
        <w:rPr>
          <w:b/>
          <w:bCs/>
        </w:rPr>
        <w:t>)</w:t>
      </w:r>
      <w:r w:rsidRPr="00DD2C6C">
        <w:t xml:space="preserve"> 12(10):3029 (2020). DOI:10.3390/cancers12103029.</w:t>
      </w:r>
    </w:p>
    <w:p w14:paraId="5C17BFB5" w14:textId="77777777" w:rsidR="00DD2C6C" w:rsidRPr="00DD2C6C" w:rsidRDefault="00DD2C6C" w:rsidP="00DD2C6C">
      <w:pPr>
        <w:numPr>
          <w:ilvl w:val="0"/>
          <w:numId w:val="1"/>
        </w:numPr>
      </w:pPr>
      <w:r w:rsidRPr="00DD2C6C">
        <w:rPr>
          <w:lang w:val="en-US"/>
        </w:rPr>
        <w:lastRenderedPageBreak/>
        <w:t xml:space="preserve">Harrington WR, Sengupta S, et al. </w:t>
      </w:r>
      <w:r w:rsidRPr="00DD2C6C">
        <w:rPr>
          <w:i/>
          <w:iCs/>
          <w:lang w:val="en-US"/>
        </w:rPr>
        <w:t>Estrogen Regulation of the Glucuronidation Enzyme UGT2B15 in Estrogen Receptor-Positive Breast Cancer Cells</w:t>
      </w:r>
      <w:r w:rsidRPr="00DD2C6C">
        <w:rPr>
          <w:lang w:val="en-US"/>
        </w:rPr>
        <w:t xml:space="preserve">. </w:t>
      </w:r>
      <w:proofErr w:type="spellStart"/>
      <w:r w:rsidRPr="00DD2C6C">
        <w:rPr>
          <w:b/>
          <w:bCs/>
        </w:rPr>
        <w:t>Endocrinology</w:t>
      </w:r>
      <w:proofErr w:type="spellEnd"/>
      <w:r w:rsidRPr="00DD2C6C">
        <w:t xml:space="preserve"> 147(8):3843–3850 (2006). DOI:10.1210/en.2006-0358.</w:t>
      </w:r>
    </w:p>
    <w:p w14:paraId="16225DF2" w14:textId="77777777" w:rsidR="00DD2C6C" w:rsidRPr="00DD2C6C" w:rsidRDefault="00DD2C6C" w:rsidP="00DD2C6C">
      <w:pPr>
        <w:numPr>
          <w:ilvl w:val="0"/>
          <w:numId w:val="1"/>
        </w:numPr>
      </w:pPr>
      <w:r w:rsidRPr="00DD2C6C">
        <w:rPr>
          <w:lang w:val="en-US"/>
        </w:rPr>
        <w:t xml:space="preserve">Gopalakrishnan S, Patel D, Shah M, Relan S. </w:t>
      </w:r>
      <w:r w:rsidRPr="00DD2C6C">
        <w:rPr>
          <w:i/>
          <w:iCs/>
          <w:lang w:val="en-US"/>
        </w:rPr>
        <w:t>A Review of ARID1A’s Role in Breast Cancer Progression: Context-Dependent Mechanisms and Therapeutic Implications</w:t>
      </w:r>
      <w:r w:rsidRPr="00DD2C6C">
        <w:rPr>
          <w:lang w:val="en-US"/>
        </w:rPr>
        <w:t xml:space="preserve">. </w:t>
      </w:r>
      <w:proofErr w:type="spellStart"/>
      <w:r w:rsidRPr="00DD2C6C">
        <w:rPr>
          <w:b/>
          <w:bCs/>
        </w:rPr>
        <w:t>Cancers</w:t>
      </w:r>
      <w:proofErr w:type="spellEnd"/>
      <w:r w:rsidRPr="00DD2C6C">
        <w:rPr>
          <w:b/>
          <w:bCs/>
        </w:rPr>
        <w:t xml:space="preserve"> (</w:t>
      </w:r>
      <w:proofErr w:type="spellStart"/>
      <w:r w:rsidRPr="00DD2C6C">
        <w:rPr>
          <w:b/>
          <w:bCs/>
        </w:rPr>
        <w:t>Basel</w:t>
      </w:r>
      <w:proofErr w:type="spellEnd"/>
      <w:r w:rsidRPr="00DD2C6C">
        <w:rPr>
          <w:b/>
          <w:bCs/>
        </w:rPr>
        <w:t>)</w:t>
      </w:r>
      <w:r w:rsidRPr="00DD2C6C">
        <w:t xml:space="preserve"> 18(1):142 (2026). DOI:10.3390/cancers18010142.</w:t>
      </w:r>
    </w:p>
    <w:p w14:paraId="3F7AC290" w14:textId="77777777" w:rsidR="00DD2C6C" w:rsidRPr="00DD2C6C" w:rsidRDefault="00DD2C6C" w:rsidP="00DD2C6C">
      <w:pPr>
        <w:numPr>
          <w:ilvl w:val="0"/>
          <w:numId w:val="1"/>
        </w:numPr>
      </w:pPr>
      <w:r w:rsidRPr="00DD2C6C">
        <w:rPr>
          <w:lang w:val="en-US"/>
        </w:rPr>
        <w:t xml:space="preserve">Jiang X, Xiang W, Wang X, et al. </w:t>
      </w:r>
      <w:r w:rsidRPr="00DD2C6C">
        <w:rPr>
          <w:i/>
          <w:iCs/>
          <w:lang w:val="en-US"/>
        </w:rPr>
        <w:t>Tumor Suppressor FBXW7 and Its Regulation of DNA Damage Response and Repair</w:t>
      </w:r>
      <w:r w:rsidRPr="00DD2C6C">
        <w:rPr>
          <w:lang w:val="en-US"/>
        </w:rPr>
        <w:t xml:space="preserve">. </w:t>
      </w:r>
      <w:r w:rsidRPr="00DD2C6C">
        <w:rPr>
          <w:b/>
          <w:bCs/>
        </w:rPr>
        <w:t xml:space="preserve">Front. Cell </w:t>
      </w:r>
      <w:proofErr w:type="spellStart"/>
      <w:r w:rsidRPr="00DD2C6C">
        <w:rPr>
          <w:b/>
          <w:bCs/>
        </w:rPr>
        <w:t>Dev</w:t>
      </w:r>
      <w:proofErr w:type="spellEnd"/>
      <w:r w:rsidRPr="00DD2C6C">
        <w:rPr>
          <w:b/>
          <w:bCs/>
        </w:rPr>
        <w:t>. Biol.</w:t>
      </w:r>
      <w:r w:rsidRPr="00DD2C6C">
        <w:t xml:space="preserve"> 9:751574 (2021). DOI:10.3389/fcell.2021.751574</w:t>
      </w:r>
    </w:p>
    <w:p w14:paraId="70D0F55E" w14:textId="77777777" w:rsidR="00B11D14" w:rsidRDefault="00B11D14"/>
    <w:sectPr w:rsidR="00B11D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446FD"/>
    <w:multiLevelType w:val="multilevel"/>
    <w:tmpl w:val="540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5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6C"/>
    <w:rsid w:val="00250594"/>
    <w:rsid w:val="00285AFA"/>
    <w:rsid w:val="00B11D14"/>
    <w:rsid w:val="00DD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625ED"/>
  <w15:chartTrackingRefBased/>
  <w15:docId w15:val="{BF68E758-B3D3-4E50-82EF-EB3137F7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D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D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D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D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D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D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D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D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D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D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D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D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D2C6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D2C6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D2C6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D2C6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D2C6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D2C6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D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D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D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D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D2C6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D2C6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D2C6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D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D2C6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D2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1078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 Stola</dc:creator>
  <cp:keywords/>
  <dc:description/>
  <cp:lastModifiedBy>Bartłomiej  Stola</cp:lastModifiedBy>
  <cp:revision>1</cp:revision>
  <cp:lastPrinted>2026-05-29T17:04:00Z</cp:lastPrinted>
  <dcterms:created xsi:type="dcterms:W3CDTF">2026-05-29T17:01:00Z</dcterms:created>
  <dcterms:modified xsi:type="dcterms:W3CDTF">2026-05-29T17:04:00Z</dcterms:modified>
</cp:coreProperties>
</file>