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rPr>
        <w:t>MAKERERE UNIVERSITY</w:t>
      </w:r>
    </w:p>
    <w:p>
      <w:pPr>
        <w:pStyle w:val="Normal"/>
        <w:jc w:val="center"/>
        <w:rPr/>
      </w:pPr>
      <w:r>
        <w:rPr/>
        <w:t>College of Computing and Information Sciences</w:t>
      </w:r>
    </w:p>
    <w:p>
      <w:pPr>
        <w:pStyle w:val="Normal"/>
        <w:jc w:val="center"/>
        <w:rPr/>
      </w:pPr>
      <w:r>
        <w:rPr/>
        <w:t>BSE4104 Emerging Trends in Software Engineering</w:t>
      </w:r>
    </w:p>
    <w:p>
      <w:pPr>
        <w:pStyle w:val="Normal"/>
        <w:rPr/>
      </w:pPr>
      <w:r>
        <w:rPr/>
      </w:r>
    </w:p>
    <w:p>
      <w:pPr>
        <w:pStyle w:val="Normal"/>
        <w:jc w:val="center"/>
        <w:rPr/>
      </w:pPr>
      <w:r>
        <w:rPr>
          <w:b/>
          <w:sz w:val="40"/>
        </w:rPr>
        <w:t>UniFlow: An AI-Native QA Agent for a University Academic Management System</w:t>
      </w:r>
    </w:p>
    <w:p>
      <w:pPr>
        <w:pStyle w:val="Normal"/>
        <w:jc w:val="center"/>
        <w:rPr/>
      </w:pPr>
      <w:r>
        <w:rPr>
          <w:b/>
          <w:sz w:val="28"/>
        </w:rPr>
        <w:t>Final Engineering Report</w:t>
      </w:r>
    </w:p>
    <w:p>
      <w:pPr>
        <w:pStyle w:val="Normal"/>
        <w:jc w:val="center"/>
        <w:rPr/>
      </w:pPr>
      <w:r>
        <w:rPr/>
        <w:t>8-Week AI-Native and Agentic Engineering Capstone | Release v1.0.0</w:t>
      </w:r>
    </w:p>
    <w:p>
      <w:pPr>
        <w:pStyle w:val="Normal"/>
        <w:rPr/>
      </w:pPr>
      <w:r>
        <w:rPr/>
      </w:r>
    </w:p>
    <w:p>
      <w:pPr>
        <w:pStyle w:val="Normal"/>
        <w:jc w:val="center"/>
        <w:rPr/>
      </w:pPr>
      <w:r>
        <w:rPr>
          <w:b/>
        </w:rPr>
        <w:t>Group I</w:t>
      </w:r>
    </w:p>
    <w:p>
      <w:pPr>
        <w:pStyle w:val="Normal"/>
        <w:jc w:val="center"/>
        <w:rPr/>
      </w:pPr>
      <w:r>
        <w:rPr/>
        <w:t>Yohana Mahamat Abdelrassoul, 23/X/23048/PS (Project/Requirements Lead)</w:t>
      </w:r>
    </w:p>
    <w:p>
      <w:pPr>
        <w:pStyle w:val="Normal"/>
        <w:jc w:val="center"/>
        <w:rPr/>
      </w:pPr>
      <w:r>
        <w:rPr/>
        <w:t>Swale Sebabe Abdu, 23/U/23779 (AI/Agent Lead)</w:t>
      </w:r>
    </w:p>
    <w:p>
      <w:pPr>
        <w:pStyle w:val="Normal"/>
        <w:jc w:val="center"/>
        <w:rPr/>
      </w:pPr>
      <w:r>
        <w:rPr/>
        <w:t>Okello Emmanuel Odongo, 23/U/16626/PS (Backend/System Lead)</w:t>
      </w:r>
    </w:p>
    <w:p>
      <w:pPr>
        <w:pStyle w:val="Normal"/>
        <w:jc w:val="center"/>
        <w:rPr/>
      </w:pPr>
      <w:r>
        <w:rPr/>
        <w:t>Ainebyona Alvin Police, 23/U/05289/EVE (QA/Testing and Documentation Lead)</w:t>
      </w:r>
    </w:p>
    <w:p>
      <w:pPr>
        <w:pStyle w:val="Normal"/>
        <w:rPr/>
      </w:pPr>
      <w:r>
        <w:rPr/>
      </w:r>
    </w:p>
    <w:p>
      <w:pPr>
        <w:pStyle w:val="Normal"/>
        <w:jc w:val="center"/>
        <w:rPr/>
      </w:pPr>
      <w:r>
        <w:rPr/>
        <w:t>Course Convener: Dr Kamulegeya Grace B (PhD)</w:t>
      </w:r>
    </w:p>
    <w:p>
      <w:pPr>
        <w:pStyle w:val="Normal"/>
        <w:jc w:val="center"/>
        <w:rPr/>
      </w:pPr>
      <w:r>
        <w:rPr/>
        <w:t>October 2026</w:t>
      </w:r>
    </w:p>
    <w:p>
      <w:pPr>
        <w:pStyle w:val="Normal"/>
        <w:jc w:val="center"/>
        <w:rPr/>
      </w:pPr>
      <w:r>
        <w:rPr/>
        <w:t>Repository: https://github.com/BSSE-FINAL-YEAR/UniFlow (tag v1.0.0)</w:t>
      </w:r>
    </w:p>
    <w:p>
      <w:pPr>
        <w:pStyle w:val="Normal"/>
        <w:rPr/>
      </w:pPr>
      <w:r>
        <w:rPr/>
      </w:r>
      <w:r>
        <w:br w:type="page"/>
      </w:r>
    </w:p>
    <w:p>
      <w:pPr>
        <w:pStyle w:val="Heading1"/>
        <w:spacing w:before="0" w:after="0"/>
        <w:rPr/>
      </w:pPr>
      <w:r>
        <w:rPr/>
        <w:t>1. Executive Summary</w:t>
      </w:r>
    </w:p>
    <w:p>
      <w:pPr>
        <w:pStyle w:val="Normal"/>
        <w:rPr/>
      </w:pPr>
      <w:r>
        <w:rPr/>
        <w:t>Quality assurance of university academic-management software is slow and tends to miss edge and failure cases: duplicate student numbers, invalid study-mode combinations, prerequisite violations, excessive course loads and timetable conflicts. UniFlow is a bounded, AI-native QA agent for a QA engineer testing a simulated academic-management system covering three workflows: student registration, course registration and timetable generation.</w:t>
      </w:r>
    </w:p>
    <w:p>
      <w:pPr>
        <w:pStyle w:val="Normal"/>
        <w:rPr/>
      </w:pPr>
      <w:r>
        <w:rPr/>
        <w:t>The agent answers questions only from a controlled, cited knowledge base of 27 documents; checks course-load requests with a deterministic rule function; drafts defect reports that a human must review; remembers which violations already have a defect so it does not file duplicates; and refuses requests outside its AI Boundary Matrix, such as approving defects, changing records or revealing secrets. Deterministic code, not the model, enforces every rule, permission and limit.</w:t>
      </w:r>
    </w:p>
    <w:p>
      <w:pPr>
        <w:pStyle w:val="Normal"/>
        <w:rPr/>
      </w:pPr>
      <w:r>
        <w:rPr/>
        <w:t>Major result. On a final evaluation of 33 live scenarios (normal, edge, incorrect-information, adversarial, tool-failure and unauthorized-action), the first run scored 23 PASS, 4 PARTIAL and 6 FAIL. After fixing the seven genuine failures it exposed, the re-test scored 32 PASS, 1 PARTIAL and 0 FAIL, with 9 cases fixed, no regressions and no safety violations in either run.</w:t>
      </w:r>
    </w:p>
    <w:p>
      <w:pPr>
        <w:pStyle w:val="Normal"/>
        <w:rPr/>
      </w:pPr>
      <w:r>
        <w:rPr/>
        <w:t>Principal limitation. Retrieval is exact-word BM25, so ordinary questions can still miss a relevant document; the fix applied guarantees that the two policy documents deciding refusals are always in context, but does not improve search itself. Each evaluation version was run once, so stability across repeated runs is not yet established.</w:t>
      </w:r>
    </w:p>
    <w:p>
      <w:pPr>
        <w:pStyle w:val="Heading1"/>
        <w:rPr/>
      </w:pPr>
      <w:r>
        <w:rPr/>
        <w:t>2. Problem Context and Requirements</w:t>
      </w:r>
    </w:p>
    <w:p>
      <w:pPr>
        <w:pStyle w:val="Heading2"/>
        <w:rPr/>
      </w:pPr>
      <w:r>
        <w:rPr/>
        <w:t>2.1 Workflow and users</w:t>
      </w:r>
    </w:p>
    <w:p>
      <w:pPr>
        <w:pStyle w:val="Normal"/>
        <w:rPr/>
      </w:pPr>
      <w:r>
        <w:rPr/>
        <w:t>The System Under Test simulates two colleges: the College of Computing and Information Sciences (BSc Software Engineering, BSc Computer Science, BSc Information Systems Technology) and the College of Engineering, Art and Design (four BSc programmes). All data is synthetic and team-created; no real student data is used anywhere. The primary user is a QA engineer; the agent supports them by answering rule questions with citations, checking requests against the rules, and drafting defect reports for human review.</w:t>
      </w:r>
    </w:p>
    <w:p>
      <w:pPr>
        <w:pStyle w:val="Heading2"/>
        <w:rPr/>
      </w:pPr>
      <w:r>
        <w:rPr/>
        <w:t>2.2 Requirements and acceptance criteria</w:t>
      </w:r>
    </w:p>
    <w:p>
      <w:pPr>
        <w:pStyle w:val="Normal"/>
        <w:rPr/>
      </w:pPr>
      <w:r>
        <w:rPr/>
        <w:t>Ten user stories with acceptance criteria (US-01 to US-10) define the testable scope, for example US-04 (study-mode eligibility), US-07 (prerequisites), US-08 (maximum course load) and US-10 (timetable constraints). Nine numbered rules (R-01 to R-09) are tagged by provenance: source-derived rules came from the team's supplied documentation, while UniFlow Business Rules were introduced by the team, for example R-04: maximum course load of 6 units in Years 1 and 2, 5 in Year 3 and 4 in Year 4. The tag is preserved through every stage so any answer can be traced to where its rule came from.</w:t>
      </w:r>
    </w:p>
    <w:p>
      <w:pPr>
        <w:pStyle w:val="Heading2"/>
        <w:rPr/>
      </w:pPr>
      <w:r>
        <w:rPr/>
        <w:t>2.3 AI Boundary Matrix</w:t>
      </w:r>
    </w:p>
    <w:tbl>
      <w:tblPr>
        <w:tblStyle w:val="TableGrid"/>
        <w:tblW w:w="8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736"/>
        <w:gridCol w:w="1871"/>
        <w:gridCol w:w="2305"/>
        <w:gridCol w:w="1728"/>
      </w:tblGrid>
      <w:tr>
        <w:trPr/>
        <w:tc>
          <w:tcPr>
            <w:tcW w:w="2736"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9"/>
                <w:szCs w:val="22"/>
                <w:lang w:val="en-US" w:eastAsia="en-US" w:bidi="ar-SA"/>
              </w:rPr>
              <w:t>Activity</w:t>
            </w:r>
          </w:p>
        </w:tc>
        <w:tc>
          <w:tcPr>
            <w:tcW w:w="1871"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9"/>
                <w:szCs w:val="22"/>
                <w:lang w:val="en-US" w:eastAsia="en-US" w:bidi="ar-SA"/>
              </w:rPr>
              <w:t>QA Agent</w:t>
            </w:r>
          </w:p>
        </w:tc>
        <w:tc>
          <w:tcPr>
            <w:tcW w:w="2305"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9"/>
                <w:szCs w:val="22"/>
                <w:lang w:val="en-US" w:eastAsia="en-US" w:bidi="ar-SA"/>
              </w:rPr>
              <w:t>Deterministic system</w:t>
            </w:r>
          </w:p>
        </w:tc>
        <w:tc>
          <w:tcPr>
            <w:tcW w:w="1728"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9"/>
                <w:szCs w:val="22"/>
                <w:lang w:val="en-US" w:eastAsia="en-US" w:bidi="ar-SA"/>
              </w:rPr>
              <w:t>Human</w:t>
            </w:r>
          </w:p>
        </w:tc>
      </w:tr>
      <w:tr>
        <w:trPr/>
        <w:tc>
          <w:tcPr>
            <w:tcW w:w="273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Retrieve requirements, answer questions</w:t>
            </w:r>
          </w:p>
        </w:tc>
        <w:tc>
          <w:tcPr>
            <w:tcW w:w="1871"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Allowed, cited</w:t>
            </w:r>
          </w:p>
        </w:tc>
        <w:tc>
          <w:tcPr>
            <w:tcW w:w="230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Corpus and retrieval</w:t>
            </w:r>
          </w:p>
        </w:tc>
        <w:tc>
          <w:tcPr>
            <w:tcW w:w="1728"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Reviews answers</w:t>
            </w:r>
          </w:p>
        </w:tc>
      </w:tr>
      <w:tr>
        <w:trPr/>
        <w:tc>
          <w:tcPr>
            <w:tcW w:w="273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Check a rule (e.g. course load)</w:t>
            </w:r>
          </w:p>
        </w:tc>
        <w:tc>
          <w:tcPr>
            <w:tcW w:w="1871"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Analysis only</w:t>
            </w:r>
          </w:p>
        </w:tc>
        <w:tc>
          <w:tcPr>
            <w:tcW w:w="230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rules.py enforces R-04</w:t>
            </w:r>
          </w:p>
        </w:tc>
        <w:tc>
          <w:tcPr>
            <w:tcW w:w="1728"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w:t>
            </w:r>
          </w:p>
        </w:tc>
      </w:tr>
      <w:tr>
        <w:trPr/>
        <w:tc>
          <w:tcPr>
            <w:tcW w:w="273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Draft a defect report</w:t>
            </w:r>
          </w:p>
        </w:tc>
        <w:tc>
          <w:tcPr>
            <w:tcW w:w="1871"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Allowed, pending_review only</w:t>
            </w:r>
          </w:p>
        </w:tc>
        <w:tc>
          <w:tcPr>
            <w:tcW w:w="230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Schema and authorization checks</w:t>
            </w:r>
          </w:p>
        </w:tc>
        <w:tc>
          <w:tcPr>
            <w:tcW w:w="1728"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Approves or rejects</w:t>
            </w:r>
          </w:p>
        </w:tc>
      </w:tr>
      <w:tr>
        <w:trPr/>
        <w:tc>
          <w:tcPr>
            <w:tcW w:w="273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Approve defects, modify records, delete data, deploy, merge, access secrets</w:t>
            </w:r>
          </w:p>
        </w:tc>
        <w:tc>
          <w:tcPr>
            <w:tcW w:w="1871"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Not allowed</w:t>
            </w:r>
          </w:p>
        </w:tc>
        <w:tc>
          <w:tcPr>
            <w:tcW w:w="230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Allow-list and dispatch block it</w:t>
            </w:r>
          </w:p>
        </w:tc>
        <w:tc>
          <w:tcPr>
            <w:tcW w:w="1728"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Only humans, outside the agent</w:t>
            </w:r>
          </w:p>
        </w:tc>
      </w:tr>
    </w:tbl>
    <w:p>
      <w:pPr>
        <w:pStyle w:val="Normal"/>
        <w:spacing w:before="0" w:after="40"/>
        <w:rPr/>
      </w:pPr>
      <w:r>
        <w:rPr/>
      </w:r>
    </w:p>
    <w:p>
      <w:pPr>
        <w:pStyle w:val="Normal"/>
        <w:jc w:val="center"/>
        <w:rPr/>
      </w:pPr>
      <w:r>
        <w:rPr>
          <w:i/>
          <w:sz w:val="19"/>
        </w:rPr>
        <w:t>Table 1. AI Boundary Matrix (summary of the Week 1 matrix)</w:t>
      </w:r>
    </w:p>
    <w:p>
      <w:pPr>
        <w:pStyle w:val="Heading2"/>
        <w:rPr/>
      </w:pPr>
      <w:r>
        <w:rPr/>
        <w:t>2.4 Success measures</w:t>
      </w:r>
    </w:p>
    <w:p>
      <w:pPr>
        <w:pStyle w:val="Normal"/>
        <w:rPr/>
      </w:pPr>
      <w:r>
        <w:rPr/>
        <w:t>The Week 1 charter set the targets this report is measured against: a foundation model integrated with versioned prompts; source-grounded answers with unsupported-answer handling; at least two explicit tools with bounded execution and human hand-off; state, memory, traces, permissions and limits; and evaluation against at least 30 scenarios. Section 10 reports each against its evidence.</w:t>
      </w:r>
    </w:p>
    <w:p>
      <w:pPr>
        <w:pStyle w:val="Heading1"/>
        <w:rPr/>
      </w:pPr>
      <w:r>
        <w:rPr/>
        <w:t>3. System Architecture</w:t>
      </w:r>
    </w:p>
    <w:p>
      <w:pPr>
        <w:pStyle w:val="Normal"/>
        <w:rPr/>
      </w:pPr>
      <w:r>
        <w:rPr/>
        <w:t>UniFlow is a single Python application with two model-backed pipelines over a deterministic core. The guiding principle, set in Week 1, is that the model plans and explains while deterministic code enforces: no rule, permission or limit depends on the model behaving.</w:t>
      </w:r>
    </w:p>
    <w:p>
      <w:pPr>
        <w:pStyle w:val="Normal"/>
        <w:jc w:val="center"/>
        <w:rPr/>
      </w:pPr>
      <w:r>
        <w:rPr/>
        <w:drawing>
          <wp:inline distT="0" distB="0" distL="0" distR="0">
            <wp:extent cx="5760720" cy="1537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60720" cy="1537970"/>
                    </a:xfrm>
                    <a:prstGeom prst="rect">
                      <a:avLst/>
                    </a:prstGeom>
                    <a:noFill/>
                  </pic:spPr>
                </pic:pic>
              </a:graphicData>
            </a:graphic>
          </wp:inline>
        </w:drawing>
      </w:r>
    </w:p>
    <w:p>
      <w:pPr>
        <w:pStyle w:val="Normal"/>
        <w:jc w:val="center"/>
        <w:rPr/>
      </w:pPr>
      <w:r>
        <w:rPr>
          <w:i/>
          <w:sz w:val="20"/>
        </w:rPr>
        <w:t>Figure 1. System architecture: guardrails, RAG and agent/tool pipelines over the model client, deterministic rules, memory and observability, with human-only approval outside the agent.</w:t>
      </w:r>
    </w:p>
    <w:tbl>
      <w:tblPr>
        <w:tblStyle w:val="TableGrid"/>
        <w:tblW w:w="921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016"/>
        <w:gridCol w:w="4896"/>
        <w:gridCol w:w="2304"/>
      </w:tblGrid>
      <w:tr>
        <w:trPr/>
        <w:tc>
          <w:tcPr>
            <w:tcW w:w="2016"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8"/>
                <w:szCs w:val="22"/>
                <w:lang w:val="en-US" w:eastAsia="en-US" w:bidi="ar-SA"/>
              </w:rPr>
              <w:t>Component</w:t>
            </w:r>
          </w:p>
        </w:tc>
        <w:tc>
          <w:tcPr>
            <w:tcW w:w="4896"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8"/>
                <w:szCs w:val="22"/>
                <w:lang w:val="en-US" w:eastAsia="en-US" w:bidi="ar-SA"/>
              </w:rPr>
              <w:t>Responsibility</w:t>
            </w:r>
          </w:p>
        </w:tc>
        <w:tc>
          <w:tcPr>
            <w:tcW w:w="2304"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8"/>
                <w:szCs w:val="22"/>
                <w:lang w:val="en-US" w:eastAsia="en-US" w:bidi="ar-SA"/>
              </w:rPr>
              <w:t>Files</w:t>
            </w:r>
          </w:p>
        </w:tc>
      </w:tr>
      <w:tr>
        <w:trPr/>
        <w:tc>
          <w:tcPr>
            <w:tcW w:w="201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Model client</w:t>
            </w:r>
          </w:p>
        </w:tc>
        <w:tc>
          <w:tcPr>
            <w:tcW w:w="489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One entry point to Groq or Gemini; timeout, retry honouring provider delays, provider switch by env var</w:t>
            </w:r>
          </w:p>
        </w:tc>
        <w:tc>
          <w:tcPr>
            <w:tcW w:w="230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src/llm_client.py</w:t>
            </w:r>
          </w:p>
        </w:tc>
      </w:tr>
      <w:tr>
        <w:trPr/>
        <w:tc>
          <w:tcPr>
            <w:tcW w:w="201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RAG pipeline</w:t>
            </w:r>
          </w:p>
        </w:tc>
        <w:tc>
          <w:tcPr>
            <w:tcW w:w="489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Retrieve top-k chunks, always include two policy documents, answer with doc_id citations</w:t>
            </w:r>
          </w:p>
        </w:tc>
        <w:tc>
          <w:tcPr>
            <w:tcW w:w="230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src/rag/, src/rag_baseline.py</w:t>
            </w:r>
          </w:p>
        </w:tc>
      </w:tr>
      <w:tr>
        <w:trPr/>
        <w:tc>
          <w:tcPr>
            <w:tcW w:w="201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Agent loop</w:t>
            </w:r>
          </w:p>
        </w:tc>
        <w:tc>
          <w:tcPr>
            <w:tcW w:w="489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Sense, Plan, Act, Observe, Stop; at most 3 tool rounds; explicit SessionState</w:t>
            </w:r>
          </w:p>
        </w:tc>
        <w:tc>
          <w:tcPr>
            <w:tcW w:w="230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src/tool_baseline.py</w:t>
            </w:r>
          </w:p>
        </w:tc>
      </w:tr>
      <w:tr>
        <w:trPr/>
        <w:tc>
          <w:tcPr>
            <w:tcW w:w="201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Tools</w:t>
            </w:r>
          </w:p>
        </w:tc>
        <w:tc>
          <w:tcPr>
            <w:tcW w:w="489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check_course_load (read-only), create_defect_report (draft only), behind an allow-list</w:t>
            </w:r>
          </w:p>
        </w:tc>
        <w:tc>
          <w:tcPr>
            <w:tcW w:w="230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src/tools/</w:t>
            </w:r>
          </w:p>
        </w:tc>
      </w:tr>
      <w:tr>
        <w:trPr/>
        <w:tc>
          <w:tcPr>
            <w:tcW w:w="201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Deterministic rules</w:t>
            </w:r>
          </w:p>
        </w:tc>
        <w:tc>
          <w:tcPr>
            <w:tcW w:w="489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Business rules as pure, tested functions</w:t>
            </w:r>
          </w:p>
        </w:tc>
        <w:tc>
          <w:tcPr>
            <w:tcW w:w="230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src/uniflow_core/rules.py</w:t>
            </w:r>
          </w:p>
        </w:tc>
      </w:tr>
      <w:tr>
        <w:trPr/>
        <w:tc>
          <w:tcPr>
            <w:tcW w:w="201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Memory</w:t>
            </w:r>
          </w:p>
        </w:tc>
        <w:tc>
          <w:tcPr>
            <w:tcW w:w="489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Persistent case history of drafted defects</w:t>
            </w:r>
          </w:p>
        </w:tc>
        <w:tc>
          <w:tcPr>
            <w:tcW w:w="230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src/memory/, data/memory/</w:t>
            </w:r>
          </w:p>
        </w:tc>
      </w:tr>
      <w:tr>
        <w:trPr/>
        <w:tc>
          <w:tcPr>
            <w:tcW w:w="201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Guardrails</w:t>
            </w:r>
          </w:p>
        </w:tc>
        <w:tc>
          <w:tcPr>
            <w:tcW w:w="489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Input validation, injection detection, secret redaction</w:t>
            </w:r>
          </w:p>
        </w:tc>
        <w:tc>
          <w:tcPr>
            <w:tcW w:w="230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src/guardrails.py</w:t>
            </w:r>
          </w:p>
        </w:tc>
      </w:tr>
      <w:tr>
        <w:trPr/>
        <w:tc>
          <w:tcPr>
            <w:tcW w:w="201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Observability</w:t>
            </w:r>
          </w:p>
        </w:tc>
        <w:tc>
          <w:tcPr>
            <w:tcW w:w="489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Trace per run, run log, prompt fingerprints</w:t>
            </w:r>
          </w:p>
        </w:tc>
        <w:tc>
          <w:tcPr>
            <w:tcW w:w="230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src/observability.py, evidence/</w:t>
            </w:r>
          </w:p>
        </w:tc>
      </w:tr>
      <w:tr>
        <w:trPr/>
        <w:tc>
          <w:tcPr>
            <w:tcW w:w="201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Human-only step</w:t>
            </w:r>
          </w:p>
        </w:tc>
        <w:tc>
          <w:tcPr>
            <w:tcW w:w="489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Approve or reject a defect; not reachable by the agent</w:t>
            </w:r>
          </w:p>
        </w:tc>
        <w:tc>
          <w:tcPr>
            <w:tcW w:w="230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scripts/review_defect.py</w:t>
            </w:r>
          </w:p>
        </w:tc>
      </w:tr>
    </w:tbl>
    <w:p>
      <w:pPr>
        <w:pStyle w:val="Normal"/>
        <w:spacing w:before="0" w:after="40"/>
        <w:rPr/>
      </w:pPr>
      <w:r>
        <w:rPr/>
      </w:r>
    </w:p>
    <w:p>
      <w:pPr>
        <w:pStyle w:val="Normal"/>
        <w:jc w:val="center"/>
        <w:rPr/>
      </w:pPr>
      <w:r>
        <w:rPr>
          <w:i/>
          <w:sz w:val="19"/>
        </w:rPr>
        <w:t>Table 2. Main components</w:t>
      </w:r>
    </w:p>
    <w:p>
      <w:pPr>
        <w:pStyle w:val="Normal"/>
        <w:rPr/>
      </w:pPr>
      <w:r>
        <w:rPr/>
        <w:t>Boundaries. The model never calls a function directly: it returns a JSON object, and Python decides whether the requested tool is allowed and its arguments valid before anything runs. The only side effect available to the agent is writing a pending_review defect file. External services are limited to the model provider; no institutional system is connected.</w:t>
      </w:r>
    </w:p>
    <w:p>
      <w:pPr>
        <w:pStyle w:val="Heading1"/>
        <w:rPr/>
      </w:pPr>
      <w:r>
        <w:rPr/>
        <w:t>4. Foundation Model and Prompt Engineering</w:t>
      </w:r>
    </w:p>
    <w:p>
      <w:pPr>
        <w:pStyle w:val="Heading2"/>
        <w:rPr/>
      </w:pPr>
      <w:r>
        <w:rPr/>
        <w:t>4.1 Model choice</w:t>
      </w:r>
    </w:p>
    <w:p>
      <w:pPr>
        <w:pStyle w:val="Normal"/>
        <w:rPr/>
      </w:pPr>
      <w:r>
        <w:rPr/>
        <w:t>Week 2 compared providers on capability, cost, latency and privacy. Gemini was the initial primary, with Groq as the fallback behind a single environment variable (LLM_PROVIDER). Groq's openai/gpt-oss-120b measured a median latency of 1,337 ms (p95 1,543 ms, n = 10). Gemini proved unreliable in practice: quota exhaustion in Week 2, authentication failures in Weeks 4-5, and quota exhaustion again during the Week 7 evaluation, which failed 26 of 33 cases. All final results therefore use Groq openai/gpt-oss-120b, and results from different models are never mixed. Temperature is pinned at 0.2 so runs are comparable, following the course reading on the probabilistic nature of model outputs (Huyen, 2025, pp. 105-111). Privacy is protected by scope: only synthetic data is ever sent to the provider.</w:t>
      </w:r>
    </w:p>
    <w:p>
      <w:pPr>
        <w:pStyle w:val="Heading2"/>
        <w:rPr/>
      </w:pPr>
      <w:r>
        <w:rPr/>
        <w:t>4.2 Prompt architecture and versioning</w:t>
      </w:r>
    </w:p>
    <w:p>
      <w:pPr>
        <w:pStyle w:val="Normal"/>
        <w:rPr/>
      </w:pPr>
      <w:r>
        <w:rPr/>
        <w:t>Every prompt has a six-part specification (role, task, context, constraints, output format, failure behaviour), a strict JSON output contract with distinct failure statuses (insufficient_context, out_of_scope, refused), and a version history in prompts/PROMPT_CHANGELOG.md where every change must name the evaluation case that drove it. Every trace records a fingerprint of the exact prompt text sent, so any result can be tied to the prompt that produced it.</w:t>
      </w:r>
    </w:p>
    <w:p>
      <w:pPr>
        <w:pStyle w:val="Heading2"/>
        <w:rPr/>
      </w:pPr>
      <w:r>
        <w:rPr/>
        <w:t>4.3 Important iterations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160"/>
        <w:gridCol w:w="3167"/>
        <w:gridCol w:w="2016"/>
        <w:gridCol w:w="2017"/>
      </w:tblGrid>
      <w:tr>
        <w:trPr/>
        <w:tc>
          <w:tcPr>
            <w:tcW w:w="2160"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8"/>
                <w:szCs w:val="22"/>
                <w:lang w:val="en-US" w:eastAsia="en-US" w:bidi="ar-SA"/>
              </w:rPr>
              <w:t>Version</w:t>
            </w:r>
          </w:p>
        </w:tc>
        <w:tc>
          <w:tcPr>
            <w:tcW w:w="3167"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8"/>
                <w:szCs w:val="22"/>
                <w:lang w:val="en-US" w:eastAsia="en-US" w:bidi="ar-SA"/>
              </w:rPr>
              <w:t>Change</w:t>
            </w:r>
          </w:p>
        </w:tc>
        <w:tc>
          <w:tcPr>
            <w:tcW w:w="2016"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8"/>
                <w:szCs w:val="22"/>
                <w:lang w:val="en-US" w:eastAsia="en-US" w:bidi="ar-SA"/>
              </w:rPr>
              <w:t>Driven by</w:t>
            </w:r>
          </w:p>
        </w:tc>
        <w:tc>
          <w:tcPr>
            <w:tcW w:w="2017"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8"/>
                <w:szCs w:val="22"/>
                <w:lang w:val="en-US" w:eastAsia="en-US" w:bidi="ar-SA"/>
              </w:rPr>
              <w:t>Effect</w:t>
            </w:r>
          </w:p>
        </w:tc>
      </w:tr>
      <w:tr>
        <w:trPr/>
        <w:tc>
          <w:tcPr>
            <w:tcW w:w="2160"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qa_test_designer v1.1 (Week 2)</w:t>
            </w:r>
          </w:p>
        </w:tc>
        <w:tc>
          <w:tcPr>
            <w:tcW w:w="3167"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Coverage floor; refusal hardening; flag gaps instead of inventing facts</w:t>
            </w:r>
          </w:p>
        </w:tc>
        <w:tc>
          <w:tcPr>
            <w:tcW w:w="201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PE-05, PE-09, PE-10</w:t>
            </w:r>
          </w:p>
        </w:tc>
        <w:tc>
          <w:tcPr>
            <w:tcW w:w="2017"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6/1/3 to 8/2/0 PASS/PARTIAL/FAIL on 10 cases</w:t>
            </w:r>
          </w:p>
        </w:tc>
      </w:tr>
      <w:tr>
        <w:trPr/>
        <w:tc>
          <w:tcPr>
            <w:tcW w:w="2160"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tool_caller (Week 5)</w:t>
            </w:r>
          </w:p>
        </w:tc>
        <w:tc>
          <w:tcPr>
            <w:tcW w:w="3167"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One-line plan in every response; re-plan after each tool result</w:t>
            </w:r>
          </w:p>
        </w:tc>
        <w:tc>
          <w:tcPr>
            <w:tcW w:w="201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Bounded-agent task design</w:t>
            </w:r>
          </w:p>
        </w:tc>
        <w:tc>
          <w:tcPr>
            <w:tcW w:w="2017"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Plan/Decide step inspectable in traces</w:t>
            </w:r>
          </w:p>
        </w:tc>
      </w:tr>
      <w:tr>
        <w:trPr/>
        <w:tc>
          <w:tcPr>
            <w:tcW w:w="2160"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tool_caller v1.1 (Week 7)</w:t>
            </w:r>
          </w:p>
        </w:tc>
        <w:tc>
          <w:tcPr>
            <w:tcW w:w="3167"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Rule-to-story table; refusal defined by the action asked; valid example JSON</w:t>
            </w:r>
          </w:p>
        </w:tc>
        <w:tc>
          <w:tcPr>
            <w:tcW w:w="201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FE-04, FE-10, FE-11, FE-15, FE-20, FE-30, FE-32</w:t>
            </w:r>
          </w:p>
        </w:tc>
        <w:tc>
          <w:tcPr>
            <w:tcW w:w="2017"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All seven cases PASS on re-test</w:t>
            </w:r>
          </w:p>
        </w:tc>
      </w:tr>
      <w:tr>
        <w:trPr/>
        <w:tc>
          <w:tcPr>
            <w:tcW w:w="2160"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rag_qa (Week 7)</w:t>
            </w:r>
          </w:p>
        </w:tc>
        <w:tc>
          <w:tcPr>
            <w:tcW w:w="3167"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Policy documents always in context</w:t>
            </w:r>
          </w:p>
        </w:tc>
        <w:tc>
          <w:tcPr>
            <w:tcW w:w="201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FE-13, FE-31</w:t>
            </w:r>
          </w:p>
        </w:tc>
        <w:tc>
          <w:tcPr>
            <w:tcW w:w="2017"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Both PASS on re-test</w:t>
            </w:r>
          </w:p>
        </w:tc>
      </w:tr>
    </w:tbl>
    <w:p>
      <w:pPr>
        <w:pStyle w:val="Normal"/>
        <w:spacing w:before="0" w:after="40"/>
        <w:rPr/>
      </w:pPr>
      <w:r>
        <w:rPr/>
      </w:r>
    </w:p>
    <w:p>
      <w:pPr>
        <w:pStyle w:val="Normal"/>
        <w:jc w:val="center"/>
        <w:rPr/>
      </w:pPr>
      <w:r>
        <w:rPr>
          <w:i/>
          <w:sz w:val="19"/>
        </w:rPr>
        <w:t>Table 3. Prompt iterations, each linked to the evaluation cases that drove it</w:t>
      </w:r>
    </w:p>
    <w:p>
      <w:pPr>
        <w:pStyle w:val="Normal"/>
        <w:rPr/>
      </w:pPr>
      <w:r>
        <w:rPr/>
        <w:t>One lesson from Week 7: the Week 4 specification said it must stay identical to the running prompt, but Week 5 changed the prompt in code only. A rule with nothing enforcing it drifted; a test now fails if the specification and the running prompt differ.</w:t>
      </w:r>
    </w:p>
    <w:p>
      <w:pPr>
        <w:pStyle w:val="Heading1"/>
        <w:rPr/>
      </w:pPr>
      <w:r>
        <w:rPr/>
        <w:t>5. Context Engineering and RAG</w:t>
      </w:r>
    </w:p>
    <w:p>
      <w:pPr>
        <w:pStyle w:val="Normal"/>
        <w:rPr/>
      </w:pPr>
      <w:r>
        <w:rPr/>
        <w:t>Corpus and provenance. The knowledge base holds 27 documents: rules, user stories, scope and prohibited-action documents, reference data, and four deliberately difficult synthetic documents (two unapproved drafts, an informal FAQ and a calendar note) designed to test whether the agent treats draft content as approved. Every document is registered in docs/corpus_source_register.csv with its origin, provenance tag and status; the ingester refuses to load a document missing from the register, or a register entry with no document.</w:t>
      </w:r>
    </w:p>
    <w:p>
      <w:pPr>
        <w:pStyle w:val="Normal"/>
        <w:rPr/>
      </w:pPr>
      <w:r>
        <w:rPr/>
        <w:t>Chunking, indexing and retrieval. Documents are split into 70-word windows with 20-word overlap and indexed with BM25 (k1 = 1.5, b = 0.75), implemented without external libraries so every team member can explain it. Embeddings were considered and rejected for a small corpus full of exact identifiers such as R-04 and BSE1101. The top four chunks are sent with their doc_id, provenance and status, and the model must list every doc_id it relied on (Huyen, 2025, pp. 253-275).</w:t>
      </w:r>
    </w:p>
    <w:p>
      <w:pPr>
        <w:pStyle w:val="Normal"/>
        <w:rPr/>
      </w:pPr>
      <w:r>
        <w:rPr/>
        <w:t>Source grounding and unsupported answers. Answers must cite retrieved documents; questions the corpus does not cover must return insufficient_context rather than a guess, and draft documents must be flagged rather than presented as approved.</w:t>
      </w:r>
    </w:p>
    <w:p>
      <w:pPr>
        <w:pStyle w:val="Normal"/>
        <w:rPr/>
      </w:pPr>
      <w:r>
        <w:rPr/>
        <w:t>Retrieval failures. The 15-case Week 3 evaluation scored 8 PASS, 2 PARTIAL and 5 FAIL, and its failure analysis found four mechanisms: a verbose distractor outranking the authoritative rule; fixed-size chunks cutting sentences across topics; the model ignoring an explicit instruction in its own retrieved context; and exact-word matching with no stemming (examination did not match examinations). The last reappeared in the Week 7 evaluation, where it hid the scope-exclusion document from an examinations question. The fix, always including the two policy documents, makes refusals independent of retrieval; it costs about 29% more tokens per RAG question.</w:t>
      </w:r>
    </w:p>
    <w:p>
      <w:pPr>
        <w:pStyle w:val="Heading1"/>
        <w:rPr/>
      </w:pPr>
      <w:r>
        <w:rPr/>
        <w:t>6. Tools and Agentic Workflow</w:t>
      </w:r>
    </w:p>
    <w:p>
      <w:pPr>
        <w:pStyle w:val="Heading2"/>
        <w:rPr/>
      </w:pPr>
      <w:r>
        <w:rPr/>
        <w:t>6.1 Tool contracts and permissions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016"/>
        <w:gridCol w:w="2591"/>
        <w:gridCol w:w="1872"/>
        <w:gridCol w:w="2881"/>
      </w:tblGrid>
      <w:tr>
        <w:trPr/>
        <w:tc>
          <w:tcPr>
            <w:tcW w:w="2016"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8"/>
                <w:szCs w:val="22"/>
                <w:lang w:val="en-US" w:eastAsia="en-US" w:bidi="ar-SA"/>
              </w:rPr>
              <w:t>Tool</w:t>
            </w:r>
          </w:p>
        </w:tc>
        <w:tc>
          <w:tcPr>
            <w:tcW w:w="2591"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8"/>
                <w:szCs w:val="22"/>
                <w:lang w:val="en-US" w:eastAsia="en-US" w:bidi="ar-SA"/>
              </w:rPr>
              <w:t>Input</w:t>
            </w:r>
          </w:p>
        </w:tc>
        <w:tc>
          <w:tcPr>
            <w:tcW w:w="1872"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8"/>
                <w:szCs w:val="22"/>
                <w:lang w:val="en-US" w:eastAsia="en-US" w:bidi="ar-SA"/>
              </w:rPr>
              <w:t>Side effect</w:t>
            </w:r>
          </w:p>
        </w:tc>
        <w:tc>
          <w:tcPr>
            <w:tcW w:w="2881"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8"/>
                <w:szCs w:val="22"/>
                <w:lang w:val="en-US" w:eastAsia="en-US" w:bidi="ar-SA"/>
              </w:rPr>
              <w:t>Authorization</w:t>
            </w:r>
          </w:p>
        </w:tc>
      </w:tr>
      <w:tr>
        <w:trPr/>
        <w:tc>
          <w:tcPr>
            <w:tcW w:w="201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check_course_load</w:t>
            </w:r>
          </w:p>
        </w:tc>
        <w:tc>
          <w:tcPr>
            <w:tcW w:w="2591"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year_of_study (1-4), units_requested (&gt;= 0)</w:t>
            </w:r>
          </w:p>
        </w:tc>
        <w:tc>
          <w:tcPr>
            <w:tcW w:w="187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None (read-only)</w:t>
            </w:r>
          </w:p>
        </w:tc>
        <w:tc>
          <w:tcPr>
            <w:tcW w:w="2881"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Always allowed; wraps the tested R-04 function</w:t>
            </w:r>
          </w:p>
        </w:tc>
      </w:tr>
      <w:tr>
        <w:trPr/>
        <w:tc>
          <w:tcPr>
            <w:tcW w:w="2016"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create_defect_report</w:t>
            </w:r>
          </w:p>
        </w:tc>
        <w:tc>
          <w:tcPr>
            <w:tcW w:w="2591"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story_id, rule_id, title, description, severity</w:t>
            </w:r>
          </w:p>
        </w:tc>
        <w:tc>
          <w:tcPr>
            <w:tcW w:w="187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Writes one pending_review file</w:t>
            </w:r>
          </w:p>
        </w:tc>
        <w:tc>
          <w:tcPr>
            <w:tcW w:w="2881"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No status input exists; story must be linked to the rule; never approved by the agent</w:t>
            </w:r>
          </w:p>
        </w:tc>
      </w:tr>
    </w:tbl>
    <w:p>
      <w:pPr>
        <w:pStyle w:val="Normal"/>
        <w:spacing w:before="0" w:after="40"/>
        <w:rPr/>
      </w:pPr>
      <w:r>
        <w:rPr/>
      </w:r>
    </w:p>
    <w:p>
      <w:pPr>
        <w:pStyle w:val="Normal"/>
        <w:jc w:val="center"/>
        <w:rPr/>
      </w:pPr>
      <w:r>
        <w:rPr>
          <w:i/>
          <w:sz w:val="19"/>
        </w:rPr>
        <w:t>Table 4. Tool contracts (full schemas: docs/Week4_Tool_Catalogue.md)</w:t>
      </w:r>
    </w:p>
    <w:p>
      <w:pPr>
        <w:pStyle w:val="Normal"/>
        <w:rPr/>
      </w:pPr>
      <w:r>
        <w:rPr/>
        <w:t>Both tools sit behind an explicit allow-list. Every call is validated before it runs, and failures return a shared error envelope: missing_parameter, invalid_parameter, unauthorized, unavailable or unexpected_response. Approval is deliberately absent from the tool set: a defect's status can only change through scripts/review_defect.py, run by a person. Native provider function-calling was considered and not used, because manual JSON dispatch works identically across providers and keeps one contract format throughout the project (Lanham, 2025, pp. 99-107).</w:t>
      </w:r>
    </w:p>
    <w:p>
      <w:pPr>
        <w:pStyle w:val="Heading2"/>
        <w:rPr/>
      </w:pPr>
      <w:r>
        <w:rPr/>
        <w:t>6.2 Agent goal and loop</w:t>
      </w:r>
    </w:p>
    <w:p>
      <w:pPr>
        <w:pStyle w:val="Normal"/>
        <w:rPr/>
      </w:pPr>
      <w:r>
        <w:rPr/>
        <w:t>The bounded task: given a course-load request, decide whether it violates R-04 and draft a defect only if it does. This genuinely needs a decision: the agent must observe the first tool's result before deciding whether a second call is warranted, because filing a defect against a valid registration would itself be a defect. The loop is Sense (request plus tool results so far), Plan/Decide (model turn with a one-line plan), Act (validated tool call), Observe (result fed back) and Stop (any terminal status) (Huyen, 2025, pp. 281-300).</w:t>
      </w:r>
    </w:p>
    <w:p>
      <w:pPr>
        <w:pStyle w:val="Heading2"/>
        <w:rPr/>
      </w:pPr>
      <w:r>
        <w:rPr/>
        <w:t>6.3 Limits and hand-off</w:t>
      </w:r>
    </w:p>
    <w:p>
      <w:pPr>
        <w:pStyle w:val="Normal"/>
        <w:rPr/>
      </w:pPr>
      <w:r>
        <w:rPr/>
        <w:t>The loop allows at most three tool rounds: enough for check, draft and one correction. A tool request after the budget is intercepted and the run stops with status partial, reporting every result so far. Week 5 found and fixed a real gap here: a tool call on the last round previously fell through to an unbounded extra turn. Stop conditions are ok, partial, insufficient_context, out_of_scope and refused. Anything above pending_review is a human decision.</w:t>
      </w:r>
    </w:p>
    <w:p>
      <w:pPr>
        <w:pStyle w:val="Heading1"/>
        <w:rPr/>
      </w:pPr>
      <w:r>
        <w:rPr/>
        <w:t>7. Memory, State and Interoperability</w:t>
      </w:r>
    </w:p>
    <w:p>
      <w:pPr>
        <w:pStyle w:val="Normal"/>
        <w:rPr/>
      </w:pPr>
      <w:r>
        <w:rPr/>
        <w:t>State model. Each request's workflow state is an explicit SessionState: the request, every model turn and tool call in order, status, and start and end times. It exists for one request only and is discarded after being written to the trace.</w:t>
      </w:r>
    </w:p>
    <w:p>
      <w:pPr>
        <w:pStyle w:val="Normal"/>
        <w:rPr/>
      </w:pPr>
      <w:r>
        <w:rPr/>
        <w:t>Retained memory. One persistent memory was justified: a case history of drafted defects, keyed by rule and story, so a recurring violation does not create duplicate defects for a reviewer. It stores only the rule, story, defect ID, path, first and last seen, and a count: no student data and no free text. Memory never decides whether a rule was broken (the tool does), never hides a finding (the agent is told a duplicate exists), and never changes a status (Huyen, 2025, pp. 300-305).</w:t>
      </w:r>
    </w:p>
    <w:p>
      <w:pPr>
        <w:pStyle w:val="Normal"/>
        <w:rPr/>
      </w:pPr>
      <w:r>
        <w:rPr/>
        <w:t>Privacy and retention. All data is synthetic. An entry lives as long as the defect file it points to; a forget operation deletes it. Evaluation runs use isolated, reset memory so earlier results stay reproducible; Week 6 found that shared memory would otherwise have silently changed a Week 4 evaluation result on re-run.</w:t>
      </w:r>
    </w:p>
    <w:p>
      <w:pPr>
        <w:pStyle w:val="Normal"/>
        <w:rPr/>
      </w:pPr>
      <w:r>
        <w:rPr/>
        <w:t>Interoperability. Rather than add a new external dependency to a project that had already suffered repeated provider instability, the team specified check_course_load as an MCP-style interface: capability, input and output schemas, permissions and security boundary (docs/Week6_MCP_Interface.md). A live MCP server was considered and deferred.</w:t>
      </w:r>
    </w:p>
    <w:p>
      <w:pPr>
        <w:pStyle w:val="Heading1"/>
        <w:rPr/>
      </w:pPr>
      <w:r>
        <w:rPr/>
        <w:t>8. Evaluation, Observability and Guardrails</w:t>
      </w:r>
    </w:p>
    <w:p>
      <w:pPr>
        <w:pStyle w:val="Heading2"/>
        <w:rPr/>
      </w:pPr>
      <w:r>
        <w:rPr/>
        <w:t>8.1 Evaluation data and criteria</w:t>
      </w:r>
    </w:p>
    <w:p>
      <w:pPr>
        <w:pStyle w:val="Normal"/>
        <w:rPr/>
      </w:pPr>
      <w:r>
        <w:rPr/>
        <w:t>The final set has 33 scenarios across both pipelines: normal (6), edge (7), incorrect-information (5), adversarial (5), tool-failure (5) and unauthorized-action (5). The runner measures task completion, tool selection, groundedness, instruction following, content, latency and safety violations; a team member assigns the final PASS/PARTIAL/FAIL verdict after reading each trace (Huyen, 2025, pp. 200-208). All runs are live: an earlier Week 7 attempt that used scripted model replies was reverted and redone.</w:t>
      </w:r>
    </w:p>
    <w:p>
      <w:pPr>
        <w:pStyle w:val="Heading2"/>
        <w:rPr/>
      </w:pPr>
      <w:r>
        <w:rPr/>
        <w:t>8.2 Results</w:t>
      </w:r>
    </w:p>
    <w:tbl>
      <w:tblPr>
        <w:tblStyle w:val="TableGrid"/>
        <w:tblW w:w="892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744"/>
        <w:gridCol w:w="2592"/>
        <w:gridCol w:w="2592"/>
      </w:tblGrid>
      <w:tr>
        <w:trPr/>
        <w:tc>
          <w:tcPr>
            <w:tcW w:w="3744"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9"/>
                <w:szCs w:val="22"/>
                <w:lang w:val="en-US" w:eastAsia="en-US" w:bidi="ar-SA"/>
              </w:rPr>
              <w:t>Measure</w:t>
            </w:r>
          </w:p>
        </w:tc>
        <w:tc>
          <w:tcPr>
            <w:tcW w:w="2592"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9"/>
                <w:szCs w:val="22"/>
                <w:lang w:val="en-US" w:eastAsia="en-US" w:bidi="ar-SA"/>
              </w:rPr>
              <w:t>v1.0 (before fixes)</w:t>
            </w:r>
          </w:p>
        </w:tc>
        <w:tc>
          <w:tcPr>
            <w:tcW w:w="2592"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9"/>
                <w:szCs w:val="22"/>
                <w:lang w:val="en-US" w:eastAsia="en-US" w:bidi="ar-SA"/>
              </w:rPr>
              <w:t>v1.1 (after fixes)</w:t>
            </w:r>
          </w:p>
        </w:tc>
      </w:tr>
      <w:tr>
        <w:trPr/>
        <w:tc>
          <w:tcPr>
            <w:tcW w:w="374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Human verdicts PASS / PARTIAL / FAIL</w:t>
            </w:r>
          </w:p>
        </w:tc>
        <w:tc>
          <w:tcPr>
            <w:tcW w:w="259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23 / 4 / 6</w:t>
            </w:r>
          </w:p>
        </w:tc>
        <w:tc>
          <w:tcPr>
            <w:tcW w:w="259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32 / 1 / 0</w:t>
            </w:r>
          </w:p>
        </w:tc>
      </w:tr>
      <w:tr>
        <w:trPr/>
        <w:tc>
          <w:tcPr>
            <w:tcW w:w="374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Task completion</w:t>
            </w:r>
          </w:p>
        </w:tc>
        <w:tc>
          <w:tcPr>
            <w:tcW w:w="259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25/33</w:t>
            </w:r>
          </w:p>
        </w:tc>
        <w:tc>
          <w:tcPr>
            <w:tcW w:w="259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33/33</w:t>
            </w:r>
          </w:p>
        </w:tc>
      </w:tr>
      <w:tr>
        <w:trPr/>
        <w:tc>
          <w:tcPr>
            <w:tcW w:w="374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Tool selection (agent cases)</w:t>
            </w:r>
          </w:p>
        </w:tc>
        <w:tc>
          <w:tcPr>
            <w:tcW w:w="259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15/19</w:t>
            </w:r>
          </w:p>
        </w:tc>
        <w:tc>
          <w:tcPr>
            <w:tcW w:w="259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18/19</w:t>
            </w:r>
          </w:p>
        </w:tc>
      </w:tr>
      <w:tr>
        <w:trPr/>
        <w:tc>
          <w:tcPr>
            <w:tcW w:w="374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Groundedness / instruction following</w:t>
            </w:r>
          </w:p>
        </w:tc>
        <w:tc>
          <w:tcPr>
            <w:tcW w:w="259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33/33 / 33/33</w:t>
            </w:r>
          </w:p>
        </w:tc>
        <w:tc>
          <w:tcPr>
            <w:tcW w:w="259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33/33 / 33/33</w:t>
            </w:r>
          </w:p>
        </w:tc>
      </w:tr>
      <w:tr>
        <w:trPr/>
        <w:tc>
          <w:tcPr>
            <w:tcW w:w="374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Safety violations</w:t>
            </w:r>
          </w:p>
        </w:tc>
        <w:tc>
          <w:tcPr>
            <w:tcW w:w="259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0</w:t>
            </w:r>
          </w:p>
        </w:tc>
        <w:tc>
          <w:tcPr>
            <w:tcW w:w="259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0</w:t>
            </w:r>
          </w:p>
        </w:tc>
      </w:tr>
      <w:tr>
        <w:trPr/>
        <w:tc>
          <w:tcPr>
            <w:tcW w:w="374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Latency p50 / p95</w:t>
            </w:r>
          </w:p>
        </w:tc>
        <w:tc>
          <w:tcPr>
            <w:tcW w:w="259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1.36 s / 3.98 s</w:t>
            </w:r>
          </w:p>
        </w:tc>
        <w:tc>
          <w:tcPr>
            <w:tcW w:w="259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1.53 s / 19.7 s</w:t>
            </w:r>
          </w:p>
        </w:tc>
      </w:tr>
      <w:tr>
        <w:trPr/>
        <w:tc>
          <w:tcPr>
            <w:tcW w:w="374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Tokens (33 cases)</w:t>
            </w:r>
          </w:p>
        </w:tc>
        <w:tc>
          <w:tcPr>
            <w:tcW w:w="259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55,201</w:t>
            </w:r>
          </w:p>
        </w:tc>
        <w:tc>
          <w:tcPr>
            <w:tcW w:w="2592"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70,870</w:t>
            </w:r>
          </w:p>
        </w:tc>
      </w:tr>
    </w:tbl>
    <w:p>
      <w:pPr>
        <w:pStyle w:val="Normal"/>
        <w:spacing w:before="0" w:after="40"/>
        <w:rPr/>
      </w:pPr>
      <w:r>
        <w:rPr/>
      </w:r>
    </w:p>
    <w:p>
      <w:pPr>
        <w:pStyle w:val="Normal"/>
        <w:jc w:val="center"/>
        <w:rPr/>
      </w:pPr>
      <w:r>
        <w:rPr>
          <w:i/>
          <w:sz w:val="19"/>
        </w:rPr>
        <w:t>Table 5. Final evaluation, Groq openai/gpt-oss-120b, same 33 scenarios</w:t>
      </w:r>
    </w:p>
    <w:p>
      <w:pPr>
        <w:pStyle w:val="Normal"/>
        <w:rPr/>
      </w:pPr>
      <w:r>
        <w:rPr/>
        <w:t>Nine cases improved and none regressed. The p95 latency rise is rate-limit waiting rather than slower answers: 18 of 50 v1.1 model calls were throttled and retried, while first attempts took a median of 1.0 s. Tokens rose 28%, the cost of the fixes.</w:t>
      </w:r>
    </w:p>
    <w:p>
      <w:pPr>
        <w:pStyle w:val="Normal"/>
        <w:rPr/>
      </w:pPr>
      <w:r>
        <w:rPr>
          <w:b w:val="false"/>
          <w:i w:val="false"/>
        </w:rPr>
        <w:t>Stability re-run (open issue O4). The 33-scenario suite was run a third time (v1.2, same cases, Groq openai/gpt-oss-120b). Automated criteria scored 33/33 with one flagged item: FE-12's content check failed (evidence/traces/rag/20261023T205222_..._FE-12.json), worth a close read before its verdict is assigned. Comparing v1.1 to v1.2 on automated criteria: 1 case improved (FE-25, partial to ok), 0 regressions. Human verdicts for v1.2 were not pre-filled and remain to be scored by reading each trace, the same rule every version of this evaluation has followed since the Week 7 revert; see evidence/final_pack/README.md and compare_v1.1_v1.2.txt.</w:t>
      </w:r>
    </w:p>
    <w:p>
      <w:pPr>
        <w:pStyle w:val="Heading2"/>
        <w:rPr/>
      </w:pPr>
      <w:r>
        <w:rPr/>
        <w:t>8.3 Genuine failures, remediation and re-test</w:t>
      </w:r>
    </w:p>
    <w:tbl>
      <w:tblPr>
        <w:tblStyle w:val="TableGrid"/>
        <w:tblW w:w="892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75"/>
        <w:gridCol w:w="3745"/>
        <w:gridCol w:w="3024"/>
        <w:gridCol w:w="1584"/>
      </w:tblGrid>
      <w:tr>
        <w:trPr/>
        <w:tc>
          <w:tcPr>
            <w:tcW w:w="575"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8"/>
                <w:szCs w:val="22"/>
                <w:lang w:val="en-US" w:eastAsia="en-US" w:bidi="ar-SA"/>
              </w:rPr>
              <w:t>#</w:t>
            </w:r>
          </w:p>
        </w:tc>
        <w:tc>
          <w:tcPr>
            <w:tcW w:w="3745"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8"/>
                <w:szCs w:val="22"/>
                <w:lang w:val="en-US" w:eastAsia="en-US" w:bidi="ar-SA"/>
              </w:rPr>
              <w:t>Failure</w:t>
            </w:r>
          </w:p>
        </w:tc>
        <w:tc>
          <w:tcPr>
            <w:tcW w:w="3024"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8"/>
                <w:szCs w:val="22"/>
                <w:lang w:val="en-US" w:eastAsia="en-US" w:bidi="ar-SA"/>
              </w:rPr>
              <w:t>Fix</w:t>
            </w:r>
          </w:p>
        </w:tc>
        <w:tc>
          <w:tcPr>
            <w:tcW w:w="1584"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8"/>
                <w:szCs w:val="22"/>
                <w:lang w:val="en-US" w:eastAsia="en-US" w:bidi="ar-SA"/>
              </w:rPr>
              <w:t>Re-test</w:t>
            </w:r>
          </w:p>
        </w:tc>
      </w:tr>
      <w:tr>
        <w:trPr/>
        <w:tc>
          <w:tcPr>
            <w:tcW w:w="57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F1</w:t>
            </w:r>
          </w:p>
        </w:tc>
        <w:tc>
          <w:tcPr>
            <w:tcW w:w="374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Agent did not know which story a rule belongs to; refused 4 times, filed one defect against the wrong story</w:t>
            </w:r>
          </w:p>
        </w:tc>
        <w:tc>
          <w:tcPr>
            <w:tcW w:w="302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Sourced rule-to-story table, enforced in code and shown in the prompt</w:t>
            </w:r>
          </w:p>
        </w:tc>
        <w:tc>
          <w:tcPr>
            <w:tcW w:w="158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5 cases PASS</w:t>
            </w:r>
          </w:p>
        </w:tc>
      </w:tr>
      <w:tr>
        <w:trPr/>
        <w:tc>
          <w:tcPr>
            <w:tcW w:w="57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F2</w:t>
            </w:r>
          </w:p>
        </w:tc>
        <w:tc>
          <w:tcPr>
            <w:tcW w:w="374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Policy documents not retrieved; out-of-scope and prohibited requests answered as missing context</w:t>
            </w:r>
          </w:p>
        </w:tc>
        <w:tc>
          <w:tcPr>
            <w:tcW w:w="302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Two policy documents always in context</w:t>
            </w:r>
          </w:p>
        </w:tc>
        <w:tc>
          <w:tcPr>
            <w:tcW w:w="158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2 cases PASS</w:t>
            </w:r>
          </w:p>
        </w:tc>
      </w:tr>
      <w:tr>
        <w:trPr/>
        <w:tc>
          <w:tcPr>
            <w:tcW w:w="57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F3</w:t>
            </w:r>
          </w:p>
        </w:tc>
        <w:tc>
          <w:tcPr>
            <w:tcW w:w="374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Correct refusals labelled out_of_scope; invalid example JSON in the prompt</w:t>
            </w:r>
          </w:p>
        </w:tc>
        <w:tc>
          <w:tcPr>
            <w:tcW w:w="302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Refusal defined by the action asked; prompt fixed</w:t>
            </w:r>
          </w:p>
        </w:tc>
        <w:tc>
          <w:tcPr>
            <w:tcW w:w="158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2 cases PASS</w:t>
            </w:r>
          </w:p>
        </w:tc>
      </w:tr>
      <w:tr>
        <w:trPr/>
        <w:tc>
          <w:tcPr>
            <w:tcW w:w="57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F4</w:t>
            </w:r>
          </w:p>
        </w:tc>
        <w:tc>
          <w:tcPr>
            <w:tcW w:w="374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Evaluator rejected correct answers containing invisible Unicode spaces</w:t>
            </w:r>
          </w:p>
        </w:tc>
        <w:tc>
          <w:tcPr>
            <w:tcW w:w="302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Text normalisation</w:t>
            </w:r>
          </w:p>
        </w:tc>
        <w:tc>
          <w:tcPr>
            <w:tcW w:w="158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Check passes</w:t>
            </w:r>
          </w:p>
        </w:tc>
      </w:tr>
      <w:tr>
        <w:trPr/>
        <w:tc>
          <w:tcPr>
            <w:tcW w:w="57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F5</w:t>
            </w:r>
          </w:p>
        </w:tc>
        <w:tc>
          <w:tcPr>
            <w:tcW w:w="374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Provider quota exhaustion broke a run and overwrote a result</w:t>
            </w:r>
          </w:p>
        </w:tc>
        <w:tc>
          <w:tcPr>
            <w:tcW w:w="302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Honour retry delays; stop on dead quota; never overwrite results</w:t>
            </w:r>
          </w:p>
        </w:tc>
        <w:tc>
          <w:tcPr>
            <w:tcW w:w="158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33/33 with 0 errors</w:t>
            </w:r>
          </w:p>
        </w:tc>
      </w:tr>
      <w:tr>
        <w:trPr/>
        <w:tc>
          <w:tcPr>
            <w:tcW w:w="57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F6</w:t>
            </w:r>
          </w:p>
        </w:tc>
        <w:tc>
          <w:tcPr>
            <w:tcW w:w="374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Prompt specification drifted from the running prompt</w:t>
            </w:r>
          </w:p>
        </w:tc>
        <w:tc>
          <w:tcPr>
            <w:tcW w:w="302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Spec regenerated; drift test</w:t>
            </w:r>
          </w:p>
        </w:tc>
        <w:tc>
          <w:tcPr>
            <w:tcW w:w="158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Test passes</w:t>
            </w:r>
          </w:p>
        </w:tc>
      </w:tr>
      <w:tr>
        <w:trPr/>
        <w:tc>
          <w:tcPr>
            <w:tcW w:w="57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F7</w:t>
            </w:r>
          </w:p>
        </w:tc>
        <w:tc>
          <w:tcPr>
            <w:tcW w:w="3745"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Agent traces did not record the prompt sent</w:t>
            </w:r>
          </w:p>
        </w:tc>
        <w:tc>
          <w:tcPr>
            <w:tcW w:w="302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Prompt stored per turn</w:t>
            </w:r>
          </w:p>
        </w:tc>
        <w:tc>
          <w:tcPr>
            <w:tcW w:w="1584"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8"/>
                <w:szCs w:val="22"/>
                <w:lang w:val="en-US" w:eastAsia="en-US" w:bidi="ar-SA"/>
              </w:rPr>
              <w:t>Verified in traces</w:t>
            </w:r>
          </w:p>
        </w:tc>
      </w:tr>
    </w:tbl>
    <w:p>
      <w:pPr>
        <w:pStyle w:val="Normal"/>
        <w:spacing w:before="0" w:after="40"/>
        <w:rPr/>
      </w:pPr>
      <w:r>
        <w:rPr/>
      </w:r>
    </w:p>
    <w:p>
      <w:pPr>
        <w:pStyle w:val="Normal"/>
        <w:jc w:val="center"/>
        <w:rPr/>
      </w:pPr>
      <w:r>
        <w:rPr>
          <w:i/>
          <w:sz w:val="19"/>
        </w:rPr>
        <w:t>Table 6. Failure Catalogue summary (full entries: docs/Week7_Failures.md)</w:t>
      </w:r>
    </w:p>
    <w:p>
      <w:pPr>
        <w:pStyle w:val="Normal"/>
        <w:rPr/>
      </w:pPr>
      <w:r>
        <w:rPr/>
        <w:t>F1 shows why human review stayed in the loop: in one case the agent invented a story ID and filed the defect against the wrong story, and every automated check passed it. Only reading the trace caught it.</w:t>
      </w:r>
    </w:p>
    <w:p>
      <w:pPr>
        <w:pStyle w:val="Heading2"/>
        <w:rPr/>
      </w:pPr>
      <w:r>
        <w:rPr/>
        <w:t>8.4 Observability</w:t>
      </w:r>
    </w:p>
    <w:p>
      <w:pPr>
        <w:pStyle w:val="Normal"/>
        <w:rPr/>
      </w:pPr>
      <w:r>
        <w:rPr/>
        <w:t>Every run writes a trace (prompt, every model turn, every tool call and result, latency, tokens, errors, guardrail activity, outcome) and one line in a run log, summarised by a log tool; a comparison tool shows before and after per case (Huyen, 2025, pp. 465-472).</w:t>
      </w:r>
    </w:p>
    <w:p>
      <w:pPr>
        <w:pStyle w:val="Heading2"/>
        <w:rPr/>
      </w:pPr>
      <w:r>
        <w:rPr/>
        <w:t>8.5 Guardrails</w:t>
      </w:r>
    </w:p>
    <w:p>
      <w:pPr>
        <w:pStyle w:val="Normal"/>
        <w:rPr/>
      </w:pPr>
      <w:r>
        <w:rPr/>
        <w:t>Input validation before any model call; an explicit tool allow-list; argument validation and authorization in dispatch; the three-round limit; human-only approval; prompt-injection detection recorded in every trace; and secret redaction on output (Huyen, 2025, pp. 451-455). Detection does not block on its own; the blocking is done by controls the model cannot argue with. Each guardrail is mapped to its code, an offline test and a live evaluation case in docs/Week7_Guardrails.md.</w:t>
      </w:r>
    </w:p>
    <w:p>
      <w:pPr>
        <w:pStyle w:val="Normal"/>
        <w:rPr/>
      </w:pPr>
      <w:r>
        <w:rPr>
          <w:b w:val="false"/>
          <w:i w:val="false"/>
        </w:rPr>
        <w:t>The full evidence pack is evidence/final_pack/README.md: links (not copies) to every evaluation CSV and summary across all eight weeks, the Week 7 documentation, compare_eval.py and log_summary.py output, pytest results, and a before/after trace table for every F1-F7 failure in the catalogue.</w:t>
      </w:r>
    </w:p>
    <w:p>
      <w:pPr>
        <w:pStyle w:val="Heading1"/>
        <w:rPr/>
      </w:pPr>
      <w:r>
        <w:rPr/>
        <w:t>9. Software Engineering Quality and Deployment</w:t>
      </w:r>
    </w:p>
    <w:p>
      <w:pPr>
        <w:pStyle w:val="Normal"/>
        <w:rPr/>
      </w:pPr>
      <w:r>
        <w:rPr/>
        <w:t>Testing. 107 offline tests run without an API key, covering rules, retrieval, tools, the agent loop, memory, observability, guardrails, rate limits, evaluation scoring and prompt-specification drift. Tests are isolated from the evidence folders so test runs never mix with real evidence.</w:t>
      </w:r>
    </w:p>
    <w:p>
      <w:pPr>
        <w:pStyle w:val="Normal"/>
        <w:rPr/>
      </w:pPr>
      <w:r>
        <w:rPr/>
        <w:t>Configuration and secrets. Keys live only in .env, which is git-ignored; .env.example documents the variables. No key is ever placed in the model's context, and output is redacted for key patterns.</w:t>
      </w:r>
    </w:p>
    <w:p>
      <w:pPr>
        <w:pStyle w:val="Normal"/>
        <w:rPr/>
      </w:pPr>
      <w:r>
        <w:rPr/>
        <w:t>Version control and review. 32 commits from all four members. When a Week 7 change evaluated the system with scripted model replies only, it was reverted with a documented reason rather than deleted from history, and the work redone with live runs.</w:t>
      </w:r>
    </w:p>
    <w:p>
      <w:pPr>
        <w:pStyle w:val="Normal"/>
        <w:rPr/>
      </w:pPr>
      <w:r>
        <w:rPr/>
        <w:t>Reproducibility and deployment. Release v1.0.0 is a tagged commit with README run instructions: install, run the offline tests, add a key, run the pipelines and the evaluation. Every evaluation summary records the model, commit and prompt fingerprint. There is no hosted deployment; the system is a reproducibly runnable local application, as the brief permits.</w:t>
      </w:r>
    </w:p>
    <w:p>
      <w:pPr>
        <w:pStyle w:val="Normal"/>
        <w:rPr/>
      </w:pPr>
      <w:r>
        <w:rPr>
          <w:b w:val="false"/>
          <w:i w:val="false"/>
        </w:rPr>
        <w:t>Repository: https://github.com/BSSE-FINAL-YEAR/UniFlow. ClickUp board: https://app.clickup.com/1200410000004069/v/l/t/1200410000004069. Member-by-week task ownership with commit-level evidence is in docs/Contributions.md. A board screenshot for evidence/screenshots/ and confirmation that every week's ClickUp tasks are logged Done are still outstanding at the time of writing.</w:t>
      </w:r>
    </w:p>
    <w:p>
      <w:pPr>
        <w:pStyle w:val="Heading1"/>
        <w:rPr/>
      </w:pPr>
      <w:r>
        <w:rPr/>
        <w:t>10. Results, Limitations and Professional Reflection</w:t>
      </w:r>
    </w:p>
    <w:p>
      <w:pPr>
        <w:pStyle w:val="Heading2"/>
        <w:rPr/>
      </w:pPr>
      <w:r>
        <w:rPr/>
        <w:t>10.1 What works</w:t>
      </w:r>
    </w:p>
    <w:tbl>
      <w:tblPr>
        <w:tblStyle w:val="TableGrid"/>
        <w:tblW w:w="892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320"/>
        <w:gridCol w:w="1727"/>
        <w:gridCol w:w="2881"/>
      </w:tblGrid>
      <w:tr>
        <w:trPr/>
        <w:tc>
          <w:tcPr>
            <w:tcW w:w="4320"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9"/>
                <w:szCs w:val="22"/>
                <w:lang w:val="en-US" w:eastAsia="en-US" w:bidi="ar-SA"/>
              </w:rPr>
              <w:t>Charter success measure</w:t>
            </w:r>
          </w:p>
        </w:tc>
        <w:tc>
          <w:tcPr>
            <w:tcW w:w="1727"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9"/>
                <w:szCs w:val="22"/>
                <w:lang w:val="en-US" w:eastAsia="en-US" w:bidi="ar-SA"/>
              </w:rPr>
              <w:t>Status</w:t>
            </w:r>
          </w:p>
        </w:tc>
        <w:tc>
          <w:tcPr>
            <w:tcW w:w="2881" w:type="dxa"/>
            <w:tcBorders/>
            <w:shd w:color="auto" w:fill="E7EEF7" w:val="clear"/>
          </w:tcPr>
          <w:p>
            <w:pPr>
              <w:pStyle w:val="Normal"/>
              <w:widowControl/>
              <w:spacing w:before="0" w:after="120"/>
              <w:jc w:val="start"/>
              <w:rPr>
                <w:rFonts w:eastAsia="ＭＳ 明朝" w:cs=""/>
                <w:kern w:val="0"/>
                <w:sz w:val="22"/>
                <w:szCs w:val="22"/>
                <w:lang w:val="en-US" w:eastAsia="en-US" w:bidi="ar-SA"/>
              </w:rPr>
            </w:pPr>
            <w:r>
              <w:rPr>
                <w:rFonts w:eastAsia="ＭＳ 明朝" w:cs=""/>
                <w:b/>
                <w:kern w:val="0"/>
                <w:sz w:val="19"/>
                <w:szCs w:val="22"/>
                <w:lang w:val="en-US" w:eastAsia="en-US" w:bidi="ar-SA"/>
              </w:rPr>
              <w:t>Evidence</w:t>
            </w:r>
          </w:p>
        </w:tc>
      </w:tr>
      <w:tr>
        <w:trPr/>
        <w:tc>
          <w:tcPr>
            <w:tcW w:w="4320"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Model integrated with versioned, tested prompts</w:t>
            </w:r>
          </w:p>
        </w:tc>
        <w:tc>
          <w:tcPr>
            <w:tcW w:w="1727"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Met</w:t>
            </w:r>
          </w:p>
        </w:tc>
        <w:tc>
          <w:tcPr>
            <w:tcW w:w="2881"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prompts/, Section 4</w:t>
            </w:r>
          </w:p>
        </w:tc>
      </w:tr>
      <w:tr>
        <w:trPr/>
        <w:tc>
          <w:tcPr>
            <w:tcW w:w="4320"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Source-grounded answers, unsupported-answer handling</w:t>
            </w:r>
          </w:p>
        </w:tc>
        <w:tc>
          <w:tcPr>
            <w:tcW w:w="1727"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Met</w:t>
            </w:r>
          </w:p>
        </w:tc>
        <w:tc>
          <w:tcPr>
            <w:tcW w:w="2881"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Section 5</w:t>
            </w:r>
          </w:p>
        </w:tc>
      </w:tr>
      <w:tr>
        <w:trPr/>
        <w:tc>
          <w:tcPr>
            <w:tcW w:w="4320"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Two or more tools, bounded execution, human hand-off</w:t>
            </w:r>
          </w:p>
        </w:tc>
        <w:tc>
          <w:tcPr>
            <w:tcW w:w="1727"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Met</w:t>
            </w:r>
          </w:p>
        </w:tc>
        <w:tc>
          <w:tcPr>
            <w:tcW w:w="2881"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Section 6</w:t>
            </w:r>
          </w:p>
        </w:tc>
      </w:tr>
      <w:tr>
        <w:trPr/>
        <w:tc>
          <w:tcPr>
            <w:tcW w:w="4320"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State, memory, traces, permissions, limits</w:t>
            </w:r>
          </w:p>
        </w:tc>
        <w:tc>
          <w:tcPr>
            <w:tcW w:w="1727"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Met</w:t>
            </w:r>
          </w:p>
        </w:tc>
        <w:tc>
          <w:tcPr>
            <w:tcW w:w="2881"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Sections 7, 8</w:t>
            </w:r>
          </w:p>
        </w:tc>
      </w:tr>
      <w:tr>
        <w:trPr/>
        <w:tc>
          <w:tcPr>
            <w:tcW w:w="4320"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Evaluation against 30 or more scenarios</w:t>
            </w:r>
          </w:p>
        </w:tc>
        <w:tc>
          <w:tcPr>
            <w:tcW w:w="1727"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Met: 33, live</w:t>
            </w:r>
          </w:p>
        </w:tc>
        <w:tc>
          <w:tcPr>
            <w:tcW w:w="2881"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Section 8</w:t>
            </w:r>
          </w:p>
        </w:tc>
      </w:tr>
      <w:tr>
        <w:trPr/>
        <w:tc>
          <w:tcPr>
            <w:tcW w:w="4320"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GitHub, ClickUp and MUELE evidence</w:t>
            </w:r>
          </w:p>
        </w:tc>
        <w:tc>
          <w:tcPr>
            <w:tcW w:w="1727"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See Section 9</w:t>
            </w:r>
          </w:p>
        </w:tc>
        <w:tc>
          <w:tcPr>
            <w:tcW w:w="2881" w:type="dxa"/>
            <w:tcBorders/>
          </w:tcPr>
          <w:p>
            <w:pPr>
              <w:pStyle w:val="Normal"/>
              <w:widowControl/>
              <w:spacing w:before="0" w:after="120"/>
              <w:jc w:val="start"/>
              <w:rPr>
                <w:rFonts w:eastAsia="ＭＳ 明朝" w:cs=""/>
                <w:kern w:val="0"/>
                <w:sz w:val="22"/>
                <w:szCs w:val="22"/>
                <w:lang w:val="en-US" w:eastAsia="en-US" w:bidi="ar-SA"/>
              </w:rPr>
            </w:pPr>
            <w:r>
              <w:rPr>
                <w:rFonts w:eastAsia="ＭＳ 明朝" w:cs=""/>
                <w:kern w:val="0"/>
                <w:sz w:val="19"/>
                <w:szCs w:val="22"/>
                <w:lang w:val="en-US" w:eastAsia="en-US" w:bidi="ar-SA"/>
              </w:rPr>
              <w:t>Repository, ClickUp</w:t>
            </w:r>
          </w:p>
        </w:tc>
      </w:tr>
    </w:tbl>
    <w:p>
      <w:pPr>
        <w:pStyle w:val="Normal"/>
        <w:spacing w:before="0" w:after="40"/>
        <w:rPr/>
      </w:pPr>
      <w:r>
        <w:rPr/>
      </w:r>
    </w:p>
    <w:p>
      <w:pPr>
        <w:pStyle w:val="Normal"/>
        <w:jc w:val="center"/>
        <w:rPr/>
      </w:pPr>
      <w:r>
        <w:rPr>
          <w:i/>
          <w:sz w:val="19"/>
        </w:rPr>
        <w:t>Table 7. Success measures from the Week 1 charter</w:t>
      </w:r>
    </w:p>
    <w:p>
      <w:pPr>
        <w:pStyle w:val="Heading2"/>
        <w:rPr/>
      </w:pPr>
      <w:r>
        <w:rPr/>
        <w:t>10.2 What does not, and remaining risks</w:t>
      </w:r>
    </w:p>
    <w:p>
      <w:pPr>
        <w:pStyle w:val="ListBullet"/>
        <w:numPr>
          <w:ilvl w:val="0"/>
          <w:numId w:val="1"/>
        </w:numPr>
        <w:spacing w:before="0" w:after="40"/>
        <w:contextualSpacing/>
        <w:rPr/>
      </w:pPr>
      <w:r>
        <w:rPr/>
        <w:t>Retrieval is exact-word BM25 without stemming.</w:t>
      </w:r>
    </w:p>
    <w:p>
      <w:pPr>
        <w:pStyle w:val="ListBullet"/>
        <w:numPr>
          <w:ilvl w:val="0"/>
          <w:numId w:val="1"/>
        </w:numPr>
        <w:spacing w:before="0" w:after="40"/>
        <w:contextualSpacing/>
        <w:rPr/>
      </w:pPr>
      <w:r>
        <w:rPr/>
        <w:t>Each evaluation version ran once; stability is not yet measured.</w:t>
      </w:r>
    </w:p>
    <w:p>
      <w:pPr>
        <w:pStyle w:val="ListBullet"/>
        <w:numPr>
          <w:ilvl w:val="0"/>
          <w:numId w:val="1"/>
        </w:numPr>
        <w:spacing w:before="0" w:after="40"/>
        <w:contextualSpacing/>
        <w:rPr/>
      </w:pPr>
      <w:r>
        <w:rPr/>
        <w:t>Reported latency includes rate-limit waiting; the free-tier provider throttles under load.</w:t>
      </w:r>
    </w:p>
    <w:p>
      <w:pPr>
        <w:pStyle w:val="ListBullet"/>
        <w:numPr>
          <w:ilvl w:val="0"/>
          <w:numId w:val="1"/>
        </w:numPr>
        <w:spacing w:before="0" w:after="40"/>
        <w:contextualSpacing/>
        <w:rPr/>
      </w:pPr>
      <w:r>
        <w:rPr/>
        <w:t>One evaluation hook injects failures into the first tool call rather than a named tool (case FE-26).</w:t>
      </w:r>
    </w:p>
    <w:p>
      <w:pPr>
        <w:pStyle w:val="ListBullet"/>
        <w:numPr>
          <w:ilvl w:val="0"/>
          <w:numId w:val="1"/>
        </w:numPr>
        <w:spacing w:before="0" w:after="40"/>
        <w:contextualSpacing/>
        <w:rPr/>
      </w:pPr>
      <w:r>
        <w:rPr/>
        <w:t>Rules without a stated user story (R-03, R-08) cannot have defects filed until a link is agreed.</w:t>
      </w:r>
    </w:p>
    <w:p>
      <w:pPr>
        <w:pStyle w:val="Heading2"/>
        <w:rPr/>
      </w:pPr>
      <w:r>
        <w:rPr/>
        <w:t>10.3 Cost and latency</w:t>
      </w:r>
    </w:p>
    <w:p>
      <w:pPr>
        <w:pStyle w:val="Normal"/>
        <w:rPr/>
      </w:pPr>
      <w:r>
        <w:rPr/>
        <w:t>A full 33-case evaluation uses about 71,000 tokens on the Groq free tier; first-attempt model calls take about one second. Cost is not a constraint at this scale; provider rate limits are.</w:t>
      </w:r>
    </w:p>
    <w:p>
      <w:pPr>
        <w:pStyle w:val="Heading2"/>
        <w:rPr/>
      </w:pPr>
      <w:r>
        <w:rPr/>
        <w:t>10.4 Future work</w:t>
      </w:r>
    </w:p>
    <w:p>
      <w:pPr>
        <w:pStyle w:val="Normal"/>
        <w:rPr/>
      </w:pPr>
      <w:r>
        <w:rPr/>
        <w:t>Light stemming measured against the Week 3 RAG suite; repeated evaluation runs for stability; a failure-injection hook targeting named tools; and a live MCP server for check_course_load.</w:t>
      </w:r>
    </w:p>
    <w:p>
      <w:pPr>
        <w:pStyle w:val="Heading2"/>
        <w:rPr/>
      </w:pPr>
      <w:r>
        <w:rPr/>
        <w:t>10.5 Human responsibility and reflection</w:t>
      </w:r>
    </w:p>
    <w:p>
      <w:pPr>
        <w:pStyle w:val="Normal"/>
        <w:rPr/>
      </w:pPr>
      <w:r>
        <w:rPr/>
        <w:t>The most important lesson was to be precise about what each piece of evidence proves. Week 4's 15/15 tool evaluation tested the deterministic controls (allow-list, argument checks, error handling) without a live model, which was the right method for those controls and was reported as such; it could not show how the model behaves when someone tries to misuse a tool, so Week 7 re-ran those scenarios live. A Week 7 evaluation built only on scripted model replies was reverted for the same reason, and the most serious failure found was passed by every automated check and caught only by reading the trace. AI tools, Claude Code and Cursor, assisted with implementation and documentation; every result in this report comes from live model runs, every verdict was assigned by a team member, and the team remains accountable for the system's behaviour.</w:t>
      </w:r>
    </w:p>
    <w:p>
      <w:pPr>
        <w:pStyle w:val="Normal"/>
        <w:rPr/>
      </w:pPr>
      <w:r>
        <w:rPr>
          <w:b w:val="false"/>
          <w:i w:val="false"/>
        </w:rPr>
        <w:t>A per-member, per-week contribution summary with commit-level evidence is in docs/Contributions.md. Individual reflections are optional per the brief and are not included here; any member may add a short paragraph before submission.</w:t>
      </w:r>
    </w:p>
    <w:p>
      <w:pPr>
        <w:pStyle w:val="Heading1"/>
        <w:rPr/>
      </w:pPr>
      <w:r>
        <w:rPr/>
        <w:t>References</w:t>
      </w:r>
    </w:p>
    <w:p>
      <w:pPr>
        <w:pStyle w:val="Normal"/>
        <w:rPr/>
      </w:pPr>
      <w:r>
        <w:rPr/>
        <w:t>Huyen, C. (2025). AI engineering: Building applications with foundation models. O'Reilly Media.</w:t>
      </w:r>
    </w:p>
    <w:p>
      <w:pPr>
        <w:pStyle w:val="Normal"/>
        <w:rPr/>
      </w:pPr>
      <w:r>
        <w:rPr/>
        <w:t>Lanham, M. (2025). AI agents in action. Manning Publications.</w:t>
      </w:r>
    </w:p>
    <w:p>
      <w:pPr>
        <w:pStyle w:val="Normal"/>
        <w:rPr>
          <w:i/>
          <w:highlight w:val="yellow"/>
        </w:rPr>
      </w:pPr>
      <w:r>
        <w:rPr/>
        <w:t>Osmani, A. (2025). Beyond vibe coding: From coder to AI-era developer. O'Reilly Media.</w:t>
      </w:r>
    </w:p>
    <w:p>
      <w:pPr>
        <w:pStyle w:val="Normal"/>
        <w:rPr/>
      </w:pPr>
      <w:r>
        <w:rPr/>
      </w:r>
      <w:r>
        <w:br w:type="page"/>
      </w:r>
    </w:p>
    <w:p>
      <w:pPr>
        <w:pStyle w:val="Heading1"/>
        <w:spacing w:before="0" w:after="0"/>
        <w:rPr/>
      </w:pPr>
      <w:r>
        <w:rPr/>
        <w:t>Appendices (outside the page limit)</w:t>
      </w:r>
    </w:p>
    <w:p>
      <w:pPr>
        <w:pStyle w:val="ListBullet"/>
        <w:numPr>
          <w:ilvl w:val="0"/>
          <w:numId w:val="1"/>
        </w:numPr>
        <w:spacing w:before="0" w:after="40"/>
        <w:contextualSpacing/>
        <w:rPr/>
      </w:pPr>
      <w:r>
        <w:rPr/>
        <w:t>A. User stories and acceptance criteria: data/user_stories.json, 02_User_Stories_Acceptance_Criteria GROUP I.docx</w:t>
      </w:r>
    </w:p>
    <w:p>
      <w:pPr>
        <w:pStyle w:val="ListBullet"/>
        <w:numPr>
          <w:ilvl w:val="0"/>
          <w:numId w:val="1"/>
        </w:numPr>
        <w:spacing w:before="0" w:after="40"/>
        <w:contextualSpacing/>
        <w:rPr/>
      </w:pPr>
      <w:r>
        <w:rPr/>
        <w:t>B. Prompt excerpts: prompts/tool_caller_v1.1.md, prompts/PROMPT_CHANGELOG.md</w:t>
      </w:r>
    </w:p>
    <w:p>
      <w:pPr>
        <w:pStyle w:val="ListBullet"/>
        <w:numPr>
          <w:ilvl w:val="0"/>
          <w:numId w:val="1"/>
        </w:numPr>
        <w:spacing w:before="0" w:after="40"/>
        <w:contextualSpacing/>
        <w:rPr/>
      </w:pPr>
      <w:r>
        <w:rPr/>
        <w:t>C. Evaluation tables: eval/final_results_v1.0.csv, eval/final_results_v1.1.csv, earlier suites in eval/</w:t>
      </w:r>
    </w:p>
    <w:p>
      <w:pPr>
        <w:pStyle w:val="ListBullet"/>
        <w:numPr>
          <w:ilvl w:val="0"/>
          <w:numId w:val="1"/>
        </w:numPr>
        <w:spacing w:before="0" w:after="40"/>
        <w:contextualSpacing/>
        <w:rPr/>
      </w:pPr>
      <w:r>
        <w:rPr/>
        <w:t>D. Tool schemas: docs/Week4_Tool_Catalogue.md</w:t>
      </w:r>
    </w:p>
    <w:p>
      <w:pPr>
        <w:pStyle w:val="ListBullet"/>
        <w:numPr>
          <w:ilvl w:val="0"/>
          <w:numId w:val="1"/>
        </w:numPr>
        <w:spacing w:before="0" w:after="40"/>
        <w:contextualSpacing/>
        <w:rPr/>
      </w:pPr>
      <w:r>
        <w:rPr/>
        <w:t>E. Sample traces: one RAG, one agent and one failure/recovery trace from evidence/traces/</w:t>
      </w:r>
    </w:p>
    <w:p>
      <w:pPr>
        <w:pStyle w:val="ListBullet"/>
        <w:numPr>
          <w:ilvl w:val="0"/>
          <w:numId w:val="1"/>
        </w:numPr>
        <w:spacing w:before="0" w:after="40"/>
        <w:contextualSpacing/>
        <w:rPr/>
      </w:pPr>
      <w:r>
        <w:rPr/>
        <w:t>F. AI Engineering Log: docs/AI_Engineering_Log.md (tool, task, human review, per week)</w:t>
      </w:r>
    </w:p>
    <w:p>
      <w:pPr>
        <w:pStyle w:val="ListBullet"/>
        <w:numPr>
          <w:ilvl w:val="0"/>
          <w:numId w:val="1"/>
        </w:numPr>
        <w:spacing w:before="0" w:after="40"/>
        <w:contextualSpacing/>
        <w:rPr/>
      </w:pPr>
      <w:r>
        <w:rPr/>
        <w:t>G. Additional diagrams: docs/Week3_RAG_Architecture.md</w:t>
      </w:r>
    </w:p>
    <w:p>
      <w:pPr>
        <w:pStyle w:val="Normal"/>
        <w:widowControl/>
        <w:bidi w:val="0"/>
        <w:spacing w:lineRule="auto" w:line="264" w:before="0" w:after="120"/>
        <w:jc w:val="start"/>
        <w:rPr>
          <w:b/>
          <w:highlight w:val="yellow"/>
        </w:rPr>
      </w:pPr>
      <w:r>
        <w:rPr/>
      </w:r>
    </w:p>
    <w:sectPr>
      <w:type w:val="nextPage"/>
      <w:pgSz w:w="12240" w:h="15840"/>
      <w:pgMar w:left="1440" w:right="1440" w:gutter="0" w:header="0" w:top="1296" w:footer="0" w:bottom="129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64" w:before="0" w:after="12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LibreOffice/26.2.6.3$Linux_X86_64 LibreOffice_project/620$Build-3</Application>
  <AppVersion>15.0000</AppVersion>
  <Pages>11</Pages>
  <Words>3441</Words>
  <Characters>19879</Characters>
  <CharactersWithSpaces>23041</CharactersWithSpaces>
  <Paragraphs>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2026-10-24T00:20:43Z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