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21B" w:rsidRDefault="00992825">
      <w:pPr>
        <w:jc w:val="center"/>
        <w:rPr>
          <w:rFonts w:hint="eastAsia"/>
        </w:rPr>
      </w:pPr>
      <w:r>
        <w:rPr>
          <w:b/>
          <w:sz w:val="40"/>
        </w:rPr>
        <w:t>UniFlow: An AI-Native QA Agent for a University Academic Management System</w:t>
      </w:r>
    </w:p>
    <w:p w:rsidR="00C5221B" w:rsidRDefault="00647EF9">
      <w:pPr>
        <w:jc w:val="center"/>
        <w:rPr>
          <w:i/>
          <w:color w:val="000000" w:themeColor="text1"/>
        </w:rPr>
      </w:pPr>
      <w:r w:rsidRPr="00621481">
        <w:rPr>
          <w:b/>
          <w:i/>
          <w:color w:val="000000" w:themeColor="text1"/>
        </w:rPr>
        <w:t>Week 1 Project Charter</w:t>
      </w:r>
      <w:r w:rsidRPr="00647EF9">
        <w:rPr>
          <w:i/>
          <w:color w:val="000000" w:themeColor="text1"/>
        </w:rPr>
        <w:t xml:space="preserve"> |</w:t>
      </w:r>
      <w:r w:rsidR="00992825" w:rsidRPr="00647EF9">
        <w:rPr>
          <w:i/>
          <w:color w:val="000000" w:themeColor="text1"/>
        </w:rPr>
        <w:t xml:space="preserve"> </w:t>
      </w:r>
      <w:r w:rsidR="00992825" w:rsidRPr="00621481">
        <w:rPr>
          <w:b/>
          <w:i/>
          <w:color w:val="000000" w:themeColor="text1"/>
        </w:rPr>
        <w:t>BSE 4104 Emerging Trends in Software Engineering</w:t>
      </w:r>
      <w:r w:rsidR="00621481">
        <w:rPr>
          <w:i/>
          <w:color w:val="000000" w:themeColor="text1"/>
        </w:rPr>
        <w:t xml:space="preserve"> | </w:t>
      </w:r>
      <w:r w:rsidR="00621481" w:rsidRPr="00621481">
        <w:rPr>
          <w:b/>
          <w:i/>
          <w:color w:val="000000" w:themeColor="text1"/>
        </w:rPr>
        <w:t>Group I</w:t>
      </w:r>
    </w:p>
    <w:tbl>
      <w:tblPr>
        <w:tblStyle w:val="TableGrid"/>
        <w:tblW w:w="0" w:type="auto"/>
        <w:tblLook w:val="04A0" w:firstRow="1" w:lastRow="0" w:firstColumn="1" w:lastColumn="0" w:noHBand="0" w:noVBand="1"/>
      </w:tblPr>
      <w:tblGrid>
        <w:gridCol w:w="5376"/>
        <w:gridCol w:w="4838"/>
      </w:tblGrid>
      <w:tr w:rsidR="00621481" w:rsidRPr="00621481" w:rsidTr="00621481">
        <w:tc>
          <w:tcPr>
            <w:tcW w:w="5503" w:type="dxa"/>
          </w:tcPr>
          <w:p w:rsidR="00621481" w:rsidRPr="00621481" w:rsidRDefault="00621481" w:rsidP="00621481">
            <w:pPr>
              <w:rPr>
                <w:color w:val="000000" w:themeColor="text1"/>
              </w:rPr>
            </w:pPr>
            <w:r w:rsidRPr="00621481">
              <w:rPr>
                <w:color w:val="000000" w:themeColor="text1"/>
              </w:rPr>
              <w:t xml:space="preserve">Yohana </w:t>
            </w:r>
            <w:proofErr w:type="spellStart"/>
            <w:r w:rsidRPr="00621481">
              <w:rPr>
                <w:color w:val="000000" w:themeColor="text1"/>
              </w:rPr>
              <w:t>Mahamat</w:t>
            </w:r>
            <w:proofErr w:type="spellEnd"/>
            <w:r w:rsidRPr="00621481">
              <w:rPr>
                <w:color w:val="000000" w:themeColor="text1"/>
              </w:rPr>
              <w:t xml:space="preserve"> </w:t>
            </w:r>
            <w:proofErr w:type="spellStart"/>
            <w:r w:rsidRPr="00621481">
              <w:rPr>
                <w:color w:val="000000" w:themeColor="text1"/>
              </w:rPr>
              <w:t>Abdelrassoul</w:t>
            </w:r>
            <w:proofErr w:type="spellEnd"/>
          </w:p>
        </w:tc>
        <w:tc>
          <w:tcPr>
            <w:tcW w:w="4937" w:type="dxa"/>
          </w:tcPr>
          <w:p w:rsidR="00621481" w:rsidRPr="00621481" w:rsidRDefault="00621481" w:rsidP="00621481">
            <w:pPr>
              <w:rPr>
                <w:color w:val="000000" w:themeColor="text1"/>
              </w:rPr>
            </w:pPr>
            <w:r>
              <w:rPr>
                <w:color w:val="000000" w:themeColor="text1"/>
              </w:rPr>
              <w:t>23/X/23048/PS</w:t>
            </w:r>
          </w:p>
        </w:tc>
      </w:tr>
      <w:tr w:rsidR="00621481" w:rsidRPr="00621481" w:rsidTr="00621481">
        <w:tc>
          <w:tcPr>
            <w:tcW w:w="5503" w:type="dxa"/>
          </w:tcPr>
          <w:p w:rsidR="00621481" w:rsidRPr="00621481" w:rsidRDefault="00621481" w:rsidP="00621481">
            <w:pPr>
              <w:rPr>
                <w:color w:val="000000" w:themeColor="text1"/>
              </w:rPr>
            </w:pPr>
            <w:r w:rsidRPr="00621481">
              <w:rPr>
                <w:color w:val="000000" w:themeColor="text1"/>
              </w:rPr>
              <w:t xml:space="preserve">Swale </w:t>
            </w:r>
            <w:proofErr w:type="spellStart"/>
            <w:r w:rsidRPr="00621481">
              <w:rPr>
                <w:color w:val="000000" w:themeColor="text1"/>
              </w:rPr>
              <w:t>Sebabe</w:t>
            </w:r>
            <w:proofErr w:type="spellEnd"/>
            <w:r w:rsidRPr="00621481">
              <w:rPr>
                <w:color w:val="000000" w:themeColor="text1"/>
              </w:rPr>
              <w:t xml:space="preserve"> Abdu</w:t>
            </w:r>
          </w:p>
        </w:tc>
        <w:tc>
          <w:tcPr>
            <w:tcW w:w="4937" w:type="dxa"/>
          </w:tcPr>
          <w:p w:rsidR="00621481" w:rsidRPr="00621481" w:rsidRDefault="00621481" w:rsidP="00621481">
            <w:pPr>
              <w:rPr>
                <w:color w:val="000000" w:themeColor="text1"/>
              </w:rPr>
            </w:pPr>
            <w:r w:rsidRPr="00621481">
              <w:rPr>
                <w:color w:val="000000" w:themeColor="text1"/>
              </w:rPr>
              <w:t>23/U/23779</w:t>
            </w:r>
          </w:p>
        </w:tc>
      </w:tr>
      <w:tr w:rsidR="00621481" w:rsidRPr="00621481" w:rsidTr="00621481">
        <w:tc>
          <w:tcPr>
            <w:tcW w:w="5503" w:type="dxa"/>
          </w:tcPr>
          <w:p w:rsidR="00621481" w:rsidRPr="00621481" w:rsidRDefault="00621481" w:rsidP="00621481">
            <w:pPr>
              <w:rPr>
                <w:color w:val="000000" w:themeColor="text1"/>
              </w:rPr>
            </w:pPr>
            <w:proofErr w:type="spellStart"/>
            <w:r w:rsidRPr="00621481">
              <w:rPr>
                <w:color w:val="000000" w:themeColor="text1"/>
              </w:rPr>
              <w:t>Okello</w:t>
            </w:r>
            <w:proofErr w:type="spellEnd"/>
            <w:r w:rsidRPr="00621481">
              <w:rPr>
                <w:color w:val="000000" w:themeColor="text1"/>
              </w:rPr>
              <w:t xml:space="preserve"> Emmanuel </w:t>
            </w:r>
            <w:proofErr w:type="spellStart"/>
            <w:r w:rsidRPr="00621481">
              <w:rPr>
                <w:color w:val="000000" w:themeColor="text1"/>
              </w:rPr>
              <w:t>Odongo</w:t>
            </w:r>
            <w:proofErr w:type="spellEnd"/>
          </w:p>
        </w:tc>
        <w:tc>
          <w:tcPr>
            <w:tcW w:w="4937" w:type="dxa"/>
          </w:tcPr>
          <w:p w:rsidR="00621481" w:rsidRPr="00621481" w:rsidRDefault="00621481" w:rsidP="00621481">
            <w:pPr>
              <w:rPr>
                <w:color w:val="000000" w:themeColor="text1"/>
              </w:rPr>
            </w:pPr>
            <w:r w:rsidRPr="00621481">
              <w:rPr>
                <w:color w:val="000000" w:themeColor="text1"/>
              </w:rPr>
              <w:t>23/U/16626/PS</w:t>
            </w:r>
          </w:p>
        </w:tc>
      </w:tr>
      <w:tr w:rsidR="00621481" w:rsidRPr="00621481" w:rsidTr="00621481">
        <w:tc>
          <w:tcPr>
            <w:tcW w:w="5503" w:type="dxa"/>
          </w:tcPr>
          <w:p w:rsidR="00621481" w:rsidRPr="00621481" w:rsidRDefault="00621481" w:rsidP="00621481">
            <w:pPr>
              <w:rPr>
                <w:rFonts w:hint="eastAsia"/>
                <w:color w:val="000000" w:themeColor="text1"/>
              </w:rPr>
            </w:pPr>
            <w:r w:rsidRPr="00621481">
              <w:rPr>
                <w:color w:val="000000" w:themeColor="text1"/>
              </w:rPr>
              <w:t xml:space="preserve">Ainebyona Alvin Police  </w:t>
            </w:r>
          </w:p>
        </w:tc>
        <w:tc>
          <w:tcPr>
            <w:tcW w:w="4937" w:type="dxa"/>
          </w:tcPr>
          <w:p w:rsidR="00621481" w:rsidRPr="00621481" w:rsidRDefault="00621481" w:rsidP="00621481">
            <w:pPr>
              <w:rPr>
                <w:color w:val="000000" w:themeColor="text1"/>
              </w:rPr>
            </w:pPr>
            <w:r w:rsidRPr="00621481">
              <w:rPr>
                <w:color w:val="000000" w:themeColor="text1"/>
              </w:rPr>
              <w:t>23/U/05289/EVE</w:t>
            </w:r>
          </w:p>
        </w:tc>
      </w:tr>
    </w:tbl>
    <w:p w:rsidR="00C5221B" w:rsidRDefault="00C5221B">
      <w:pPr>
        <w:rPr>
          <w:rFonts w:hint="eastAsia"/>
        </w:rPr>
      </w:pPr>
    </w:p>
    <w:p w:rsidR="00C5221B" w:rsidRDefault="00992825">
      <w:pPr>
        <w:pStyle w:val="Heading1"/>
      </w:pPr>
      <w:r>
        <w:t>1. Problem and Opportunity</w:t>
      </w:r>
    </w:p>
    <w:p w:rsidR="00C5221B" w:rsidRDefault="00992825">
      <w:pPr>
        <w:rPr>
          <w:rFonts w:hint="eastAsia"/>
        </w:rPr>
      </w:pPr>
      <w:r>
        <w:t xml:space="preserve">University academic-management workflows involve many interacting rules. </w:t>
      </w:r>
      <w:r>
        <w:t>Errors can arise when student records are created, courses are registered, or timetables are generated—for example duplicate student numbers, invalid study-mode combinations, prerequisite violations, excessive course loads, or timetable conflicts. Manual q</w:t>
      </w:r>
      <w:r>
        <w:t>uality assurance can be slow and may fail to systematically explore edge and failure cases. UniFlow will provide a small, controlled university-management system as the System Under Test (SUT), together with an AI-native QA Agent that helps discover and do</w:t>
      </w:r>
      <w:r>
        <w:t>cument defects.</w:t>
      </w:r>
    </w:p>
    <w:p w:rsidR="00C5221B" w:rsidRDefault="00992825">
      <w:pPr>
        <w:pStyle w:val="Heading1"/>
      </w:pPr>
      <w:r>
        <w:t>2. Proposed Solution</w:t>
      </w:r>
    </w:p>
    <w:p w:rsidR="00C5221B" w:rsidRDefault="00992825">
      <w:pPr>
        <w:rPr>
          <w:rFonts w:hint="eastAsia"/>
        </w:rPr>
      </w:pPr>
      <w:r>
        <w:t xml:space="preserve">UniFlow will simulate three bounded academic workflows: (1) </w:t>
      </w:r>
      <w:r w:rsidRPr="00621481">
        <w:rPr>
          <w:b/>
        </w:rPr>
        <w:t>student registration</w:t>
      </w:r>
      <w:r>
        <w:t xml:space="preserve">, (2) </w:t>
      </w:r>
      <w:r w:rsidRPr="00621481">
        <w:rPr>
          <w:b/>
        </w:rPr>
        <w:t>course registration</w:t>
      </w:r>
      <w:r>
        <w:t>, and (3)</w:t>
      </w:r>
      <w:r w:rsidRPr="00621481">
        <w:rPr>
          <w:b/>
        </w:rPr>
        <w:t xml:space="preserve"> timetable generation</w:t>
      </w:r>
      <w:r>
        <w:t>. The QA Agent will use approved requirements and a controlled knowledge corpus to p</w:t>
      </w:r>
      <w:r>
        <w:t>lan tests, generate test cases, execute approved tests through explicit tools, analyze outcomes, and prepare defect reports for human review. The agent will not be allowed to change source code, university records, or production systems autonomously.</w:t>
      </w:r>
    </w:p>
    <w:p w:rsidR="00C5221B" w:rsidRDefault="00992825">
      <w:pPr>
        <w:pStyle w:val="Heading1"/>
      </w:pPr>
      <w:r>
        <w:t>3. Ta</w:t>
      </w:r>
      <w:r>
        <w:t>rget Users and System Roles</w:t>
      </w:r>
    </w:p>
    <w:tbl>
      <w:tblPr>
        <w:tblStyle w:val="TableGrid"/>
        <w:tblW w:w="0" w:type="auto"/>
        <w:jc w:val="center"/>
        <w:tblLook w:val="04A0" w:firstRow="1" w:lastRow="0" w:firstColumn="1" w:lastColumn="0" w:noHBand="0" w:noVBand="1"/>
      </w:tblPr>
      <w:tblGrid>
        <w:gridCol w:w="5107"/>
        <w:gridCol w:w="5107"/>
      </w:tblGrid>
      <w:tr w:rsidR="00C5221B">
        <w:trPr>
          <w:jc w:val="center"/>
        </w:trPr>
        <w:tc>
          <w:tcPr>
            <w:tcW w:w="5112" w:type="dxa"/>
            <w:shd w:val="clear" w:color="auto" w:fill="D9EAF7"/>
            <w:vAlign w:val="center"/>
          </w:tcPr>
          <w:p w:rsidR="00C5221B" w:rsidRDefault="00992825">
            <w:pPr>
              <w:rPr>
                <w:rFonts w:hint="eastAsia"/>
              </w:rPr>
            </w:pPr>
            <w:r>
              <w:rPr>
                <w:b/>
                <w:sz w:val="17"/>
              </w:rPr>
              <w:t>Role</w:t>
            </w:r>
          </w:p>
        </w:tc>
        <w:tc>
          <w:tcPr>
            <w:tcW w:w="5112" w:type="dxa"/>
            <w:shd w:val="clear" w:color="auto" w:fill="D9EAF7"/>
            <w:vAlign w:val="center"/>
          </w:tcPr>
          <w:p w:rsidR="00C5221B" w:rsidRDefault="00992825">
            <w:pPr>
              <w:rPr>
                <w:rFonts w:hint="eastAsia"/>
              </w:rPr>
            </w:pPr>
            <w:r>
              <w:rPr>
                <w:b/>
                <w:sz w:val="17"/>
              </w:rPr>
              <w:t>Purpose</w:t>
            </w:r>
          </w:p>
        </w:tc>
      </w:tr>
      <w:tr w:rsidR="00C5221B">
        <w:trPr>
          <w:jc w:val="center"/>
        </w:trPr>
        <w:tc>
          <w:tcPr>
            <w:tcW w:w="5112" w:type="dxa"/>
            <w:vAlign w:val="center"/>
          </w:tcPr>
          <w:p w:rsidR="00C5221B" w:rsidRDefault="00992825">
            <w:pPr>
              <w:rPr>
                <w:rFonts w:hint="eastAsia"/>
              </w:rPr>
            </w:pPr>
            <w:r>
              <w:rPr>
                <w:sz w:val="17"/>
              </w:rPr>
              <w:t>Student</w:t>
            </w:r>
          </w:p>
        </w:tc>
        <w:tc>
          <w:tcPr>
            <w:tcW w:w="5112" w:type="dxa"/>
            <w:vAlign w:val="center"/>
          </w:tcPr>
          <w:p w:rsidR="00C5221B" w:rsidRDefault="00992825">
            <w:pPr>
              <w:rPr>
                <w:rFonts w:hint="eastAsia"/>
              </w:rPr>
            </w:pPr>
            <w:r>
              <w:rPr>
                <w:sz w:val="17"/>
              </w:rPr>
              <w:t>Provides/uses student and course-registration information and views the resulting academic information.</w:t>
            </w:r>
          </w:p>
        </w:tc>
      </w:tr>
      <w:tr w:rsidR="00C5221B">
        <w:trPr>
          <w:jc w:val="center"/>
        </w:trPr>
        <w:tc>
          <w:tcPr>
            <w:tcW w:w="5112" w:type="dxa"/>
            <w:vAlign w:val="center"/>
          </w:tcPr>
          <w:p w:rsidR="00C5221B" w:rsidRDefault="00992825">
            <w:pPr>
              <w:rPr>
                <w:rFonts w:hint="eastAsia"/>
              </w:rPr>
            </w:pPr>
            <w:r>
              <w:rPr>
                <w:sz w:val="17"/>
              </w:rPr>
              <w:t>Academic/Registration Administrator</w:t>
            </w:r>
          </w:p>
        </w:tc>
        <w:tc>
          <w:tcPr>
            <w:tcW w:w="5112" w:type="dxa"/>
            <w:vAlign w:val="center"/>
          </w:tcPr>
          <w:p w:rsidR="00C5221B" w:rsidRDefault="00992825">
            <w:pPr>
              <w:rPr>
                <w:rFonts w:hint="eastAsia"/>
              </w:rPr>
            </w:pPr>
            <w:r>
              <w:rPr>
                <w:sz w:val="17"/>
              </w:rPr>
              <w:t>Manages and validates student, programme, course-registration and</w:t>
            </w:r>
            <w:r>
              <w:rPr>
                <w:sz w:val="17"/>
              </w:rPr>
              <w:t xml:space="preserve"> timetable information.</w:t>
            </w:r>
          </w:p>
        </w:tc>
      </w:tr>
      <w:tr w:rsidR="00C5221B">
        <w:trPr>
          <w:jc w:val="center"/>
        </w:trPr>
        <w:tc>
          <w:tcPr>
            <w:tcW w:w="5112" w:type="dxa"/>
            <w:vAlign w:val="center"/>
          </w:tcPr>
          <w:p w:rsidR="00C5221B" w:rsidRDefault="00992825">
            <w:pPr>
              <w:rPr>
                <w:rFonts w:hint="eastAsia"/>
              </w:rPr>
            </w:pPr>
            <w:r>
              <w:rPr>
                <w:sz w:val="17"/>
              </w:rPr>
              <w:t>QA Engineer / QA Agent</w:t>
            </w:r>
          </w:p>
        </w:tc>
        <w:tc>
          <w:tcPr>
            <w:tcW w:w="5112" w:type="dxa"/>
            <w:vAlign w:val="center"/>
          </w:tcPr>
          <w:p w:rsidR="00C5221B" w:rsidRDefault="00992825">
            <w:pPr>
              <w:rPr>
                <w:rFonts w:hint="eastAsia"/>
              </w:rPr>
            </w:pPr>
            <w:r>
              <w:rPr>
                <w:sz w:val="17"/>
              </w:rPr>
              <w:t>The QA Agent supports the QA engineer by generating, executing, analyzing and reporting bounded tests.</w:t>
            </w:r>
          </w:p>
        </w:tc>
      </w:tr>
    </w:tbl>
    <w:p w:rsidR="00C5221B" w:rsidRDefault="00992825">
      <w:pPr>
        <w:pStyle w:val="Heading1"/>
      </w:pPr>
      <w:r>
        <w:t>4. Scope and Core Workflows</w:t>
      </w:r>
    </w:p>
    <w:tbl>
      <w:tblPr>
        <w:tblStyle w:val="TableGrid"/>
        <w:tblW w:w="0" w:type="auto"/>
        <w:jc w:val="center"/>
        <w:tblLook w:val="04A0" w:firstRow="1" w:lastRow="0" w:firstColumn="1" w:lastColumn="0" w:noHBand="0" w:noVBand="1"/>
      </w:tblPr>
      <w:tblGrid>
        <w:gridCol w:w="5107"/>
        <w:gridCol w:w="5107"/>
      </w:tblGrid>
      <w:tr w:rsidR="00C5221B">
        <w:trPr>
          <w:jc w:val="center"/>
        </w:trPr>
        <w:tc>
          <w:tcPr>
            <w:tcW w:w="5112" w:type="dxa"/>
            <w:shd w:val="clear" w:color="auto" w:fill="D9EAF7"/>
            <w:vAlign w:val="center"/>
          </w:tcPr>
          <w:p w:rsidR="00C5221B" w:rsidRDefault="00992825">
            <w:pPr>
              <w:rPr>
                <w:rFonts w:hint="eastAsia"/>
              </w:rPr>
            </w:pPr>
            <w:r>
              <w:rPr>
                <w:b/>
                <w:sz w:val="17"/>
              </w:rPr>
              <w:t>Workflow</w:t>
            </w:r>
          </w:p>
        </w:tc>
        <w:tc>
          <w:tcPr>
            <w:tcW w:w="5112" w:type="dxa"/>
            <w:shd w:val="clear" w:color="auto" w:fill="D9EAF7"/>
            <w:vAlign w:val="center"/>
          </w:tcPr>
          <w:p w:rsidR="00C5221B" w:rsidRDefault="00992825">
            <w:pPr>
              <w:rPr>
                <w:rFonts w:hint="eastAsia"/>
              </w:rPr>
            </w:pPr>
            <w:r>
              <w:rPr>
                <w:b/>
                <w:sz w:val="17"/>
              </w:rPr>
              <w:t>What UniFlow must represent</w:t>
            </w:r>
          </w:p>
        </w:tc>
      </w:tr>
      <w:tr w:rsidR="00C5221B">
        <w:trPr>
          <w:jc w:val="center"/>
        </w:trPr>
        <w:tc>
          <w:tcPr>
            <w:tcW w:w="5112" w:type="dxa"/>
            <w:vAlign w:val="center"/>
          </w:tcPr>
          <w:p w:rsidR="00C5221B" w:rsidRDefault="00992825">
            <w:pPr>
              <w:rPr>
                <w:rFonts w:hint="eastAsia"/>
              </w:rPr>
            </w:pPr>
            <w:r>
              <w:rPr>
                <w:sz w:val="17"/>
              </w:rPr>
              <w:t>Student Registration</w:t>
            </w:r>
          </w:p>
        </w:tc>
        <w:tc>
          <w:tcPr>
            <w:tcW w:w="5112" w:type="dxa"/>
            <w:vAlign w:val="center"/>
          </w:tcPr>
          <w:p w:rsidR="00C5221B" w:rsidRDefault="00992825">
            <w:pPr>
              <w:rPr>
                <w:rFonts w:hint="eastAsia"/>
              </w:rPr>
            </w:pPr>
            <w:r>
              <w:rPr>
                <w:sz w:val="17"/>
              </w:rPr>
              <w:t xml:space="preserve">Student ID, </w:t>
            </w:r>
            <w:r>
              <w:rPr>
                <w:sz w:val="17"/>
              </w:rPr>
              <w:t>registration number, derived student number, name, university email, programme, year, study mode, semester and registration status.</w:t>
            </w:r>
          </w:p>
        </w:tc>
      </w:tr>
      <w:tr w:rsidR="00C5221B">
        <w:trPr>
          <w:jc w:val="center"/>
        </w:trPr>
        <w:tc>
          <w:tcPr>
            <w:tcW w:w="5112" w:type="dxa"/>
            <w:vAlign w:val="center"/>
          </w:tcPr>
          <w:p w:rsidR="00C5221B" w:rsidRDefault="00992825">
            <w:pPr>
              <w:rPr>
                <w:rFonts w:hint="eastAsia"/>
              </w:rPr>
            </w:pPr>
            <w:r>
              <w:rPr>
                <w:sz w:val="17"/>
              </w:rPr>
              <w:t>Course Registration</w:t>
            </w:r>
          </w:p>
        </w:tc>
        <w:tc>
          <w:tcPr>
            <w:tcW w:w="5112" w:type="dxa"/>
            <w:vAlign w:val="center"/>
          </w:tcPr>
          <w:p w:rsidR="00C5221B" w:rsidRDefault="00992825">
            <w:pPr>
              <w:rPr>
                <w:rFonts w:hint="eastAsia"/>
              </w:rPr>
            </w:pPr>
            <w:r>
              <w:rPr>
                <w:sz w:val="17"/>
              </w:rPr>
              <w:t>Semester enrollment, programme/year eligibility, course availability, prerequisites, duplicate preventi</w:t>
            </w:r>
            <w:r>
              <w:rPr>
                <w:sz w:val="17"/>
              </w:rPr>
              <w:t>on, maximum course load and timetable-conflict checks.</w:t>
            </w:r>
          </w:p>
        </w:tc>
      </w:tr>
      <w:tr w:rsidR="00C5221B">
        <w:trPr>
          <w:jc w:val="center"/>
        </w:trPr>
        <w:tc>
          <w:tcPr>
            <w:tcW w:w="5112" w:type="dxa"/>
            <w:vAlign w:val="center"/>
          </w:tcPr>
          <w:p w:rsidR="00C5221B" w:rsidRDefault="00992825">
            <w:pPr>
              <w:rPr>
                <w:rFonts w:hint="eastAsia"/>
              </w:rPr>
            </w:pPr>
            <w:r>
              <w:rPr>
                <w:sz w:val="17"/>
              </w:rPr>
              <w:t>Timetable Generation</w:t>
            </w:r>
          </w:p>
        </w:tc>
        <w:tc>
          <w:tcPr>
            <w:tcW w:w="5112" w:type="dxa"/>
            <w:vAlign w:val="center"/>
          </w:tcPr>
          <w:p w:rsidR="00C5221B" w:rsidRDefault="00992825">
            <w:pPr>
              <w:rPr>
                <w:rFonts w:hint="eastAsia"/>
              </w:rPr>
            </w:pPr>
            <w:r>
              <w:rPr>
                <w:sz w:val="17"/>
              </w:rPr>
              <w:t>Scheduling of courses within permitted teaching windows while checking student/lecturer/room conflicts and course teaching frequency.</w:t>
            </w:r>
          </w:p>
        </w:tc>
      </w:tr>
    </w:tbl>
    <w:p w:rsidR="00C5221B" w:rsidRDefault="00992825">
      <w:pPr>
        <w:pStyle w:val="Heading1"/>
      </w:pPr>
      <w:r>
        <w:t>5. Key Rules and Constraints</w:t>
      </w:r>
    </w:p>
    <w:p w:rsidR="00C5221B" w:rsidRDefault="00992825">
      <w:pPr>
        <w:rPr>
          <w:rFonts w:hint="eastAsia"/>
        </w:rPr>
      </w:pPr>
      <w:r>
        <w:t>The following r</w:t>
      </w:r>
      <w:r>
        <w:t>ules are used in the UniFlow simula</w:t>
      </w:r>
      <w:r w:rsidR="00621481">
        <w:t>tion. Rules originating from our</w:t>
      </w:r>
      <w:r>
        <w:t xml:space="preserve"> team's supplied documentation are treated as source-derived requirements; ad</w:t>
      </w:r>
      <w:r w:rsidR="00621481">
        <w:t>ditional rules introduced by our</w:t>
      </w:r>
      <w:r>
        <w:t xml:space="preserve"> team are explicitly treated as UniFlow Business Rules.</w:t>
      </w:r>
    </w:p>
    <w:tbl>
      <w:tblPr>
        <w:tblStyle w:val="TableGrid"/>
        <w:tblW w:w="0" w:type="auto"/>
        <w:jc w:val="center"/>
        <w:tblLook w:val="04A0" w:firstRow="1" w:lastRow="0" w:firstColumn="1" w:lastColumn="0" w:noHBand="0" w:noVBand="1"/>
      </w:tblPr>
      <w:tblGrid>
        <w:gridCol w:w="5107"/>
        <w:gridCol w:w="5107"/>
      </w:tblGrid>
      <w:tr w:rsidR="00C5221B">
        <w:trPr>
          <w:jc w:val="center"/>
        </w:trPr>
        <w:tc>
          <w:tcPr>
            <w:tcW w:w="5112" w:type="dxa"/>
            <w:shd w:val="clear" w:color="auto" w:fill="D9EAF7"/>
            <w:vAlign w:val="center"/>
          </w:tcPr>
          <w:p w:rsidR="00C5221B" w:rsidRDefault="00992825">
            <w:pPr>
              <w:rPr>
                <w:rFonts w:hint="eastAsia"/>
              </w:rPr>
            </w:pPr>
            <w:r>
              <w:rPr>
                <w:b/>
                <w:sz w:val="17"/>
              </w:rPr>
              <w:t>Area</w:t>
            </w:r>
          </w:p>
        </w:tc>
        <w:tc>
          <w:tcPr>
            <w:tcW w:w="5112" w:type="dxa"/>
            <w:shd w:val="clear" w:color="auto" w:fill="D9EAF7"/>
            <w:vAlign w:val="center"/>
          </w:tcPr>
          <w:p w:rsidR="00C5221B" w:rsidRDefault="00992825">
            <w:pPr>
              <w:rPr>
                <w:rFonts w:hint="eastAsia"/>
              </w:rPr>
            </w:pPr>
            <w:r>
              <w:rPr>
                <w:b/>
                <w:sz w:val="17"/>
              </w:rPr>
              <w:t>Rule</w:t>
            </w:r>
          </w:p>
        </w:tc>
      </w:tr>
      <w:tr w:rsidR="00C5221B">
        <w:trPr>
          <w:jc w:val="center"/>
        </w:trPr>
        <w:tc>
          <w:tcPr>
            <w:tcW w:w="5112" w:type="dxa"/>
            <w:vAlign w:val="center"/>
          </w:tcPr>
          <w:p w:rsidR="00C5221B" w:rsidRDefault="00992825">
            <w:pPr>
              <w:rPr>
                <w:rFonts w:hint="eastAsia"/>
              </w:rPr>
            </w:pPr>
            <w:r>
              <w:rPr>
                <w:sz w:val="17"/>
              </w:rPr>
              <w:t xml:space="preserve">Student </w:t>
            </w:r>
            <w:r>
              <w:rPr>
                <w:sz w:val="17"/>
              </w:rPr>
              <w:t>identity</w:t>
            </w:r>
          </w:p>
        </w:tc>
        <w:tc>
          <w:tcPr>
            <w:tcW w:w="5112" w:type="dxa"/>
            <w:vAlign w:val="center"/>
          </w:tcPr>
          <w:p w:rsidR="00C5221B" w:rsidRDefault="00992825">
            <w:pPr>
              <w:rPr>
                <w:rFonts w:hint="eastAsia"/>
              </w:rPr>
            </w:pPr>
            <w:r>
              <w:rPr>
                <w:sz w:val="17"/>
              </w:rPr>
              <w:t>Registration numbers preserve the source format, e.g. 23/U/05288/PS or 23/U/05288/EVE. Student number is derived from the registration number (e.g. 2305288) and is unique regardless of PS/EVE.</w:t>
            </w:r>
          </w:p>
        </w:tc>
      </w:tr>
      <w:tr w:rsidR="00C5221B">
        <w:trPr>
          <w:jc w:val="center"/>
        </w:trPr>
        <w:tc>
          <w:tcPr>
            <w:tcW w:w="5112" w:type="dxa"/>
            <w:vAlign w:val="center"/>
          </w:tcPr>
          <w:p w:rsidR="00C5221B" w:rsidRDefault="00992825">
            <w:pPr>
              <w:rPr>
                <w:rFonts w:hint="eastAsia"/>
              </w:rPr>
            </w:pPr>
            <w:r>
              <w:rPr>
                <w:sz w:val="17"/>
              </w:rPr>
              <w:lastRenderedPageBreak/>
              <w:t>Study mode</w:t>
            </w:r>
          </w:p>
        </w:tc>
        <w:tc>
          <w:tcPr>
            <w:tcW w:w="5112" w:type="dxa"/>
            <w:vAlign w:val="center"/>
          </w:tcPr>
          <w:p w:rsidR="00C5221B" w:rsidRDefault="00992825">
            <w:pPr>
              <w:rPr>
                <w:rFonts w:hint="eastAsia"/>
              </w:rPr>
            </w:pPr>
            <w:r>
              <w:rPr>
                <w:sz w:val="17"/>
              </w:rPr>
              <w:t>PS means Day; EVE means Evening. The suppo</w:t>
            </w:r>
            <w:r>
              <w:rPr>
                <w:sz w:val="17"/>
              </w:rPr>
              <w:t>rted programme/year combinations are those defined for the UniFlow colleges and programmes.</w:t>
            </w:r>
          </w:p>
        </w:tc>
      </w:tr>
      <w:tr w:rsidR="00C5221B">
        <w:trPr>
          <w:jc w:val="center"/>
        </w:trPr>
        <w:tc>
          <w:tcPr>
            <w:tcW w:w="5112" w:type="dxa"/>
            <w:vAlign w:val="center"/>
          </w:tcPr>
          <w:p w:rsidR="00C5221B" w:rsidRDefault="00992825">
            <w:pPr>
              <w:rPr>
                <w:rFonts w:hint="eastAsia"/>
              </w:rPr>
            </w:pPr>
            <w:r>
              <w:rPr>
                <w:sz w:val="17"/>
              </w:rPr>
              <w:t>Programme structure</w:t>
            </w:r>
          </w:p>
        </w:tc>
        <w:tc>
          <w:tcPr>
            <w:tcW w:w="5112" w:type="dxa"/>
            <w:vAlign w:val="center"/>
          </w:tcPr>
          <w:p w:rsidR="00C5221B" w:rsidRDefault="00992825">
            <w:pPr>
              <w:rPr>
                <w:rFonts w:hint="eastAsia"/>
              </w:rPr>
            </w:pPr>
            <w:r>
              <w:rPr>
                <w:sz w:val="17"/>
              </w:rPr>
              <w:t>CEAD programmes are four-year programmes. CoCIS includes BSc Software Engineering (4 years), BSc Computer Science (3 years), and BSc Informatio</w:t>
            </w:r>
            <w:r>
              <w:rPr>
                <w:sz w:val="17"/>
              </w:rPr>
              <w:t>n Systems Technology (3 years).</w:t>
            </w:r>
          </w:p>
        </w:tc>
      </w:tr>
      <w:tr w:rsidR="00C5221B">
        <w:trPr>
          <w:jc w:val="center"/>
        </w:trPr>
        <w:tc>
          <w:tcPr>
            <w:tcW w:w="5112" w:type="dxa"/>
            <w:vAlign w:val="center"/>
          </w:tcPr>
          <w:p w:rsidR="00C5221B" w:rsidRDefault="00992825">
            <w:pPr>
              <w:rPr>
                <w:rFonts w:hint="eastAsia"/>
              </w:rPr>
            </w:pPr>
            <w:r>
              <w:rPr>
                <w:sz w:val="17"/>
              </w:rPr>
              <w:t>Course load</w:t>
            </w:r>
          </w:p>
        </w:tc>
        <w:tc>
          <w:tcPr>
            <w:tcW w:w="5112" w:type="dxa"/>
            <w:vAlign w:val="center"/>
          </w:tcPr>
          <w:p w:rsidR="00C5221B" w:rsidRDefault="00992825">
            <w:pPr>
              <w:rPr>
                <w:rFonts w:hint="eastAsia"/>
              </w:rPr>
            </w:pPr>
            <w:r>
              <w:rPr>
                <w:sz w:val="17"/>
              </w:rPr>
              <w:t>Maximum course load is 6 units in Year 1, 6 in Year 2, 5 in Year 3 and 4 in Year 4.</w:t>
            </w:r>
            <w:r w:rsidR="00987645">
              <w:rPr>
                <w:sz w:val="17"/>
              </w:rPr>
              <w:t xml:space="preserve"> </w:t>
            </w:r>
            <w:r w:rsidR="00987645">
              <w:rPr>
                <w:sz w:val="17"/>
              </w:rPr>
              <w:t>This is a UniFlow Business Rule.</w:t>
            </w:r>
          </w:p>
        </w:tc>
      </w:tr>
      <w:tr w:rsidR="00C5221B">
        <w:trPr>
          <w:jc w:val="center"/>
        </w:trPr>
        <w:tc>
          <w:tcPr>
            <w:tcW w:w="5112" w:type="dxa"/>
            <w:vAlign w:val="center"/>
          </w:tcPr>
          <w:p w:rsidR="00C5221B" w:rsidRDefault="00992825">
            <w:pPr>
              <w:rPr>
                <w:rFonts w:hint="eastAsia"/>
              </w:rPr>
            </w:pPr>
            <w:r>
              <w:rPr>
                <w:sz w:val="17"/>
              </w:rPr>
              <w:t>Teaching windows</w:t>
            </w:r>
          </w:p>
        </w:tc>
        <w:tc>
          <w:tcPr>
            <w:tcW w:w="5112" w:type="dxa"/>
            <w:vAlign w:val="center"/>
          </w:tcPr>
          <w:p w:rsidR="00C5221B" w:rsidRDefault="00992825">
            <w:pPr>
              <w:rPr>
                <w:rFonts w:hint="eastAsia"/>
              </w:rPr>
            </w:pPr>
            <w:r>
              <w:rPr>
                <w:sz w:val="17"/>
              </w:rPr>
              <w:t>Day classes: 8:00 AM–4:00 PM. Evening classes: 4:30 PM–8:30 PM. This is a UniFlow Business Rule.</w:t>
            </w:r>
          </w:p>
        </w:tc>
      </w:tr>
      <w:tr w:rsidR="00C5221B">
        <w:trPr>
          <w:jc w:val="center"/>
        </w:trPr>
        <w:tc>
          <w:tcPr>
            <w:tcW w:w="5112" w:type="dxa"/>
            <w:vAlign w:val="center"/>
          </w:tcPr>
          <w:p w:rsidR="00C5221B" w:rsidRDefault="00992825">
            <w:pPr>
              <w:rPr>
                <w:rFonts w:hint="eastAsia"/>
              </w:rPr>
            </w:pPr>
            <w:r>
              <w:rPr>
                <w:sz w:val="17"/>
              </w:rPr>
              <w:t xml:space="preserve">Course </w:t>
            </w:r>
            <w:r>
              <w:rPr>
                <w:sz w:val="17"/>
              </w:rPr>
              <w:t>frequency</w:t>
            </w:r>
          </w:p>
        </w:tc>
        <w:tc>
          <w:tcPr>
            <w:tcW w:w="5112" w:type="dxa"/>
            <w:vAlign w:val="center"/>
          </w:tcPr>
          <w:p w:rsidR="00C5221B" w:rsidRDefault="00992825">
            <w:pPr>
              <w:rPr>
                <w:rFonts w:hint="eastAsia"/>
              </w:rPr>
            </w:pPr>
            <w:r>
              <w:rPr>
                <w:sz w:val="17"/>
              </w:rPr>
              <w:t>Each course in a programme must be taught at least once and at most twice per week, regardless of year. This is a UniFlow Business Rule.</w:t>
            </w:r>
          </w:p>
        </w:tc>
      </w:tr>
      <w:tr w:rsidR="00C5221B">
        <w:trPr>
          <w:jc w:val="center"/>
        </w:trPr>
        <w:tc>
          <w:tcPr>
            <w:tcW w:w="5112" w:type="dxa"/>
            <w:vAlign w:val="center"/>
          </w:tcPr>
          <w:p w:rsidR="00C5221B" w:rsidRDefault="00992825">
            <w:pPr>
              <w:rPr>
                <w:rFonts w:hint="eastAsia"/>
              </w:rPr>
            </w:pPr>
            <w:r>
              <w:rPr>
                <w:sz w:val="17"/>
              </w:rPr>
              <w:t>Registration</w:t>
            </w:r>
          </w:p>
        </w:tc>
        <w:tc>
          <w:tcPr>
            <w:tcW w:w="5112" w:type="dxa"/>
            <w:vAlign w:val="center"/>
          </w:tcPr>
          <w:p w:rsidR="00C5221B" w:rsidRDefault="00992825">
            <w:pPr>
              <w:rPr>
                <w:rFonts w:hint="eastAsia"/>
              </w:rPr>
            </w:pPr>
            <w:r>
              <w:rPr>
                <w:sz w:val="17"/>
              </w:rPr>
              <w:t>Students must satisfy applicable enrollment, eligibility, prerequisite, duplicate-registration,</w:t>
            </w:r>
            <w:r>
              <w:rPr>
                <w:sz w:val="17"/>
              </w:rPr>
              <w:t xml:space="preserve"> course-load and timetable checks before course registration is accepted.</w:t>
            </w:r>
          </w:p>
        </w:tc>
      </w:tr>
      <w:tr w:rsidR="00C5221B">
        <w:trPr>
          <w:jc w:val="center"/>
        </w:trPr>
        <w:tc>
          <w:tcPr>
            <w:tcW w:w="5112" w:type="dxa"/>
            <w:vAlign w:val="center"/>
          </w:tcPr>
          <w:p w:rsidR="00C5221B" w:rsidRDefault="00992825">
            <w:pPr>
              <w:rPr>
                <w:rFonts w:hint="eastAsia"/>
              </w:rPr>
            </w:pPr>
            <w:r>
              <w:rPr>
                <w:sz w:val="17"/>
              </w:rPr>
              <w:t>Assessment/academic context</w:t>
            </w:r>
          </w:p>
        </w:tc>
        <w:tc>
          <w:tcPr>
            <w:tcW w:w="5112" w:type="dxa"/>
            <w:vAlign w:val="center"/>
          </w:tcPr>
          <w:p w:rsidR="00C5221B" w:rsidRDefault="00992825">
            <w:pPr>
              <w:rPr>
                <w:rFonts w:hint="eastAsia"/>
              </w:rPr>
            </w:pPr>
            <w:r>
              <w:rPr>
                <w:sz w:val="17"/>
              </w:rPr>
              <w:t>The simulated system reflects only academic-management rules relevant to the three selected workflows; unrelated institutional processes are excluded.</w:t>
            </w:r>
          </w:p>
        </w:tc>
      </w:tr>
    </w:tbl>
    <w:p w:rsidR="00C5221B" w:rsidRDefault="00992825">
      <w:pPr>
        <w:pStyle w:val="Heading1"/>
      </w:pPr>
      <w:r>
        <w:t>6. AI Value and AI Boundary</w:t>
      </w:r>
    </w:p>
    <w:p w:rsidR="00C5221B" w:rsidRDefault="00992825">
      <w:pPr>
        <w:rPr>
          <w:rFonts w:hint="eastAsia"/>
        </w:rPr>
      </w:pPr>
      <w:r>
        <w:t xml:space="preserve">The AI component is valuable where interpretation, test generation, planning and failure analysis are useful. Deterministic application logic remains responsible for enforcing business rules and data integrity. The QA Agent may </w:t>
      </w:r>
      <w:r>
        <w:t>retrieve approved requirements, inspect approved project artifacts, generate and run tests through allow-listed tools, analyze results, and draft defect reports. It may not access credentials or production systems, modify source code or records, deploy, me</w:t>
      </w:r>
      <w:r>
        <w:t>rge, or make academic decisions.</w:t>
      </w:r>
    </w:p>
    <w:p w:rsidR="00C5221B" w:rsidRDefault="00992825">
      <w:pPr>
        <w:pStyle w:val="Heading1"/>
      </w:pPr>
      <w:r>
        <w:t>7. Scope Exclusions, Assumptions and Constraints</w:t>
      </w:r>
    </w:p>
    <w:p w:rsidR="00C5221B" w:rsidRDefault="00992825">
      <w:pPr>
        <w:rPr>
          <w:rFonts w:hint="eastAsia"/>
        </w:rPr>
      </w:pPr>
      <w:r>
        <w:t>Excluded are real student accounts, real institutional databases, real financial transactions, admissions, examinations and grading, discipline, elections, library processes,</w:t>
      </w:r>
      <w:r>
        <w:t xml:space="preserve"> autonomous production deployment, and autonomous source-code modification. Data will be synthetic, team-created, public, or otherwise authorized. Retake management is a planned future requirement to be specified in a later iteration rather than a detailed</w:t>
      </w:r>
      <w:r>
        <w:t xml:space="preserve"> Week 1 rule.</w:t>
      </w:r>
    </w:p>
    <w:p w:rsidR="00C5221B" w:rsidRDefault="00992825">
      <w:pPr>
        <w:pStyle w:val="Heading1"/>
      </w:pPr>
      <w:r>
        <w:t>8. Success Criteria</w:t>
      </w:r>
    </w:p>
    <w:p w:rsidR="00C5221B" w:rsidRDefault="00992825">
      <w:pPr>
        <w:pStyle w:val="ListBullet"/>
        <w:rPr>
          <w:rFonts w:hint="eastAsia"/>
        </w:rPr>
      </w:pPr>
      <w:r>
        <w:t>All three selected workflows are implemented sufficiently to serve as a meaningful SUT.</w:t>
      </w:r>
    </w:p>
    <w:p w:rsidR="00C5221B" w:rsidRDefault="00992825">
      <w:pPr>
        <w:pStyle w:val="ListBullet"/>
        <w:rPr>
          <w:rFonts w:hint="eastAsia"/>
        </w:rPr>
      </w:pPr>
      <w:r>
        <w:t>A foundation model is integrated into the QA workflow with versioned prompts and documented tests.</w:t>
      </w:r>
    </w:p>
    <w:p w:rsidR="00C5221B" w:rsidRDefault="00987645">
      <w:pPr>
        <w:pStyle w:val="ListBullet"/>
        <w:rPr>
          <w:rFonts w:hint="eastAsia"/>
        </w:rPr>
      </w:pPr>
      <w:r>
        <w:t>A controlled collection</w:t>
      </w:r>
      <w:bookmarkStart w:id="0" w:name="_GoBack"/>
      <w:bookmarkEnd w:id="0"/>
      <w:r w:rsidR="00992825">
        <w:t xml:space="preserve"> and retrieval m</w:t>
      </w:r>
      <w:r w:rsidR="00992825">
        <w:t>echanism provide source-grounded QA reasoning and unsupported-answer handling.</w:t>
      </w:r>
    </w:p>
    <w:p w:rsidR="00C5221B" w:rsidRDefault="00992825">
      <w:pPr>
        <w:pStyle w:val="ListBullet"/>
        <w:rPr>
          <w:rFonts w:hint="eastAsia"/>
        </w:rPr>
      </w:pPr>
      <w:r>
        <w:t>At least two explicit tools are available to the QA Agent, with bounded execution and human handoff.</w:t>
      </w:r>
    </w:p>
    <w:p w:rsidR="00C5221B" w:rsidRDefault="00992825">
      <w:pPr>
        <w:pStyle w:val="ListBullet"/>
        <w:rPr>
          <w:rFonts w:hint="eastAsia"/>
        </w:rPr>
      </w:pPr>
      <w:r>
        <w:t>State/memory, logs/traces, permissions, allow-lists and execution limits are</w:t>
      </w:r>
      <w:r>
        <w:t xml:space="preserve"> implemented.</w:t>
      </w:r>
    </w:p>
    <w:p w:rsidR="00C5221B" w:rsidRDefault="00992825">
      <w:pPr>
        <w:pStyle w:val="ListBullet"/>
        <w:rPr>
          <w:rFonts w:hint="eastAsia"/>
        </w:rPr>
      </w:pPr>
      <w:r>
        <w:t>The final system can be evaluated against at least 30 normal, edge, failure and adversarial scenarios.</w:t>
      </w:r>
    </w:p>
    <w:p w:rsidR="00C5221B" w:rsidRDefault="00992825">
      <w:pPr>
        <w:pStyle w:val="ListBullet"/>
        <w:rPr>
          <w:rFonts w:hint="eastAsia"/>
        </w:rPr>
      </w:pPr>
      <w:r>
        <w:t>GitHub, ClickUp and MUELE provide traceable evidence of development, tasks, tests and documentation.</w:t>
      </w:r>
    </w:p>
    <w:p w:rsidR="00C5221B" w:rsidRDefault="00992825">
      <w:pPr>
        <w:rPr>
          <w:rFonts w:hint="eastAsia"/>
        </w:rPr>
      </w:pPr>
      <w:r>
        <w:t>Week 1 status: charter, user stories/a</w:t>
      </w:r>
      <w:r>
        <w:t>cceptance criteria, AI boundary and initial architecture are established. Detailed implementation and additional rules will be refined in subsequent weeks.</w:t>
      </w:r>
    </w:p>
    <w:sectPr w:rsidR="00C5221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2825" w:rsidRDefault="00992825">
      <w:pPr>
        <w:spacing w:after="0" w:line="240" w:lineRule="auto"/>
        <w:rPr>
          <w:rFonts w:hint="eastAsia"/>
        </w:rPr>
      </w:pPr>
      <w:r>
        <w:separator/>
      </w:r>
    </w:p>
  </w:endnote>
  <w:endnote w:type="continuationSeparator" w:id="0">
    <w:p w:rsidR="00992825" w:rsidRDefault="0099282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21B" w:rsidRPr="00647EF9" w:rsidRDefault="00647EF9" w:rsidP="00647EF9">
    <w:pPr>
      <w:pStyle w:val="Footer"/>
      <w:jc w:val="center"/>
      <w:rPr>
        <w:rFonts w:hint="eastAsia"/>
        <w:sz w:val="16"/>
      </w:rPr>
    </w:pPr>
    <w:r>
      <w:rPr>
        <w:sz w:val="16"/>
      </w:rPr>
      <w:t xml:space="preserve">Group I. BSE 4104. </w:t>
    </w:r>
    <w:r w:rsidR="00992825">
      <w:rPr>
        <w:sz w:val="16"/>
      </w:rPr>
      <w:t xml:space="preserve">Week 1 </w:t>
    </w:r>
    <w:r w:rsidR="00992825">
      <w:rPr>
        <w:sz w:val="16"/>
      </w:rPr>
      <w:t>Submission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2825" w:rsidRDefault="00992825">
      <w:pPr>
        <w:spacing w:after="0" w:line="240" w:lineRule="auto"/>
        <w:rPr>
          <w:rFonts w:hint="eastAsia"/>
        </w:rPr>
      </w:pPr>
      <w:r>
        <w:separator/>
      </w:r>
    </w:p>
  </w:footnote>
  <w:footnote w:type="continuationSeparator" w:id="0">
    <w:p w:rsidR="00992825" w:rsidRDefault="0099282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36D96"/>
    <w:rsid w:val="00621481"/>
    <w:rsid w:val="00647EF9"/>
    <w:rsid w:val="00987645"/>
    <w:rsid w:val="00992825"/>
    <w:rsid w:val="00AA1D8D"/>
    <w:rsid w:val="00B47730"/>
    <w:rsid w:val="00C522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12525"/>
  <w14:defaultImageDpi w14:val="300"/>
  <w15:docId w15:val="{04EDE0F2-AEF6-4B88-86C0-0CCD6B7F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647EF9"/>
    <w:pPr>
      <w:keepNext/>
      <w:keepLines/>
      <w:spacing w:before="140" w:after="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47EF9"/>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55C851-CBCE-4BB5-844E-EFAC68FC3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Ainebyona Alvin Police</dc:creator>
  <cp:keywords/>
  <dc:description>generated by python-docx</dc:description>
  <cp:lastModifiedBy>ALVIN'S PC 635</cp:lastModifiedBy>
  <cp:revision>4</cp:revision>
  <dcterms:created xsi:type="dcterms:W3CDTF">2026-09-06T18:04:00Z</dcterms:created>
  <dcterms:modified xsi:type="dcterms:W3CDTF">2026-09-06T18:04:00Z</dcterms:modified>
  <cp:category/>
</cp:coreProperties>
</file>