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404040"/>
          <w:sz w:val="26"/>
        </w:rPr>
        <w:t>FICHA DE PROYECTO DE MÓDULO</w:t>
      </w:r>
    </w:p>
    <w:p>
      <w:pPr>
        <w:spacing w:after="280"/>
        <w:jc w:val="center"/>
      </w:pPr>
      <w:r>
        <w:rPr>
          <w:b/>
          <w:color w:val="1F3B57"/>
          <w:sz w:val="40"/>
        </w:rPr>
        <w:t>Módulo de Gestión Docente — Verificación de Atinencia con Vía de Nota Técnica</w:t>
      </w:r>
    </w:p>
    <w:p>
      <w:pPr>
        <w:spacing w:after="200"/>
        <w:pBdr>
          <w:bottom w:val="single" w:sz="10" w:space="1" w:color="1F3B57"/>
        </w:pBdr>
      </w:pPr>
    </w:p>
    <w:p>
      <w:pPr>
        <w:pStyle w:val="Heading1"/>
      </w:pPr>
      <w:r>
        <w:t>1. Encabezado Oficial</w:t>
      </w:r>
    </w:p>
    <w:tbl>
      <w:tblPr>
        <w:tblW w:type="auto" w:w="0"/>
        <w:jc w:val="left"/>
        <w:tblLayout w:type="fixed"/>
        <w:tblLook w:firstColumn="1" w:firstRow="1" w:lastColumn="0" w:lastRow="0" w:noHBand="0" w:noVBand="1" w:val="04A0"/>
      </w:tblPr>
      <w:tblGrid>
        <w:gridCol w:w="4680"/>
        <w:gridCol w:w="4680"/>
      </w:tblGrid>
      <w:tr>
        <w:tc>
          <w:tcPr>
            <w:tcW w:type="dxa" w:w="2304"/>
            <w:shd w:val="clear" w:color="auto" w:fill="E9EEF3"/>
            <w:vAlign w:val="center"/>
          </w:tcPr>
          <w:p>
            <w:r/>
            <w:r>
              <w:rPr>
                <w:b/>
                <w:sz w:val="22"/>
              </w:rPr>
              <w:t>Docente</w:t>
            </w:r>
          </w:p>
        </w:tc>
        <w:tc>
          <w:tcPr>
            <w:tcW w:type="dxa" w:w="7056"/>
            <w:vAlign w:val="center"/>
          </w:tcPr>
          <w:p>
            <w:r/>
            <w:r>
              <w:rPr>
                <w:sz w:val="22"/>
              </w:rPr>
              <w:t>Lic. Bryan Miguel Chaves Salas</w:t>
            </w:r>
          </w:p>
        </w:tc>
      </w:tr>
      <w:tr>
        <w:tc>
          <w:tcPr>
            <w:tcW w:type="dxa" w:w="2304"/>
            <w:shd w:val="clear" w:color="auto" w:fill="E9EEF3"/>
            <w:vAlign w:val="center"/>
          </w:tcPr>
          <w:p>
            <w:r/>
            <w:r>
              <w:rPr>
                <w:b/>
                <w:sz w:val="22"/>
              </w:rPr>
              <w:t>Institución</w:t>
            </w:r>
          </w:p>
        </w:tc>
        <w:tc>
          <w:tcPr>
            <w:tcW w:type="dxa" w:w="7056"/>
            <w:vAlign w:val="center"/>
          </w:tcPr>
          <w:p>
            <w:r/>
            <w:r>
              <w:rPr>
                <w:sz w:val="22"/>
              </w:rPr>
              <w:t>UTN, Sede San Carlos</w:t>
            </w:r>
          </w:p>
        </w:tc>
      </w:tr>
      <w:tr>
        <w:tc>
          <w:tcPr>
            <w:tcW w:type="dxa" w:w="2304"/>
            <w:shd w:val="clear" w:color="auto" w:fill="E9EEF3"/>
            <w:vAlign w:val="center"/>
          </w:tcPr>
          <w:p>
            <w:r/>
            <w:r>
              <w:rPr>
                <w:b/>
                <w:sz w:val="22"/>
              </w:rPr>
              <w:t>Período</w:t>
            </w:r>
          </w:p>
        </w:tc>
        <w:tc>
          <w:tcPr>
            <w:tcW w:type="dxa" w:w="7056"/>
            <w:vAlign w:val="center"/>
          </w:tcPr>
          <w:p>
            <w:r/>
            <w:r>
              <w:rPr>
                <w:sz w:val="22"/>
              </w:rPr>
              <w:t>2026 – II Cuatrimestre</w:t>
            </w:r>
          </w:p>
        </w:tc>
      </w:tr>
      <w:tr>
        <w:tc>
          <w:tcPr>
            <w:tcW w:type="dxa" w:w="2304"/>
            <w:shd w:val="clear" w:color="auto" w:fill="E9EEF3"/>
            <w:vAlign w:val="center"/>
          </w:tcPr>
          <w:p>
            <w:r/>
            <w:r>
              <w:rPr>
                <w:b/>
                <w:sz w:val="22"/>
              </w:rPr>
              <w:t>Curso</w:t>
            </w:r>
          </w:p>
        </w:tc>
        <w:tc>
          <w:tcPr>
            <w:tcW w:type="dxa" w:w="7056"/>
            <w:vAlign w:val="center"/>
          </w:tcPr>
          <w:p>
            <w:r/>
            <w:r>
              <w:rPr>
                <w:sz w:val="22"/>
              </w:rPr>
              <w:t>Programación en Ambiente Web I</w:t>
            </w:r>
          </w:p>
        </w:tc>
      </w:tr>
      <w:tr>
        <w:tc>
          <w:tcPr>
            <w:tcW w:type="dxa" w:w="2304"/>
            <w:shd w:val="clear" w:color="auto" w:fill="E9EEF3"/>
            <w:vAlign w:val="center"/>
          </w:tcPr>
          <w:p>
            <w:r/>
            <w:r>
              <w:rPr>
                <w:b/>
                <w:sz w:val="22"/>
              </w:rPr>
              <w:t>Código</w:t>
            </w:r>
          </w:p>
        </w:tc>
        <w:tc>
          <w:tcPr>
            <w:tcW w:type="dxa" w:w="7056"/>
            <w:vAlign w:val="center"/>
          </w:tcPr>
          <w:p>
            <w:r/>
            <w:r>
              <w:rPr>
                <w:sz w:val="22"/>
              </w:rPr>
              <w:t>ISW-521</w:t>
            </w:r>
          </w:p>
        </w:tc>
      </w:tr>
    </w:tbl>
    <w:p/>
    <w:p>
      <w:pPr>
        <w:pStyle w:val="Heading1"/>
      </w:pPr>
      <w:r>
        <w:t>2. Definición del Módulo</w:t>
      </w:r>
    </w:p>
    <w:p>
      <w:r>
        <w:rPr>
          <w:b/>
          <w:color w:val="1F3B57"/>
          <w:sz w:val="26"/>
        </w:rPr>
        <w:t>Módulo de Gestión Docente — Verificación de Atinencia con Vía de Nota Técnica</w:t>
      </w:r>
    </w:p>
    <w:p>
      <w:r>
        <w:rPr>
          <w:i/>
          <w:color w:val="404040"/>
          <w:sz w:val="19"/>
        </w:rPr>
        <w:t>Adaptado de FR-DO-01, FR-DO-02, FR-DO-02a, FR-DO-02b y FR-DO-02d del SRS v1.2 (Sistema Integrado de Gestión Académica y Docente, UTN Sede San Carlos).</w:t>
      </w:r>
    </w:p>
    <w:p>
      <w:pPr>
        <w:pStyle w:val="Heading2"/>
      </w:pPr>
      <w:r>
        <w:t>Objetivo del proyecto</w:t>
      </w:r>
    </w:p>
    <w:p>
      <w:r>
        <w:t>Antes de que un docente entre a un aula, alguien tiene que verificar que su título realmente lo habilita para dar ese curso específico. Eso no es un trámite decorativo: es lo que protege a la universidad de una observación de acreditación y a un estudiante de recibir clase de alguien sin la formación pertinente.</w:t>
      </w:r>
    </w:p>
    <w:p>
      <w:r>
        <w:t>El problema es que hoy esa verificación depende de que la persona encargada tenga el Manual de Atinencias fresco en la memoria, materia por materia, carrera por carrera. Este proyecto construye el motor que hace esa verificación de forma automática y trazable: dado un docente y un curso, el sistema debe decidir si el docente es Atinente, No Atinente, si aplica la vía excepcional de Nota técnica, o si la carrera simplemente todavía no tiene catálogo publicado.</w:t>
      </w:r>
    </w:p>
    <w:p>
      <w:r>
        <w:t>Cada uno de esos cuatro resultados tiene reglas y consecuencias distintas, y ahí está el reto real del proyecto: no es solo comparar dos listas de texto, es implementar correctamente una máquina de estados con una vía de excepción documentada y auditable, donde cada decisión queda registrada con quién la tomó y por qué.</w:t>
      </w:r>
    </w:p>
    <w:p>
      <w:pPr>
        <w:pStyle w:val="Heading2"/>
      </w:pPr>
      <w:r>
        <w:t>Requerimientos funcionales que el equipo debe implementar</w:t>
      </w:r>
    </w:p>
    <w:p>
      <w:r>
        <w:rPr>
          <w:i/>
        </w:rPr>
        <w:t>Cada requerimiento incluye su descripción, las entradas que el sistema debe aceptar, el flujo exacto que debe seguir y las salidas que debe producir. Los criterios de aceptación son la base de la evaluación funcional y de la defensa oral: un requerimiento que no cumple su criterio de aceptación se considera no implementado, aunque el código exista.</w:t>
      </w:r>
    </w:p>
    <w:p>
      <w:pPr>
        <w:pStyle w:val="Heading3"/>
      </w:pPr>
      <w:r>
        <w:t>DO-01 — Registro de Atestados Académicos del Docente</w:t>
      </w:r>
    </w:p>
    <w:p>
      <w:r>
        <w:rPr>
          <w:i/>
          <w:color w:val="404040"/>
          <w:sz w:val="20"/>
        </w:rPr>
        <w:t>Prioridad: Alta</w:t>
      </w:r>
    </w:p>
    <w:p>
      <w:r>
        <w:rPr>
          <w:b/>
        </w:rPr>
        <w:t xml:space="preserve">Descripción: </w:t>
      </w:r>
      <w:r>
        <w:t>El sistema debe almacenar el perfil académico de cada docente: grados académicos (bachillerato, licenciatura, maestría, doctorado), institución, año de obtención y área de especialización del grado. Solo un usuario con rol Administrador o Coordinadora de Docencia puede modificar atestados; toda modificación queda en un registro de auditoría.</w:t>
      </w:r>
    </w:p>
    <w:p>
      <w:r>
        <w:rPr>
          <w:b/>
        </w:rPr>
        <w:t>Entradas:</w:t>
      </w:r>
    </w:p>
    <w:p>
      <w:pPr>
        <w:pStyle w:val="ListBullet"/>
      </w:pPr>
      <w:r>
        <w:t>Cédula del docente, grado académico, institución, año de obtención, área de especialización.</w:t>
      </w:r>
    </w:p>
    <w:p>
      <w:r>
        <w:rPr>
          <w:b/>
        </w:rPr>
        <w:t>Flujo:</w:t>
      </w:r>
    </w:p>
    <w:p>
      <w:pPr>
        <w:pStyle w:val="ListNumber"/>
      </w:pPr>
      <w:r>
        <w:t>Un usuario con rol Administrador o Coordinadora registra o edita los atestados de un docente.</w:t>
      </w:r>
    </w:p>
    <w:p>
      <w:pPr>
        <w:pStyle w:val="ListNumber"/>
      </w:pPr>
      <w:r>
        <w:t>El sistema almacena cada atestado asociado al docente.</w:t>
      </w:r>
    </w:p>
    <w:p>
      <w:pPr>
        <w:pStyle w:val="ListNumber"/>
      </w:pPr>
      <w:r>
        <w:t>Toda modificación queda registrada en un log de auditoría (usuario, fecha, campo modificado, valor anterior, valor nuevo).</w:t>
      </w:r>
    </w:p>
    <w:p>
      <w:r>
        <w:rPr>
          <w:b/>
        </w:rPr>
        <w:t>Salidas:</w:t>
      </w:r>
    </w:p>
    <w:p>
      <w:pPr>
        <w:pStyle w:val="ListBullet"/>
      </w:pPr>
      <w:r>
        <w:t>Perfil del docente con la lista completa de atestados.</w:t>
      </w:r>
    </w:p>
    <w:p>
      <w:pPr>
        <w:pStyle w:val="ListBullet"/>
      </w:pPr>
      <w:r>
        <w:t>En el contexto de un curso específico, cada atestado muestra su resultado de evaluación de atinencia (ver DO-02a) y la referencia del catálogo que lo justifica.</w:t>
      </w:r>
    </w:p>
    <w:p>
      <w:r>
        <w:rPr>
          <w:b/>
        </w:rPr>
        <w:t>Criterios de aceptación:</w:t>
      </w:r>
    </w:p>
    <w:p>
      <w:pPr>
        <w:pStyle w:val="ListBullet"/>
      </w:pPr>
      <w:r>
        <w:t>Consultado el perfil de un docente en el contexto de un curso, el sistema muestra cada grado con su resultado de evaluación y la referencia del catálogo (carrera, curso, versión, acuerdo).</w:t>
      </w:r>
    </w:p>
    <w:p>
      <w:pPr>
        <w:pStyle w:val="ListBullet"/>
      </w:pPr>
      <w:r>
        <w:t>Un rol distinto de Administrador o Coordinadora que intenta modificar atestados es rechazado.</w:t>
      </w:r>
    </w:p>
    <w:p/>
    <w:p>
      <w:pPr>
        <w:pStyle w:val="Heading3"/>
      </w:pPr>
      <w:r>
        <w:t>DO-02 — Catálogo de Atinencias por Carrera y Curso, con Versionado</w:t>
      </w:r>
    </w:p>
    <w:p>
      <w:r>
        <w:rPr>
          <w:i/>
          <w:color w:val="404040"/>
          <w:sz w:val="20"/>
        </w:rPr>
        <w:t>Prioridad: Alta</w:t>
      </w:r>
    </w:p>
    <w:p>
      <w:r>
        <w:rPr>
          <w:b/>
        </w:rPr>
        <w:t xml:space="preserve">Descripción: </w:t>
      </w:r>
      <w:r>
        <w:t>El sistema debe contener un catálogo de atinencias estructurado por la llave (carrera, curso). Cada entrada registra: lista de grados/especialidades atinentes, versión del catálogo, acuerdo del Consejo Universitario y número de La Gaceta (ambos obligatorios), y fechas de vigencia. Solo el Administrador actualiza el catálogo; cada actualización crea una nueva versión sin eliminar las anteriores. Al verificar la atinencia de un grupo, el sistema aplica la entrada cuya vigencia comprende la fecha de inicio del cuatrimestre destino del grupo (no la fecha de programación); si no existe entrada vigente para esa fecha, aplica la última entrada vigente y marca la verificación como "provisional por vigencia futura".</w:t>
      </w:r>
    </w:p>
    <w:p>
      <w:r>
        <w:rPr>
          <w:b/>
        </w:rPr>
        <w:t>Entradas:</w:t>
      </w:r>
    </w:p>
    <w:p>
      <w:pPr>
        <w:pStyle w:val="ListBullet"/>
      </w:pPr>
      <w:r>
        <w:t>Carrera, curso, lista de grados/especialidades atinentes.</w:t>
      </w:r>
    </w:p>
    <w:p>
      <w:pPr>
        <w:pStyle w:val="ListBullet"/>
      </w:pPr>
      <w:r>
        <w:t>Acuerdo del Consejo Universitario, número de La Gaceta.</w:t>
      </w:r>
    </w:p>
    <w:p>
      <w:pPr>
        <w:pStyle w:val="ListBullet"/>
      </w:pPr>
      <w:r>
        <w:t>Fecha de inicio y fecha de fin de vigencia.</w:t>
      </w:r>
    </w:p>
    <w:p>
      <w:r>
        <w:rPr>
          <w:b/>
        </w:rPr>
        <w:t>Flujo:</w:t>
      </w:r>
    </w:p>
    <w:p>
      <w:pPr>
        <w:pStyle w:val="ListNumber"/>
      </w:pPr>
      <w:r>
        <w:t>El Administrador crea una entrada de catálogo para el par (carrera, curso).</w:t>
      </w:r>
    </w:p>
    <w:p>
      <w:pPr>
        <w:pStyle w:val="ListNumber"/>
      </w:pPr>
      <w:r>
        <w:t>El sistema exige acuerdo y número de Gaceta como campos obligatorios; si falta alguno, bloquea el guardado.</w:t>
      </w:r>
    </w:p>
    <w:p>
      <w:pPr>
        <w:pStyle w:val="ListNumber"/>
      </w:pPr>
      <w:r>
        <w:t>Cada actualización de una entrada existente crea una nueva versión; las versiones anteriores no se eliminan y quedan consultables.</w:t>
      </w:r>
    </w:p>
    <w:p>
      <w:pPr>
        <w:pStyle w:val="ListNumber"/>
      </w:pPr>
      <w:r>
        <w:t>Al verificar la atinencia de un grupo, el sistema selecciona la entrada cuya vigencia comprende la fecha de inicio del cuatrimestre destino del grupo.</w:t>
      </w:r>
    </w:p>
    <w:p>
      <w:pPr>
        <w:pStyle w:val="ListNumber"/>
      </w:pPr>
      <w:r>
        <w:t>Si no existe entrada vigente para esa fecha, aplica la última entrada vigente disponible y marca el resultado como "provisional por vigencia futura".</w:t>
      </w:r>
    </w:p>
    <w:p>
      <w:r>
        <w:rPr>
          <w:b/>
        </w:rPr>
        <w:t>Salidas:</w:t>
      </w:r>
    </w:p>
    <w:p>
      <w:pPr>
        <w:pStyle w:val="ListBullet"/>
      </w:pPr>
      <w:r>
        <w:t>Entrada de catálogo persistida y versionada.</w:t>
      </w:r>
    </w:p>
    <w:p>
      <w:pPr>
        <w:pStyle w:val="ListBullet"/>
      </w:pPr>
      <w:r>
        <w:t>Al consultar una verificación histórica, se muestra la versión del catálogo que se aplicó en ese momento.</w:t>
      </w:r>
    </w:p>
    <w:p>
      <w:r>
        <w:rPr>
          <w:b/>
        </w:rPr>
        <w:t>Criterios de aceptación:</w:t>
      </w:r>
    </w:p>
    <w:p>
      <w:pPr>
        <w:pStyle w:val="ListBullet"/>
      </w:pPr>
      <w:r>
        <w:t>Entrada sin acuerdo o sin número de Gaceta → bloqueada, indicando el campo faltante.</w:t>
      </w:r>
    </w:p>
    <w:p>
      <w:pPr>
        <w:pStyle w:val="ListBullet"/>
      </w:pPr>
      <w:r>
        <w:t>Cada actualización genera una nueva versión consultable sin borrar las anteriores.</w:t>
      </w:r>
    </w:p>
    <w:p>
      <w:pPr>
        <w:pStyle w:val="ListBullet"/>
      </w:pPr>
      <w:r>
        <w:t>Verificación de un grupo del III cuatrimestre → aplica la entrada vigente a la fecha de inicio de ese cuatrimestre y registra la versión aplicada.</w:t>
      </w:r>
    </w:p>
    <w:p>
      <w:pPr>
        <w:pStyle w:val="ListBullet"/>
      </w:pPr>
      <w:r>
        <w:t>Sin entrada vigente para esa fecha → aplica la última vigente y etiqueta la verificación como "provisional por vigencia futura".</w:t>
      </w:r>
    </w:p>
    <w:p/>
    <w:p>
      <w:pPr>
        <w:pStyle w:val="Heading3"/>
      </w:pPr>
      <w:r>
        <w:t>DO-02a — Verificación Automática de Atinencia y Resultados</w:t>
      </w:r>
    </w:p>
    <w:p>
      <w:r>
        <w:rPr>
          <w:i/>
          <w:color w:val="404040"/>
          <w:sz w:val="20"/>
        </w:rPr>
        <w:t>Prioridad: Alta</w:t>
      </w:r>
    </w:p>
    <w:p>
      <w:r>
        <w:rPr>
          <w:b/>
        </w:rPr>
        <w:t xml:space="preserve">Descripción: </w:t>
      </w:r>
      <w:r>
        <w:t>Al proponer un docente en un grupo, el sistema ejecuta una verificación de atinencia automática y síncrona contra la entrada de catálogo seleccionada según DO-02, y produce exactamente uno de cuatro resultados: (a) "Atinente" — al menos un grado del docente figura en la entrada vigente; la asignación procede; (b) "No Atinente" — ningún grado figura; la asignación queda bloqueada; (c) "Nota técnica" — asignación provisional conforme a DO-02b; (d) "Sin catálogo" — la carrera no tiene atinencias publicadas; se gestiona según DO-02d.</w:t>
      </w:r>
    </w:p>
    <w:p>
      <w:r>
        <w:rPr>
          <w:b/>
        </w:rPr>
        <w:t>Entradas:</w:t>
      </w:r>
    </w:p>
    <w:p>
      <w:pPr>
        <w:pStyle w:val="ListBullet"/>
      </w:pPr>
      <w:r>
        <w:t>Cédula del docente propuesto, carrera y curso del grupo, fecha de inicio del cuatrimestre destino.</w:t>
      </w:r>
    </w:p>
    <w:p>
      <w:r>
        <w:rPr>
          <w:b/>
        </w:rPr>
        <w:t>Flujo:</w:t>
      </w:r>
    </w:p>
    <w:p>
      <w:pPr>
        <w:pStyle w:val="ListNumber"/>
      </w:pPr>
      <w:r>
        <w:t>El sistema obtiene los atestados del docente (DO-01).</w:t>
      </w:r>
    </w:p>
    <w:p>
      <w:pPr>
        <w:pStyle w:val="ListNumber"/>
      </w:pPr>
      <w:r>
        <w:t>Selecciona la entrada de catálogo aplicable según DO-02.</w:t>
      </w:r>
    </w:p>
    <w:p>
      <w:pPr>
        <w:pStyle w:val="ListNumber"/>
      </w:pPr>
      <w:r>
        <w:t>Si la carrera no tiene catálogo publicado, retorna "Sin catálogo" y delega a DO-02d.</w:t>
      </w:r>
    </w:p>
    <w:p>
      <w:pPr>
        <w:pStyle w:val="ListNumber"/>
      </w:pPr>
      <w:r>
        <w:t>Si al menos un grado del docente figura en la lista de grados atinentes de la entrada, retorna "Atinente" y la asignación procede.</w:t>
      </w:r>
    </w:p>
    <w:p>
      <w:pPr>
        <w:pStyle w:val="ListNumber"/>
      </w:pPr>
      <w:r>
        <w:t>Si ningún grado figura, retorna "No Atinente", bloquea la asignación y ofrece iniciar el flujo de Nota técnica (DO-02b).</w:t>
      </w:r>
    </w:p>
    <w:p>
      <w:r>
        <w:rPr>
          <w:b/>
        </w:rPr>
        <w:t>Salidas:</w:t>
      </w:r>
    </w:p>
    <w:p>
      <w:pPr>
        <w:pStyle w:val="ListBullet"/>
      </w:pPr>
      <w:r>
        <w:t>Resultado de verificación (uno de los cuatro), con la cita del catálogo aplicado (versión, acuerdo, Gaceta) cuando corresponda.</w:t>
      </w:r>
    </w:p>
    <w:p>
      <w:pPr>
        <w:pStyle w:val="ListBullet"/>
      </w:pPr>
      <w:r>
        <w:t>Mensaje de bloqueo específico cuando el resultado es "No Atinente".</w:t>
      </w:r>
    </w:p>
    <w:p>
      <w:r>
        <w:rPr>
          <w:b/>
        </w:rPr>
        <w:t>Criterios de aceptación:</w:t>
      </w:r>
    </w:p>
    <w:p>
      <w:pPr>
        <w:pStyle w:val="ListBullet"/>
      </w:pPr>
      <w:r>
        <w:t>Docente con un grado incluido en la entrada vigente → "Atinente", con la cita del catálogo; la asignación procede.</w:t>
      </w:r>
    </w:p>
    <w:p>
      <w:pPr>
        <w:pStyle w:val="ListBullet"/>
      </w:pPr>
      <w:r>
        <w:t>Docente sin ningún grado atinente → "Asignación bloqueada: el docente no cumple la atinencia requerida para este curso", con opción de iniciar Nota técnica.</w:t>
      </w:r>
    </w:p>
    <w:p>
      <w:pPr>
        <w:pStyle w:val="ListBullet"/>
      </w:pPr>
      <w:r>
        <w:t>Toda verificación consultada históricamente muestra la versión del catálogo que se aplicó en su momento.</w:t>
      </w:r>
    </w:p>
    <w:p/>
    <w:p>
      <w:pPr>
        <w:pStyle w:val="Heading3"/>
      </w:pPr>
      <w:r>
        <w:t>DO-02b — Flujo de Atinencia por Nota Técnica (Experiencia Comprobada)</w:t>
      </w:r>
    </w:p>
    <w:p>
      <w:r>
        <w:rPr>
          <w:i/>
          <w:color w:val="404040"/>
          <w:sz w:val="20"/>
        </w:rPr>
        <w:t>Prioridad: Alta</w:t>
      </w:r>
    </w:p>
    <w:p>
      <w:r>
        <w:rPr>
          <w:b/>
        </w:rPr>
        <w:t xml:space="preserve">Descripción: </w:t>
      </w:r>
      <w:r>
        <w:t>El sistema debe permitir a la Coordinadora de Docencia registrar una asignación provisional de un docente cuyo resultado fue "No Atinente" o "Sin catálogo", adjuntando obligatoriamente el criterio técnico firmado (PDF) que fundamenta la atinencia por experiencia comprobada. La asignación queda etiquetada "Nota técnica — ratificación pendiente" y exige registrar una fecha límite de ratificación (SLA configurable).</w:t>
      </w:r>
    </w:p>
    <w:p>
      <w:r>
        <w:rPr>
          <w:b/>
        </w:rPr>
        <w:t>Entradas:</w:t>
      </w:r>
    </w:p>
    <w:p>
      <w:pPr>
        <w:pStyle w:val="ListBullet"/>
      </w:pPr>
      <w:r>
        <w:t>Docente, grupo, archivo PDF del criterio técnico firmado, fecha límite de ratificación.</w:t>
      </w:r>
    </w:p>
    <w:p>
      <w:r>
        <w:rPr>
          <w:b/>
        </w:rPr>
        <w:t>Flujo:</w:t>
      </w:r>
    </w:p>
    <w:p>
      <w:pPr>
        <w:pStyle w:val="ListNumber"/>
      </w:pPr>
      <w:r>
        <w:t>Sobre una verificación con resultado "No Atinente" o "Sin catálogo", la Coordinadora inicia el flujo de Nota técnica.</w:t>
      </w:r>
    </w:p>
    <w:p>
      <w:pPr>
        <w:pStyle w:val="ListNumber"/>
      </w:pPr>
      <w:r>
        <w:t>El sistema exige adjuntar el PDF del criterio técnico; sin el adjunto, bloquea el guardado.</w:t>
      </w:r>
    </w:p>
    <w:p>
      <w:pPr>
        <w:pStyle w:val="ListNumber"/>
      </w:pPr>
      <w:r>
        <w:t>El sistema exige registrar la fecha límite de ratificación.</w:t>
      </w:r>
    </w:p>
    <w:p>
      <w:pPr>
        <w:pStyle w:val="ListNumber"/>
      </w:pPr>
      <w:r>
        <w:t>Al guardar, la asignación queda etiquetada "Nota técnica — ratificación pendiente del Consejo Universitario".</w:t>
      </w:r>
    </w:p>
    <w:p>
      <w:pPr>
        <w:pStyle w:val="ListNumber"/>
      </w:pPr>
      <w:r>
        <w:t>El sistema marca automáticamente como vencida toda Nota técnica cuya fecha límite ya pasó sin resolución registrada.</w:t>
      </w:r>
    </w:p>
    <w:p>
      <w:r>
        <w:rPr>
          <w:b/>
        </w:rPr>
        <w:t>Salidas:</w:t>
      </w:r>
    </w:p>
    <w:p>
      <w:pPr>
        <w:pStyle w:val="ListBullet"/>
      </w:pPr>
      <w:r>
        <w:t>Asignación provisional guardada, con su etiqueta y fecha límite visibles.</w:t>
      </w:r>
    </w:p>
    <w:p>
      <w:pPr>
        <w:pStyle w:val="ListBullet"/>
      </w:pPr>
      <w:r>
        <w:t>Mensaje de bloqueo si falta el documento.</w:t>
      </w:r>
    </w:p>
    <w:p>
      <w:pPr>
        <w:pStyle w:val="ListBullet"/>
      </w:pPr>
      <w:r>
        <w:t>Indicador de "vencida" cuando corresponda.</w:t>
      </w:r>
    </w:p>
    <w:p>
      <w:r>
        <w:rPr>
          <w:b/>
        </w:rPr>
        <w:t>Criterios de aceptación:</w:t>
      </w:r>
    </w:p>
    <w:p>
      <w:pPr>
        <w:pStyle w:val="ListBullet"/>
      </w:pPr>
      <w:r>
        <w:t>Inicio del flujo sin adjuntar el criterio técnico → bloqueo con el mensaje "Debe adjuntar el criterio técnico firmado que fundamenta la Nota técnica".</w:t>
      </w:r>
    </w:p>
    <w:p>
      <w:pPr>
        <w:pStyle w:val="ListBullet"/>
      </w:pPr>
      <w:r>
        <w:t>Con documento adjunto y fecha límite registrada → la asignación se guarda con la etiqueta indicada.</w:t>
      </w:r>
    </w:p>
    <w:p>
      <w:pPr>
        <w:pStyle w:val="ListBullet"/>
      </w:pPr>
      <w:r>
        <w:t>Fecha límite vencida sin resolución registrada → el sistema la marca automáticamente como vencida.</w:t>
      </w:r>
    </w:p>
    <w:p/>
    <w:p>
      <w:pPr>
        <w:pStyle w:val="Heading3"/>
      </w:pPr>
      <w:r>
        <w:t>DO-02d — Gestión de Asignaciones sin Catálogo de Atinencias</w:t>
      </w:r>
    </w:p>
    <w:p>
      <w:r>
        <w:rPr>
          <w:i/>
          <w:color w:val="404040"/>
          <w:sz w:val="20"/>
        </w:rPr>
        <w:t>Prioridad: Alta</w:t>
      </w:r>
    </w:p>
    <w:p>
      <w:r>
        <w:rPr>
          <w:b/>
        </w:rPr>
        <w:t xml:space="preserve">Descripción: </w:t>
      </w:r>
      <w:r>
        <w:t>Cuando la verificación (DO-02a) devuelve "Sin catálogo" —carrera sin atinencias publicadas—, la asignación queda en estado "Pendiente de aprobación manual" de la Coordinadora de Docencia. El bloqueo automático por atinencia no se habilita para una carrera hasta que su catálogo esté cargado; mientras tanto, esta vía es la única aplicable a esa carrera.</w:t>
      </w:r>
    </w:p>
    <w:p>
      <w:r>
        <w:rPr>
          <w:b/>
        </w:rPr>
        <w:t>Entradas:</w:t>
      </w:r>
    </w:p>
    <w:p>
      <w:pPr>
        <w:pStyle w:val="ListBullet"/>
      </w:pPr>
      <w:r>
        <w:t>Docente, grupo, carrera sin catálogo publicado.</w:t>
      </w:r>
    </w:p>
    <w:p>
      <w:r>
        <w:rPr>
          <w:b/>
        </w:rPr>
        <w:t>Flujo:</w:t>
      </w:r>
    </w:p>
    <w:p>
      <w:pPr>
        <w:pStyle w:val="ListNumber"/>
      </w:pPr>
      <w:r>
        <w:t>El sistema detecta que la carrera del grupo no tiene ninguna entrada de catálogo publicada.</w:t>
      </w:r>
    </w:p>
    <w:p>
      <w:pPr>
        <w:pStyle w:val="ListNumber"/>
      </w:pPr>
      <w:r>
        <w:t>Marca la asignación como "Pendiente de aprobación manual — Sin catálogo".</w:t>
      </w:r>
    </w:p>
    <w:p>
      <w:pPr>
        <w:pStyle w:val="ListNumber"/>
      </w:pPr>
      <w:r>
        <w:t>La Coordinadora aprueba o rechaza manualmente esa asignación específica.</w:t>
      </w:r>
    </w:p>
    <w:p>
      <w:pPr>
        <w:pStyle w:val="ListNumber"/>
      </w:pPr>
      <w:r>
        <w:t>La decisión queda registrada en el log de auditoría con usuario, fecha y resultado.</w:t>
      </w:r>
    </w:p>
    <w:p>
      <w:r>
        <w:rPr>
          <w:b/>
        </w:rPr>
        <w:t>Salidas:</w:t>
      </w:r>
    </w:p>
    <w:p>
      <w:pPr>
        <w:pStyle w:val="ListBullet"/>
      </w:pPr>
      <w:r>
        <w:t>Asignación en estado "Pendiente de aprobación manual — Sin catálogo".</w:t>
      </w:r>
    </w:p>
    <w:p>
      <w:pPr>
        <w:pStyle w:val="ListBullet"/>
      </w:pPr>
      <w:r>
        <w:t>Tras la decisión, estado "Aprobada" o "Rechazada", con el registro de quién decidió y cuándo.</w:t>
      </w:r>
    </w:p>
    <w:p>
      <w:r>
        <w:rPr>
          <w:b/>
        </w:rPr>
        <w:t>Criterios de aceptación:</w:t>
      </w:r>
    </w:p>
    <w:p>
      <w:pPr>
        <w:pStyle w:val="ListBullet"/>
      </w:pPr>
      <w:r>
        <w:t>Para una carrera sin atinencias publicadas, la asignación muestra "Sin catálogo — pendiente de aprobación manual".</w:t>
      </w:r>
    </w:p>
    <w:p>
      <w:pPr>
        <w:pStyle w:val="ListBullet"/>
      </w:pPr>
      <w:r>
        <w:t>La Coordinadora puede aprobar o rechazar manualmente, y la decisión queda registrada en el audit log.</w:t>
      </w:r>
    </w:p>
    <w:p/>
    <w:p>
      <w:r>
        <w:br w:type="page"/>
      </w:r>
    </w:p>
    <w:p>
      <w:pPr>
        <w:pStyle w:val="Heading1"/>
      </w:pPr>
      <w:r>
        <w:t>3. Condiciones y Reglas de Desarrollo</w:t>
      </w:r>
    </w:p>
    <w:p>
      <w:r>
        <w:t>Estas condiciones aplican sin excepción a los cinco módulos ofrecidos en este curso y forman parte de los criterios de evaluación de la defensa final.</w:t>
      </w:r>
    </w:p>
    <w:p>
      <w:pPr>
        <w:pStyle w:val="Heading2"/>
      </w:pPr>
      <w:r>
        <w:t>a. Modalidad de trabajo</w:t>
      </w:r>
    </w:p>
    <w:p>
      <w:r>
        <w:t>Equipos de máximo 3 estudiantes. No se aceptan proyectos individuales ni equipos de más de 3 integrantes; la carga de trabajo de cada módulo está calibrada para ese tamaño de equipo.</w:t>
      </w:r>
    </w:p>
    <w:p>
      <w:pPr>
        <w:pStyle w:val="Heading2"/>
      </w:pPr>
      <w:r>
        <w:t>b. Requerimientos técnicos obligatorios</w:t>
      </w:r>
    </w:p>
    <w:p>
      <w:r>
        <w:t>La aplicación debe ser una aplicación web completa que integre, sin excepción, las cinco unidades del curso: framework TALL stack (Tailwind CSS, Alpine.js, Laravel, Livewire) + TypeScript + consumo de al menos una API REST externa + autenticación JWT + variables de entorno + pruebas unitarias básicas + repositorio Git documentado (historial de commits legible, README con instrucciones de instalación).</w:t>
      </w:r>
    </w:p>
    <w:p>
      <w:r>
        <w:t>Toda la lógica de dominio debe organizarse bajo Arquitectura Hexagonal (Ports &amp; Adapters) y Domain-Driven Design (DDD). El paquete de dominio no puede importar clases de Laravel, Livewire ni Alpine.js: si al eliminar el framework el dominio deja de compilar, la arquitectura está mal separada.</w:t>
      </w:r>
    </w:p>
    <w:p>
      <w:pPr>
        <w:pStyle w:val="Heading2"/>
      </w:pPr>
      <w:r>
        <w:t>c. Revisiones de avance</w:t>
      </w:r>
    </w:p>
    <w:p>
      <w:r>
        <w:t>Tres revisiones obligatorias en las semanas 10, 12 y 14. No tienen nota propia, pero son requisito de admisibilidad para presentar la defensa final: sin las tres revisiones aprobadas, el equipo no puede defender el proyecto.</w:t>
      </w:r>
    </w:p>
    <w:p>
      <w:r>
        <w:t>El objetivo de estas revisiones es que el sistema se construya de forma progresiva y verificable, y no como una entrega armada la noche anterior a la fecha límite.</w:t>
      </w:r>
    </w:p>
    <w:p>
      <w:pPr>
        <w:pStyle w:val="Heading2"/>
      </w:pPr>
      <w:r>
        <w:t>d. Diario de decisiones técnicas e IA (10% de la nota final)</w:t>
      </w:r>
    </w:p>
    <w:p>
      <w:r>
        <w:t>Documento donde el equipo registra, a lo largo de todo el desarrollo: qué se le consultó a la IA, qué se aceptó de su respuesta, qué se rechazó y por qué, qué hubo que corregir porque estaba incorrecto o incompleto, y qué se aprendió del proceso.</w:t>
      </w:r>
    </w:p>
    <w:p>
      <w:r>
        <w:t>Este diario es la evidencia de que el criterio técnico del equipo, y no la herramienta, dirigió las decisiones del proyecto. Un diario vacío o genérico ('la IA ayudó con el código') no cumple el requisito.</w:t>
      </w:r>
    </w:p>
    <w:p>
      <w:pPr>
        <w:pStyle w:val="Heading2"/>
      </w:pPr>
      <w:r>
        <w:t>e. Defensa oral</w:t>
      </w:r>
    </w:p>
    <w:p>
      <w:r>
        <w:t>El docente puede señalar cualquier función o componente del proyecto y pedir que se explique su funcionamiento. Puede solicitar una modificación menor en vivo (agregar un campo, cambiar una validación, manejar un nuevo código de error) y observar cómo el equipo la resuelve.</w:t>
      </w:r>
    </w:p>
    <w:p>
      <w:r>
        <w:t>También puede preguntar sobre decisiones documentadas en el diario de IA. La capacidad de anticipar qué se va a romper con un cambio antes de ejecutarlo es el indicador más claro de comprensión real del sistema construido, más que el código ya escrito.</w:t>
      </w:r>
    </w:p>
    <w:p>
      <w:pPr>
        <w:pStyle w:val="Heading2"/>
      </w:pPr>
      <w:r>
        <w:t>f. Uso de IA en el proyecto</w:t>
      </w:r>
    </w:p>
    <w:p>
      <w:r>
        <w:t>Está explícitamente permitido y debe documentarse en el diario de decisiones. El mercado laboral usa IA de forma rutinaria; este curso no evalúa si el estudiante puede generar código con ella, sino si tiene el criterio técnico para usarla bien: detectar sus errores, cuestionar sus decisiones y decidir qué se integra al proyecto y qué se descarta.</w:t>
      </w:r>
    </w:p>
    <w:p>
      <w:r>
        <w:br w:type="page"/>
      </w:r>
    </w:p>
    <w:p>
      <w:pPr>
        <w:pStyle w:val="Heading1"/>
      </w:pPr>
      <w:r>
        <w:t>4. Rúbricas de Evaluación</w:t>
      </w:r>
    </w:p>
    <w:p>
      <w:r>
        <w:t>Las tres rúbricas siguientes se calificaron sobre 100 puntos cada una, en cinco rubros de 20 puntos, con tres niveles de desempeño: Excelente, Regular e Insuficiente. Junto con las condiciones de la Sección 3, son la base objetiva de la evaluación del proyecto.</w:t>
      </w:r>
    </w:p>
    <w:p>
      <w:pPr>
        <w:pStyle w:val="Heading2"/>
      </w:pPr>
      <w:r>
        <w:t>4.1 Rúbrica de Funcionalidad</w:t>
      </w:r>
    </w:p>
    <w:p>
      <w:r>
        <w:rPr>
          <w:i/>
        </w:rPr>
        <w:t>Evalúa exclusivamente si el módulo hace lo que el SRS adaptado exige: los requerimientos funcionales de la Sección 2, sus reglas de negocio y su integración técnica obligatoria.</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1944"/>
            <w:shd w:val="clear" w:color="auto" w:fill="1F3B57"/>
          </w:tcPr>
          <w:p>
            <w:r/>
            <w:r>
              <w:rPr>
                <w:b/>
                <w:color w:val="FFFFFF"/>
                <w:sz w:val="19"/>
              </w:rPr>
              <w:t>Rubro (20 pts. c/u)</w:t>
            </w:r>
          </w:p>
        </w:tc>
        <w:tc>
          <w:tcPr>
            <w:tcW w:type="dxa" w:w="2520"/>
            <w:shd w:val="clear" w:color="auto" w:fill="1F3B57"/>
          </w:tcPr>
          <w:p>
            <w:r/>
            <w:r>
              <w:rPr>
                <w:b/>
                <w:color w:val="FFFFFF"/>
                <w:sz w:val="19"/>
              </w:rPr>
              <w:t>Excelente (17-20 pts.)</w:t>
            </w:r>
          </w:p>
        </w:tc>
        <w:tc>
          <w:tcPr>
            <w:tcW w:type="dxa" w:w="2520"/>
            <w:shd w:val="clear" w:color="auto" w:fill="1F3B57"/>
          </w:tcPr>
          <w:p>
            <w:r/>
            <w:r>
              <w:rPr>
                <w:b/>
                <w:color w:val="FFFFFF"/>
                <w:sz w:val="19"/>
              </w:rPr>
              <w:t>Regular (9-16 pts.)</w:t>
            </w:r>
          </w:p>
        </w:tc>
        <w:tc>
          <w:tcPr>
            <w:tcW w:type="dxa" w:w="2376"/>
            <w:shd w:val="clear" w:color="auto" w:fill="1F3B57"/>
          </w:tcPr>
          <w:p>
            <w:r/>
            <w:r>
              <w:rPr>
                <w:b/>
                <w:color w:val="FFFFFF"/>
                <w:sz w:val="19"/>
              </w:rPr>
              <w:t>Insuficiente (0-8 pts.)</w:t>
            </w:r>
          </w:p>
        </w:tc>
      </w:tr>
      <w:tr>
        <w:tc>
          <w:tcPr>
            <w:tcW w:type="dxa" w:w="1944"/>
          </w:tcPr>
          <w:p>
            <w:r/>
            <w:r>
              <w:rPr>
                <w:b/>
                <w:sz w:val="18"/>
              </w:rPr>
              <w:t>Completitud del módulo de atinencias (DO-01, DO-02, DO-02a, DO-02b, DO-02d)</w:t>
            </w:r>
          </w:p>
        </w:tc>
        <w:tc>
          <w:tcPr>
            <w:tcW w:type="dxa" w:w="2520"/>
          </w:tcPr>
          <w:p>
            <w:r/>
            <w:r>
              <w:rPr>
                <w:b w:val="0"/>
                <w:sz w:val="18"/>
              </w:rPr>
              <w:t>Implementa los cinco requerimientos completos: atestados, catálogo versionado, verificación automática, Nota técnica y gestión sin catálogo, todos conectados entre sí.</w:t>
            </w:r>
          </w:p>
        </w:tc>
        <w:tc>
          <w:tcPr>
            <w:tcW w:type="dxa" w:w="2520"/>
          </w:tcPr>
          <w:p>
            <w:r/>
            <w:r>
              <w:rPr>
                <w:b w:val="0"/>
                <w:sz w:val="18"/>
              </w:rPr>
              <w:t>Implementa los cinco requerimientos, pero alguno no está completamente conectado con los demás (por ejemplo, la Nota técnica no actualiza el resultado original de la verificación).</w:t>
            </w:r>
          </w:p>
        </w:tc>
        <w:tc>
          <w:tcPr>
            <w:tcW w:type="dxa" w:w="2376"/>
          </w:tcPr>
          <w:p>
            <w:r/>
            <w:r>
              <w:rPr>
                <w:b w:val="0"/>
                <w:sz w:val="18"/>
              </w:rPr>
              <w:t>Falta al menos uno de los cinco requerimientos, o los implementados no cumplen sus criterios de aceptación.</w:t>
            </w:r>
          </w:p>
        </w:tc>
      </w:tr>
      <w:tr>
        <w:tc>
          <w:tcPr>
            <w:tcW w:type="dxa" w:w="1944"/>
            <w:shd w:val="clear" w:color="auto" w:fill="F2F5F8"/>
          </w:tcPr>
          <w:p>
            <w:r/>
            <w:r>
              <w:rPr>
                <w:b/>
                <w:sz w:val="18"/>
              </w:rPr>
              <w:t>Correctitud de la máquina de estados de verificación (DO-02, DO-02a)</w:t>
            </w:r>
          </w:p>
        </w:tc>
        <w:tc>
          <w:tcPr>
            <w:tcW w:type="dxa" w:w="2520"/>
            <w:shd w:val="clear" w:color="auto" w:fill="F2F5F8"/>
          </w:tcPr>
          <w:p>
            <w:r/>
            <w:r>
              <w:rPr>
                <w:b w:val="0"/>
                <w:sz w:val="18"/>
              </w:rPr>
              <w:t>Los cuatro resultados posibles (Atinente, No Atinente, Nota técnica, Sin catálogo) se determinan correctamente en todos los casos, incluida la selección de la versión de catálogo vigente a la fecha del cuatrimestre destino.</w:t>
            </w:r>
          </w:p>
        </w:tc>
        <w:tc>
          <w:tcPr>
            <w:tcW w:type="dxa" w:w="2520"/>
            <w:shd w:val="clear" w:color="auto" w:fill="F2F5F8"/>
          </w:tcPr>
          <w:p>
            <w:r/>
            <w:r>
              <w:rPr>
                <w:b w:val="0"/>
                <w:sz w:val="18"/>
              </w:rPr>
              <w:t>Los cuatro resultados existen, pero la selección de versión de catálogo falla en algún caso límite (por ejemplo, cuando no hay entrada vigente para la fecha).</w:t>
            </w:r>
          </w:p>
        </w:tc>
        <w:tc>
          <w:tcPr>
            <w:tcW w:type="dxa" w:w="2376"/>
            <w:shd w:val="clear" w:color="auto" w:fill="F2F5F8"/>
          </w:tcPr>
          <w:p>
            <w:r/>
            <w:r>
              <w:rPr>
                <w:b w:val="0"/>
                <w:sz w:val="18"/>
              </w:rPr>
              <w:t>El sistema no distingue correctamente entre los cuatro resultados, o siempre aplica la última versión del catálogo sin importar la fecha del cuatrimestre.</w:t>
            </w:r>
          </w:p>
        </w:tc>
      </w:tr>
      <w:tr>
        <w:tc>
          <w:tcPr>
            <w:tcW w:type="dxa" w:w="1944"/>
          </w:tcPr>
          <w:p>
            <w:r/>
            <w:r>
              <w:rPr>
                <w:b/>
                <w:sz w:val="18"/>
              </w:rPr>
              <w:t>Flujo de excepción por Nota técnica (DO-02b)</w:t>
            </w:r>
          </w:p>
        </w:tc>
        <w:tc>
          <w:tcPr>
            <w:tcW w:type="dxa" w:w="2520"/>
          </w:tcPr>
          <w:p>
            <w:r/>
            <w:r>
              <w:rPr>
                <w:b w:val="0"/>
                <w:sz w:val="18"/>
              </w:rPr>
              <w:t>Exige el documento firmado como condición de guardado, registra la fecha límite de ratificación y marca correctamente como vencida toda Nota técnica sin resolución a tiempo.</w:t>
            </w:r>
          </w:p>
        </w:tc>
        <w:tc>
          <w:tcPr>
            <w:tcW w:type="dxa" w:w="2520"/>
          </w:tcPr>
          <w:p>
            <w:r/>
            <w:r>
              <w:rPr>
                <w:b w:val="0"/>
                <w:sz w:val="18"/>
              </w:rPr>
              <w:t>El flujo de Nota técnica funciona, pero el vencimiento del SLA no se marca automáticamente o requiere intervención manual para detectarse.</w:t>
            </w:r>
          </w:p>
        </w:tc>
        <w:tc>
          <w:tcPr>
            <w:tcW w:type="dxa" w:w="2376"/>
          </w:tcPr>
          <w:p>
            <w:r/>
            <w:r>
              <w:rPr>
                <w:b w:val="0"/>
                <w:sz w:val="18"/>
              </w:rPr>
              <w:t>Permite guardar una Nota técnica sin el documento firmado, o no distingue una asignación por Nota técnica de una asignación normal.</w:t>
            </w:r>
          </w:p>
        </w:tc>
      </w:tr>
      <w:tr>
        <w:tc>
          <w:tcPr>
            <w:tcW w:type="dxa" w:w="1944"/>
            <w:shd w:val="clear" w:color="auto" w:fill="F2F5F8"/>
          </w:tcPr>
          <w:p>
            <w:r/>
            <w:r>
              <w:rPr>
                <w:b/>
                <w:sz w:val="18"/>
              </w:rPr>
              <w:t>Versionado y trazabilidad del catálogo</w:t>
            </w:r>
          </w:p>
        </w:tc>
        <w:tc>
          <w:tcPr>
            <w:tcW w:type="dxa" w:w="2520"/>
            <w:shd w:val="clear" w:color="auto" w:fill="F2F5F8"/>
          </w:tcPr>
          <w:p>
            <w:r/>
            <w:r>
              <w:rPr>
                <w:b w:val="0"/>
                <w:sz w:val="18"/>
              </w:rPr>
              <w:t>Cada actualización del catálogo genera una nueva versión consultable sin eliminar las anteriores, y toda verificación histórica muestra la versión que se aplicó en su momento.</w:t>
            </w:r>
          </w:p>
        </w:tc>
        <w:tc>
          <w:tcPr>
            <w:tcW w:type="dxa" w:w="2520"/>
            <w:shd w:val="clear" w:color="auto" w:fill="F2F5F8"/>
          </w:tcPr>
          <w:p>
            <w:r/>
            <w:r>
              <w:rPr>
                <w:b w:val="0"/>
                <w:sz w:val="18"/>
              </w:rPr>
              <w:t>El catálogo se versiona, pero las verificaciones históricas no siempre muestran con precisión qué versión se aplicó.</w:t>
            </w:r>
          </w:p>
        </w:tc>
        <w:tc>
          <w:tcPr>
            <w:tcW w:type="dxa" w:w="2376"/>
            <w:shd w:val="clear" w:color="auto" w:fill="F2F5F8"/>
          </w:tcPr>
          <w:p>
            <w:r/>
            <w:r>
              <w:rPr>
                <w:b w:val="0"/>
                <w:sz w:val="18"/>
              </w:rPr>
              <w:t>Las actualizaciones del catálogo sobrescriben versiones anteriores, o no es posible saber qué versión se aplicó a una verificación pasada.</w:t>
            </w:r>
          </w:p>
        </w:tc>
      </w:tr>
      <w:tr>
        <w:tc>
          <w:tcPr>
            <w:tcW w:type="dxa" w:w="1944"/>
          </w:tcPr>
          <w:p>
            <w:r/>
            <w:r>
              <w:rPr>
                <w:b/>
                <w:sz w:val="18"/>
              </w:rPr>
              <w:t>Integración técnica obligatoria (stack completo)</w:t>
            </w:r>
          </w:p>
        </w:tc>
        <w:tc>
          <w:tcPr>
            <w:tcW w:type="dxa" w:w="2520"/>
          </w:tcPr>
          <w:p>
            <w:r/>
            <w:r>
              <w:rPr>
                <w:b w:val="0"/>
                <w:sz w:val="18"/>
              </w:rPr>
              <w:t>Integra correctamente TALL + TypeScript + API REST externa + JWT + variables de entorno + pruebas unitarias + Arquitectura Hexagonal/DDD + repositorio Git documentado, todo funcional y verificable.</w:t>
            </w:r>
          </w:p>
        </w:tc>
        <w:tc>
          <w:tcPr>
            <w:tcW w:type="dxa" w:w="2520"/>
          </w:tcPr>
          <w:p>
            <w:r/>
            <w:r>
              <w:rPr>
                <w:b w:val="0"/>
                <w:sz w:val="18"/>
              </w:rPr>
              <w:t>Integra la mayoría de los elementos técnicos obligatorios, con alguno ausente o parcialmente funcional.</w:t>
            </w:r>
          </w:p>
        </w:tc>
        <w:tc>
          <w:tcPr>
            <w:tcW w:type="dxa" w:w="2376"/>
          </w:tcPr>
          <w:p>
            <w:r/>
            <w:r>
              <w:rPr>
                <w:b w:val="0"/>
                <w:sz w:val="18"/>
              </w:rPr>
              <w:t>Omite dos o más elementos técnicos obligatorios, o el dominio depende de clases del framework.</w:t>
            </w:r>
          </w:p>
        </w:tc>
      </w:tr>
    </w:tbl>
    <w:p/>
    <w:p>
      <w:r>
        <w:rPr>
          <w:i/>
          <w:color w:val="404040"/>
          <w:sz w:val="19"/>
        </w:rPr>
        <w:t>Puntaje total: 100 puntos, equivalentes al 15% de la nota final del proyecto.</w:t>
      </w:r>
    </w:p>
    <w:p>
      <w:pPr>
        <w:pStyle w:val="Heading2"/>
      </w:pPr>
      <w:r>
        <w:t>4.2 Rúbrica de Defensa Oral</w:t>
      </w:r>
    </w:p>
    <w:p>
      <w:r>
        <w:rPr>
          <w:i/>
        </w:rPr>
        <w:t>Evalúa el dominio real del tema por parte de cada estudiante, no la calidad del código en sí: la capacidad de explicar, justificar y modificar el sistema en vivo (condición e de la Sección 3).</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1944"/>
            <w:shd w:val="clear" w:color="auto" w:fill="1F3B57"/>
          </w:tcPr>
          <w:p>
            <w:r/>
            <w:r>
              <w:rPr>
                <w:b/>
                <w:color w:val="FFFFFF"/>
                <w:sz w:val="19"/>
              </w:rPr>
              <w:t>Rubro (20 pts. c/u)</w:t>
            </w:r>
          </w:p>
        </w:tc>
        <w:tc>
          <w:tcPr>
            <w:tcW w:type="dxa" w:w="2520"/>
            <w:shd w:val="clear" w:color="auto" w:fill="1F3B57"/>
          </w:tcPr>
          <w:p>
            <w:r/>
            <w:r>
              <w:rPr>
                <w:b/>
                <w:color w:val="FFFFFF"/>
                <w:sz w:val="19"/>
              </w:rPr>
              <w:t>Excelente (17-20 pts.)</w:t>
            </w:r>
          </w:p>
        </w:tc>
        <w:tc>
          <w:tcPr>
            <w:tcW w:type="dxa" w:w="2520"/>
            <w:shd w:val="clear" w:color="auto" w:fill="1F3B57"/>
          </w:tcPr>
          <w:p>
            <w:r/>
            <w:r>
              <w:rPr>
                <w:b/>
                <w:color w:val="FFFFFF"/>
                <w:sz w:val="19"/>
              </w:rPr>
              <w:t>Regular (9-16 pts.)</w:t>
            </w:r>
          </w:p>
        </w:tc>
        <w:tc>
          <w:tcPr>
            <w:tcW w:type="dxa" w:w="2376"/>
            <w:shd w:val="clear" w:color="auto" w:fill="1F3B57"/>
          </w:tcPr>
          <w:p>
            <w:r/>
            <w:r>
              <w:rPr>
                <w:b/>
                <w:color w:val="FFFFFF"/>
                <w:sz w:val="19"/>
              </w:rPr>
              <w:t>Insuficiente (0-8 pts.)</w:t>
            </w:r>
          </w:p>
        </w:tc>
      </w:tr>
      <w:tr>
        <w:tc>
          <w:tcPr>
            <w:tcW w:type="dxa" w:w="1944"/>
          </w:tcPr>
          <w:p>
            <w:r/>
            <w:r>
              <w:rPr>
                <w:b/>
                <w:sz w:val="18"/>
              </w:rPr>
              <w:t>Explicación de la arquitectura y las decisiones de diseño</w:t>
            </w:r>
          </w:p>
        </w:tc>
        <w:tc>
          <w:tcPr>
            <w:tcW w:type="dxa" w:w="2520"/>
          </w:tcPr>
          <w:p>
            <w:r/>
            <w:r>
              <w:rPr>
                <w:b w:val="0"/>
                <w:sz w:val="18"/>
              </w:rPr>
              <w:t>Explica con claridad cómo está organizado el sistema (Arquitectura Hexagonal, DDD, separación de capas) y justifica por qué se tomó cada decisión clave, sin depender de notas ni del código para recordarlo.</w:t>
            </w:r>
          </w:p>
        </w:tc>
        <w:tc>
          <w:tcPr>
            <w:tcW w:type="dxa" w:w="2520"/>
          </w:tcPr>
          <w:p>
            <w:r/>
            <w:r>
              <w:rPr>
                <w:b w:val="0"/>
                <w:sz w:val="18"/>
              </w:rPr>
              <w:t>Explica la organización general del sistema, pero con imprecisiones en algunos conceptos de arquitectura o dificultad para justificar decisiones puntuales sin apoyarse en el código.</w:t>
            </w:r>
          </w:p>
        </w:tc>
        <w:tc>
          <w:tcPr>
            <w:tcW w:type="dxa" w:w="2376"/>
          </w:tcPr>
          <w:p>
            <w:r/>
            <w:r>
              <w:rPr>
                <w:b w:val="0"/>
                <w:sz w:val="18"/>
              </w:rPr>
              <w:t>No logra explicar cómo está organizado el sistema, confunde conceptos básicos de arquitectura o atribuye las decisiones de diseño a la IA sin poder justificarlas por cuenta propia.</w:t>
            </w:r>
          </w:p>
        </w:tc>
      </w:tr>
      <w:tr>
        <w:tc>
          <w:tcPr>
            <w:tcW w:type="dxa" w:w="1944"/>
            <w:shd w:val="clear" w:color="auto" w:fill="F2F5F8"/>
          </w:tcPr>
          <w:p>
            <w:r/>
            <w:r>
              <w:rPr>
                <w:b/>
                <w:sz w:val="18"/>
              </w:rPr>
              <w:t>Justificación de las reglas de negocio implementadas</w:t>
            </w:r>
          </w:p>
        </w:tc>
        <w:tc>
          <w:tcPr>
            <w:tcW w:type="dxa" w:w="2520"/>
            <w:shd w:val="clear" w:color="auto" w:fill="F2F5F8"/>
          </w:tcPr>
          <w:p>
            <w:r/>
            <w:r>
              <w:rPr>
                <w:b w:val="0"/>
                <w:sz w:val="18"/>
              </w:rPr>
              <w:t>Explica por qué el sistema se comporta como se comporta ante cada requerimiento y regla de negocio del módulo, no solo que "funciona", incluyendo los casos límite señalados en los criterios de aceptación.</w:t>
            </w:r>
          </w:p>
        </w:tc>
        <w:tc>
          <w:tcPr>
            <w:tcW w:type="dxa" w:w="2520"/>
            <w:shd w:val="clear" w:color="auto" w:fill="F2F5F8"/>
          </w:tcPr>
          <w:p>
            <w:r/>
            <w:r>
              <w:rPr>
                <w:b w:val="0"/>
                <w:sz w:val="18"/>
              </w:rPr>
              <w:t>Explica el comportamiento general de las reglas de negocio principales, pero tiene dificultad con los casos límite o con requerimientos secundarios del módulo.</w:t>
            </w:r>
          </w:p>
        </w:tc>
        <w:tc>
          <w:tcPr>
            <w:tcW w:type="dxa" w:w="2376"/>
            <w:shd w:val="clear" w:color="auto" w:fill="F2F5F8"/>
          </w:tcPr>
          <w:p>
            <w:r/>
            <w:r>
              <w:rPr>
                <w:b w:val="0"/>
                <w:sz w:val="18"/>
              </w:rPr>
              <w:t>No puede explicar por qué el sistema se comporta de una manera determinada ante una regla de negocio, o su explicación contradice el comportamiento real observado en el sistema.</w:t>
            </w:r>
          </w:p>
        </w:tc>
      </w:tr>
      <w:tr>
        <w:tc>
          <w:tcPr>
            <w:tcW w:type="dxa" w:w="1944"/>
          </w:tcPr>
          <w:p>
            <w:r/>
            <w:r>
              <w:rPr>
                <w:b/>
                <w:sz w:val="18"/>
              </w:rPr>
              <w:t>Resolución de la modificación en vivo</w:t>
            </w:r>
          </w:p>
        </w:tc>
        <w:tc>
          <w:tcPr>
            <w:tcW w:type="dxa" w:w="2520"/>
          </w:tcPr>
          <w:p>
            <w:r/>
            <w:r>
              <w:rPr>
                <w:b w:val="0"/>
                <w:sz w:val="18"/>
              </w:rPr>
              <w:t>Implementa correctamente, durante la defensa, el cambio solicitado por el docente (nuevo campo, nueva validación, nuevo código de error) sin romper funcionalidad existente.</w:t>
            </w:r>
          </w:p>
        </w:tc>
        <w:tc>
          <w:tcPr>
            <w:tcW w:type="dxa" w:w="2520"/>
          </w:tcPr>
          <w:p>
            <w:r/>
            <w:r>
              <w:rPr>
                <w:b w:val="0"/>
                <w:sz w:val="18"/>
              </w:rPr>
              <w:t>Implementa el cambio solicitado con ayuda adicional del docente o con errores menores que corrige sobre la marcha.</w:t>
            </w:r>
          </w:p>
        </w:tc>
        <w:tc>
          <w:tcPr>
            <w:tcW w:type="dxa" w:w="2376"/>
          </w:tcPr>
          <w:p>
            <w:r/>
            <w:r>
              <w:rPr>
                <w:b w:val="0"/>
                <w:sz w:val="18"/>
              </w:rPr>
              <w:t>No logra implementar el cambio solicitado, o al intentarlo rompe funcionalidad que antes operaba correctamente.</w:t>
            </w:r>
          </w:p>
        </w:tc>
      </w:tr>
      <w:tr>
        <w:tc>
          <w:tcPr>
            <w:tcW w:type="dxa" w:w="1944"/>
            <w:shd w:val="clear" w:color="auto" w:fill="F2F5F8"/>
          </w:tcPr>
          <w:p>
            <w:r/>
            <w:r>
              <w:rPr>
                <w:b/>
                <w:sz w:val="18"/>
              </w:rPr>
              <w:t>Anticipación del impacto del cambio</w:t>
            </w:r>
          </w:p>
        </w:tc>
        <w:tc>
          <w:tcPr>
            <w:tcW w:type="dxa" w:w="2520"/>
            <w:shd w:val="clear" w:color="auto" w:fill="F2F5F8"/>
          </w:tcPr>
          <w:p>
            <w:r/>
            <w:r>
              <w:rPr>
                <w:b w:val="0"/>
                <w:sz w:val="18"/>
              </w:rPr>
              <w:t>Antes de ejecutar la modificación solicitada, identifica correctamente qué otras partes del sistema se ven afectadas (validaciones, pruebas, otros módulos o componentes relacionados).</w:t>
            </w:r>
          </w:p>
        </w:tc>
        <w:tc>
          <w:tcPr>
            <w:tcW w:type="dxa" w:w="2520"/>
            <w:shd w:val="clear" w:color="auto" w:fill="F2F5F8"/>
          </w:tcPr>
          <w:p>
            <w:r/>
            <w:r>
              <w:rPr>
                <w:b w:val="0"/>
                <w:sz w:val="18"/>
              </w:rPr>
              <w:t>Identifica parcialmente el impacto del cambio, omitiendo alguna consecuencia relevante que se hace evidente solo al ejecutarlo.</w:t>
            </w:r>
          </w:p>
        </w:tc>
        <w:tc>
          <w:tcPr>
            <w:tcW w:type="dxa" w:w="2376"/>
            <w:shd w:val="clear" w:color="auto" w:fill="F2F5F8"/>
          </w:tcPr>
          <w:p>
            <w:r/>
            <w:r>
              <w:rPr>
                <w:b w:val="0"/>
                <w:sz w:val="18"/>
              </w:rPr>
              <w:t>No anticipa ningún impacto del cambio antes de ejecutarlo, o descubre las consecuencias solo porque el sistema falla en vivo.</w:t>
            </w:r>
          </w:p>
        </w:tc>
      </w:tr>
      <w:tr>
        <w:tc>
          <w:tcPr>
            <w:tcW w:type="dxa" w:w="1944"/>
          </w:tcPr>
          <w:p>
            <w:r/>
            <w:r>
              <w:rPr>
                <w:b/>
                <w:sz w:val="18"/>
              </w:rPr>
              <w:t>Dominio individual y distribuido del conocimiento</w:t>
            </w:r>
          </w:p>
        </w:tc>
        <w:tc>
          <w:tcPr>
            <w:tcW w:type="dxa" w:w="2520"/>
          </w:tcPr>
          <w:p>
            <w:r/>
            <w:r>
              <w:rPr>
                <w:b w:val="0"/>
                <w:sz w:val="18"/>
              </w:rPr>
              <w:t>Cualquier integrante del equipo, sin importar a quién se le pregunte, explica con propiedad el funcionamiento general del sistema y su propia contribución específica.</w:t>
            </w:r>
          </w:p>
        </w:tc>
        <w:tc>
          <w:tcPr>
            <w:tcW w:type="dxa" w:w="2520"/>
          </w:tcPr>
          <w:p>
            <w:r/>
            <w:r>
              <w:rPr>
                <w:b w:val="0"/>
                <w:sz w:val="18"/>
              </w:rPr>
              <w:t>Al menos un integrante del equipo domina el sistema en su conjunto, pero el resto solo domina la parte que le correspondió construir.</w:t>
            </w:r>
          </w:p>
        </w:tc>
        <w:tc>
          <w:tcPr>
            <w:tcW w:type="dxa" w:w="2376"/>
          </w:tcPr>
          <w:p>
            <w:r/>
            <w:r>
              <w:rPr>
                <w:b w:val="0"/>
                <w:sz w:val="18"/>
              </w:rPr>
              <w:t>Ningún integrante puede explicar el sistema más allá de su propia parte, o el equipo no puede identificar quién construyó qué.</w:t>
            </w:r>
          </w:p>
        </w:tc>
      </w:tr>
    </w:tbl>
    <w:p/>
    <w:p>
      <w:r>
        <w:rPr>
          <w:i/>
          <w:color w:val="404040"/>
          <w:sz w:val="19"/>
        </w:rPr>
        <w:t>Puntaje total: 100 puntos, equivalentes al 15% de la nota final del proyecto.</w:t>
      </w:r>
    </w:p>
    <w:p>
      <w:pPr>
        <w:pStyle w:val="Heading2"/>
      </w:pPr>
      <w:r>
        <w:t>4.3 Rúbrica del Diario de Decisiones Técnicas e IA</w:t>
      </w:r>
    </w:p>
    <w:p>
      <w:r>
        <w:rPr>
          <w:i/>
        </w:rPr>
        <w:t>Evalúa la calidad del diario descrito en la condición d de la Sección 3: no la cantidad de texto, sino la evidencia concreta de criterio técnico sobre el uso de la IA a lo largo del proyecto.</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1944"/>
            <w:shd w:val="clear" w:color="auto" w:fill="1F3B57"/>
          </w:tcPr>
          <w:p>
            <w:r/>
            <w:r>
              <w:rPr>
                <w:b/>
                <w:color w:val="FFFFFF"/>
                <w:sz w:val="19"/>
              </w:rPr>
              <w:t>Rubro (20 pts. c/u)</w:t>
            </w:r>
          </w:p>
        </w:tc>
        <w:tc>
          <w:tcPr>
            <w:tcW w:type="dxa" w:w="2520"/>
            <w:shd w:val="clear" w:color="auto" w:fill="1F3B57"/>
          </w:tcPr>
          <w:p>
            <w:r/>
            <w:r>
              <w:rPr>
                <w:b/>
                <w:color w:val="FFFFFF"/>
                <w:sz w:val="19"/>
              </w:rPr>
              <w:t>Excelente (17-20 pts.)</w:t>
            </w:r>
          </w:p>
        </w:tc>
        <w:tc>
          <w:tcPr>
            <w:tcW w:type="dxa" w:w="2520"/>
            <w:shd w:val="clear" w:color="auto" w:fill="1F3B57"/>
          </w:tcPr>
          <w:p>
            <w:r/>
            <w:r>
              <w:rPr>
                <w:b/>
                <w:color w:val="FFFFFF"/>
                <w:sz w:val="19"/>
              </w:rPr>
              <w:t>Regular (9-16 pts.)</w:t>
            </w:r>
          </w:p>
        </w:tc>
        <w:tc>
          <w:tcPr>
            <w:tcW w:type="dxa" w:w="2376"/>
            <w:shd w:val="clear" w:color="auto" w:fill="1F3B57"/>
          </w:tcPr>
          <w:p>
            <w:r/>
            <w:r>
              <w:rPr>
                <w:b/>
                <w:color w:val="FFFFFF"/>
                <w:sz w:val="19"/>
              </w:rPr>
              <w:t>Insuficiente (0-8 pts.)</w:t>
            </w:r>
          </w:p>
        </w:tc>
      </w:tr>
      <w:tr>
        <w:tc>
          <w:tcPr>
            <w:tcW w:type="dxa" w:w="1944"/>
          </w:tcPr>
          <w:p>
            <w:r/>
            <w:r>
              <w:rPr>
                <w:b/>
                <w:sz w:val="18"/>
              </w:rPr>
              <w:t>Registro de consultas realizadas a la IA</w:t>
            </w:r>
          </w:p>
        </w:tc>
        <w:tc>
          <w:tcPr>
            <w:tcW w:type="dxa" w:w="2520"/>
          </w:tcPr>
          <w:p>
            <w:r/>
            <w:r>
              <w:rPr>
                <w:b w:val="0"/>
                <w:sz w:val="18"/>
              </w:rPr>
              <w:t>El diario detalla qué se le consultó a la IA en los momentos clave del desarrollo, con suficiente contexto (qué problema se buscaba resolver, qué se le preguntó exactamente) para entender la situación sin ver el código.</w:t>
            </w:r>
          </w:p>
        </w:tc>
        <w:tc>
          <w:tcPr>
            <w:tcW w:type="dxa" w:w="2520"/>
          </w:tcPr>
          <w:p>
            <w:r/>
            <w:r>
              <w:rPr>
                <w:b w:val="0"/>
                <w:sz w:val="18"/>
              </w:rPr>
              <w:t>El diario registra consultas a la IA, pero de forma genérica o sin suficiente contexto para entender qué problema se buscaba resolver.</w:t>
            </w:r>
          </w:p>
        </w:tc>
        <w:tc>
          <w:tcPr>
            <w:tcW w:type="dxa" w:w="2376"/>
          </w:tcPr>
          <w:p>
            <w:r/>
            <w:r>
              <w:rPr>
                <w:b w:val="0"/>
                <w:sz w:val="18"/>
              </w:rPr>
              <w:t>El diario no registra consultas concretas a la IA, o las menciona sin ningún detalle verificable.</w:t>
            </w:r>
          </w:p>
        </w:tc>
      </w:tr>
      <w:tr>
        <w:tc>
          <w:tcPr>
            <w:tcW w:type="dxa" w:w="1944"/>
            <w:shd w:val="clear" w:color="auto" w:fill="F2F5F8"/>
          </w:tcPr>
          <w:p>
            <w:r/>
            <w:r>
              <w:rPr>
                <w:b/>
                <w:sz w:val="18"/>
              </w:rPr>
              <w:t>Criterio de aceptación o rechazo</w:t>
            </w:r>
          </w:p>
        </w:tc>
        <w:tc>
          <w:tcPr>
            <w:tcW w:type="dxa" w:w="2520"/>
            <w:shd w:val="clear" w:color="auto" w:fill="F2F5F8"/>
          </w:tcPr>
          <w:p>
            <w:r/>
            <w:r>
              <w:rPr>
                <w:b w:val="0"/>
                <w:sz w:val="18"/>
              </w:rPr>
              <w:t>Para cada consulta relevante, el diario explica con argumentos técnicos concretos qué se aceptó de la respuesta de la IA, qué se rechazó y por qué.</w:t>
            </w:r>
          </w:p>
        </w:tc>
        <w:tc>
          <w:tcPr>
            <w:tcW w:type="dxa" w:w="2520"/>
            <w:shd w:val="clear" w:color="auto" w:fill="F2F5F8"/>
          </w:tcPr>
          <w:p>
            <w:r/>
            <w:r>
              <w:rPr>
                <w:b w:val="0"/>
                <w:sz w:val="18"/>
              </w:rPr>
              <w:t>El diario indica qué se aceptó o rechazó, pero con argumentos vagos o repetitivos ("se aceptó porque funcionaba", "se rechazó porque no me gustó") en varios casos.</w:t>
            </w:r>
          </w:p>
        </w:tc>
        <w:tc>
          <w:tcPr>
            <w:tcW w:type="dxa" w:w="2376"/>
            <w:shd w:val="clear" w:color="auto" w:fill="F2F5F8"/>
          </w:tcPr>
          <w:p>
            <w:r/>
            <w:r>
              <w:rPr>
                <w:b w:val="0"/>
                <w:sz w:val="18"/>
              </w:rPr>
              <w:t>El diario no distingue entre lo aceptado y lo rechazado, o no ofrece ningún argumento técnico para esas decisiones.</w:t>
            </w:r>
          </w:p>
        </w:tc>
      </w:tr>
      <w:tr>
        <w:tc>
          <w:tcPr>
            <w:tcW w:type="dxa" w:w="1944"/>
          </w:tcPr>
          <w:p>
            <w:r/>
            <w:r>
              <w:rPr>
                <w:b/>
                <w:sz w:val="18"/>
              </w:rPr>
              <w:t>Identificación de errores de la IA</w:t>
            </w:r>
          </w:p>
        </w:tc>
        <w:tc>
          <w:tcPr>
            <w:tcW w:type="dxa" w:w="2520"/>
          </w:tcPr>
          <w:p>
            <w:r/>
            <w:r>
              <w:rPr>
                <w:b w:val="0"/>
                <w:sz w:val="18"/>
              </w:rPr>
              <w:t>El diario documenta al menos un caso real y verificable donde la respuesta de la IA fue incorrecta, incompleta o inadecuada para el dominio del proyecto, y explica cómo se detectó y se corrigió.</w:t>
            </w:r>
          </w:p>
        </w:tc>
        <w:tc>
          <w:tcPr>
            <w:tcW w:type="dxa" w:w="2520"/>
          </w:tcPr>
          <w:p>
            <w:r/>
            <w:r>
              <w:rPr>
                <w:b w:val="0"/>
                <w:sz w:val="18"/>
              </w:rPr>
              <w:t>El diario menciona que la IA se equivocó en algún momento, pero sin detalle suficiente para verificar el error o la corrección aplicada.</w:t>
            </w:r>
          </w:p>
        </w:tc>
        <w:tc>
          <w:tcPr>
            <w:tcW w:type="dxa" w:w="2376"/>
          </w:tcPr>
          <w:p>
            <w:r/>
            <w:r>
              <w:rPr>
                <w:b w:val="0"/>
                <w:sz w:val="18"/>
              </w:rPr>
              <w:t>El diario no documenta ningún error de la IA, o afirma que la IA no se equivocó en ningún momento del proyecto.</w:t>
            </w:r>
          </w:p>
        </w:tc>
      </w:tr>
      <w:tr>
        <w:tc>
          <w:tcPr>
            <w:tcW w:type="dxa" w:w="1944"/>
            <w:shd w:val="clear" w:color="auto" w:fill="F2F5F8"/>
          </w:tcPr>
          <w:p>
            <w:r/>
            <w:r>
              <w:rPr>
                <w:b/>
                <w:sz w:val="18"/>
              </w:rPr>
              <w:t>Reflexión sobre el aprendizaje</w:t>
            </w:r>
          </w:p>
        </w:tc>
        <w:tc>
          <w:tcPr>
            <w:tcW w:type="dxa" w:w="2520"/>
            <w:shd w:val="clear" w:color="auto" w:fill="F2F5F8"/>
          </w:tcPr>
          <w:p>
            <w:r/>
            <w:r>
              <w:rPr>
                <w:b w:val="0"/>
                <w:sz w:val="18"/>
              </w:rPr>
              <w:t>El diario explica con especificidad qué aprendió cada estudiante del proceso (un concepto técnico, un error de diseño propio, una limitación de la IA), más allá de frases genéricas sobre el uso de la herramienta.</w:t>
            </w:r>
          </w:p>
        </w:tc>
        <w:tc>
          <w:tcPr>
            <w:tcW w:type="dxa" w:w="2520"/>
            <w:shd w:val="clear" w:color="auto" w:fill="F2F5F8"/>
          </w:tcPr>
          <w:p>
            <w:r/>
            <w:r>
              <w:rPr>
                <w:b w:val="0"/>
                <w:sz w:val="18"/>
              </w:rPr>
              <w:t>El diario incluye alguna reflexión sobre el aprendizaje, pero en su mayoría con frases genéricas poco específicas al proyecto.</w:t>
            </w:r>
          </w:p>
        </w:tc>
        <w:tc>
          <w:tcPr>
            <w:tcW w:type="dxa" w:w="2376"/>
            <w:shd w:val="clear" w:color="auto" w:fill="F2F5F8"/>
          </w:tcPr>
          <w:p>
            <w:r/>
            <w:r>
              <w:rPr>
                <w:b w:val="0"/>
                <w:sz w:val="18"/>
              </w:rPr>
              <w:t>El diario no incluye ninguna reflexión sobre el aprendizaje, o se limita a describir el uso de la IA sin ninguna conclusión propia.</w:t>
            </w:r>
          </w:p>
        </w:tc>
      </w:tr>
      <w:tr>
        <w:tc>
          <w:tcPr>
            <w:tcW w:type="dxa" w:w="1944"/>
          </w:tcPr>
          <w:p>
            <w:r/>
            <w:r>
              <w:rPr>
                <w:b/>
                <w:sz w:val="18"/>
              </w:rPr>
              <w:t>Consistencia con el proyecto entregado</w:t>
            </w:r>
          </w:p>
        </w:tc>
        <w:tc>
          <w:tcPr>
            <w:tcW w:type="dxa" w:w="2520"/>
          </w:tcPr>
          <w:p>
            <w:r/>
            <w:r>
              <w:rPr>
                <w:b w:val="0"/>
                <w:sz w:val="18"/>
              </w:rPr>
              <w:t>Lo registrado en el diario es verificable contra el código y las decisiones reales del proyecto: las fechas, los componentes y las decisiones descritas corresponden con lo que efectivamente se construyó.</w:t>
            </w:r>
          </w:p>
        </w:tc>
        <w:tc>
          <w:tcPr>
            <w:tcW w:type="dxa" w:w="2520"/>
          </w:tcPr>
          <w:p>
            <w:r/>
            <w:r>
              <w:rPr>
                <w:b w:val="0"/>
                <w:sz w:val="18"/>
              </w:rPr>
              <w:t>El diario corresponde en general con el proyecto, con algunas secciones difíciles de verificar contra el código real.</w:t>
            </w:r>
          </w:p>
        </w:tc>
        <w:tc>
          <w:tcPr>
            <w:tcW w:type="dxa" w:w="2376"/>
          </w:tcPr>
          <w:p>
            <w:r/>
            <w:r>
              <w:rPr>
                <w:b w:val="0"/>
                <w:sz w:val="18"/>
              </w:rPr>
              <w:t>El diario contradice el proyecto entregado, o es un documento genérico que no se puede verificar contra ninguna decisión real.</w:t>
            </w:r>
          </w:p>
        </w:tc>
      </w:tr>
    </w:tbl>
    <w:p/>
    <w:p>
      <w:r>
        <w:rPr>
          <w:i/>
          <w:color w:val="404040"/>
          <w:sz w:val="19"/>
        </w:rPr>
        <w:t>Puntaje total: 100 puntos, equivalentes al 10% de la nota final del proyecto.</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04040"/>
        <w:sz w:val="16"/>
      </w:rPr>
      <w:t>ISW-521 · Programación en Ambiente Web I · UTN Sede San Carlos · Proyecto 3 Gestion Docente Atinencias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57"/>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5A88"/>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B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